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[2016-01-01]</w:t>
        <w:br/>
        <w:t xml:space="preserve">Lizenz: Copyright (C) 2009-2016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5"/>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6"/>
        <w:t>a</w:t>
      </w:r>
      <w:r>
        <w:rPr/>
        <w:t xml:space="preserve"> Balsam und Ladanum.</w:t>
      </w:r>
      <w:r>
        <w:rPr>
          <w:rStyle w:val="Funotenanker"/>
        </w:rPr>
        <w:footnoteReference w:customMarkFollows="1" w:id="7"/>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8"/>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9"/>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10"/>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11"/>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2"/>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3"/>
        <w:t>Status</w:t>
      </w:r>
      <w:r>
        <w:rPr/>
        <w:t xml:space="preserve"> </w:t>
      </w:r>
      <w:r>
        <w:rPr>
          <w:rStyle w:val="Funotenanker"/>
        </w:rPr>
        <w:footnoteReference w:customMarkFollows="1" w:id="14"/>
        <w:t>a</w:t>
      </w:r>
      <w:r>
        <w:rPr/>
        <w:t>Rehum der Befehlshaber und Schimschai der Schreiber schrieben einen Brief über</w:t>
      </w:r>
      <w:r>
        <w:rPr>
          <w:rStyle w:val="Funotenanker"/>
        </w:rPr>
        <w:footnoteReference w:customMarkFollows="1" w:id="15"/>
        <w:t>b</w:t>
      </w:r>
      <w:r>
        <w:rPr/>
        <w:t xml:space="preserve"> Jerusalem an König Artaxerxes</w:t>
      </w:r>
      <w:r>
        <w:rPr>
          <w:rStyle w:val="Funotenanker"/>
        </w:rPr>
        <w:footnoteReference w:customMarkFollows="1" w:id="16"/>
        <w:t>c</w:t>
      </w:r>
      <w:r>
        <w:rPr/>
        <w:t xml:space="preserve">, der im Folgenden zitiert wird.{{field-off:bible}} </w:t>
        <w:br/>
        <w:t>[[@BibleTOBIBLE:Ezr 4:9]]</w:t>
      </w:r>
      <w:r>
        <w:rPr>
          <w:b/>
        </w:rPr>
        <w:t>9</w:t>
      </w:r>
      <w:r>
        <w:rPr/>
        <w:t xml:space="preserve"> {{field-on:bible}}Die Absender:</w:t>
      </w:r>
      <w:r>
        <w:rPr>
          <w:rStyle w:val="Funotenanker"/>
        </w:rPr>
        <w:footnoteReference w:customMarkFollows="1" w:id="17"/>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8"/>
        <w:t>e</w:t>
      </w:r>
      <w:r>
        <w:rPr/>
        <w:t xml:space="preserve"> verschleppt und in den Ortschaften Samarias und in der übrigen Provinz Transeuphrat</w:t>
      </w:r>
      <w:r>
        <w:rPr>
          <w:rStyle w:val="Funotenanker"/>
        </w:rPr>
        <w:footnoteReference w:customMarkFollows="1" w:id="19"/>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20"/>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21"/>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22"/>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3"/>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4"/>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25"/>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26"/>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7"/>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8"/>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9"/>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30"/>
        <w:t>e</w:t>
      </w:r>
      <w:r>
        <w:rPr/>
        <w:t xml:space="preserve"> zum Haus des großen Gottes gereist sind. Es wird gerade mit Quadersteinen wieder aufgebaut, während man Holzbalken in die Wände legt.</w:t>
      </w:r>
      <w:r>
        <w:rPr>
          <w:rStyle w:val="Funotenanker"/>
        </w:rPr>
        <w:footnoteReference w:customMarkFollows="1" w:id="31"/>
        <w:t>f</w:t>
      </w:r>
      <w:r>
        <w:rPr/>
        <w:t xml:space="preserve"> Diese Arbeit wird sorgfältig</w:t>
      </w:r>
      <w:r>
        <w:rPr>
          <w:rStyle w:val="Funotenanker"/>
        </w:rPr>
        <w:footnoteReference w:customMarkFollows="1" w:id="32"/>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33"/>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4"/>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5"/>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36"/>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7"/>
        <w:t>a</w:t>
      </w:r>
      <w:r>
        <w:rPr/>
        <w:t>, einer Festung in der Provinz Medien, eine Buchrolle mit folgendem Inhalt: „ ''Eine Aufzeichnung</w:t>
      </w:r>
      <w:r>
        <w:rPr>
          <w:rStyle w:val="Funotenanker"/>
        </w:rPr>
        <w:footnoteReference w:customMarkFollows="1" w:id="38"/>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9"/>
        <w:t>c</w:t>
      </w:r>
      <w:r>
        <w:rPr/>
        <w:t xml:space="preserve"> Das Haus soll wieder aufgebaut werden als eine Stätte, an der man Opfer darbringt.</w:t>
      </w:r>
      <w:r>
        <w:rPr>
          <w:rStyle w:val="Funotenanker"/>
        </w:rPr>
        <w:footnoteReference w:customMarkFollows="1" w:id="40"/>
        <w:t>d</w:t>
      </w:r>
      <w:r>
        <w:rPr/>
        <w:t xml:space="preserve"> Seine Fundamente sollen erhalten bleiben. Seine Höhe: 60 Ellen, seine Breite: 60</w:t>
      </w:r>
      <w:r>
        <w:rPr>
          <w:rStyle w:val="Funotenanker"/>
        </w:rPr>
        <w:footnoteReference w:customMarkFollows="1" w:id="41"/>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42"/>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43"/>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44"/>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5"/>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6"/>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7"/>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8"/>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9"/>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50"/>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r>
      <w:r>
        <w:rPr>
          <w:rStyle w:val="Funotenanker"/>
        </w:rPr>
        <w:footnoteReference w:customMarkFollows="1" w:id="51"/>
        <w:t>Status</w:t>
      </w:r>
      <w:r>
        <w:rPr/>
        <w:t xml:space="preserve"> 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2"/>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 </w:t>
      </w:r>
      <w:r>
        <w:rPr>
          <w:rStyle w:val="Funotenanker"/>
        </w:rPr>
        <w:footnoteReference w:customMarkFollows="1" w:id="53"/>
        <w:t>Status</w:t>
      </w:r>
      <w:r>
        <w:rPr/>
        <w:t xml:space="preserve"> „[...]Wo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54"/>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55"/>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56"/>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7"/>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58"/>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9"/>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60"/>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61"/>
        <w:t>Status</w:t>
      </w:r>
      <w:r>
        <w:rPr/>
        <w:t xml:space="preserve"> </w:t>
      </w:r>
      <w:r>
        <w:rPr>
          <w:rStyle w:val="Funotenanker"/>
        </w:rPr>
        <w:footnoteReference w:customMarkFollows="1" w:id="62"/>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63"/>
        <w:t>Status</w:t>
      </w:r>
      <w:r>
        <w:rPr/>
        <w:t xml:space="preserve"> Da sprachen die Wahrsager</w:t>
      </w:r>
      <w:r>
        <w:rPr>
          <w:rStyle w:val="Funotenanker"/>
        </w:rPr>
        <w:footnoteReference w:customMarkFollows="1" w:id="64"/>
        <w:t>a</w:t>
      </w:r>
      <w:r>
        <w:rPr/>
        <w:t xml:space="preserve"> zum König auf Aramäisch: </w:t>
      </w:r>
      <w:r>
        <w:rPr>
          <w:rStyle w:val="Funotenanker"/>
        </w:rPr>
        <w:footnoteReference w:customMarkFollows="1" w:id="65"/>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66"/>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67"/>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8"/>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9"/>
        <w:t>f</w:t>
      </w:r>
      <w:r>
        <w:rPr/>
        <w:t>, was soll dieses strenge Gesetz von seiten des Königs?“ Da klärte Arioch Daniel darüber auf, was passiert war.</w:t>
      </w:r>
      <w:r>
        <w:rPr>
          <w:rStyle w:val="Funotenanker"/>
        </w:rPr>
        <w:footnoteReference w:customMarkFollows="1" w:id="70"/>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71"/>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72"/>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73"/>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74"/>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75"/>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76"/>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77"/>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8"/>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9"/>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80"/>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81"/>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82"/>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83"/>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84"/>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85"/>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86"/>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87"/>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8"/>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9"/>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90"/>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91"/>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92"/>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93"/>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94"/>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95"/>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96"/>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97"/>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8"/>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9"/>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100"/>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101"/>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102"/>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103"/>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104"/>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105"/>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106"/>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107"/>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8"/>
        <w:t>a</w:t>
      </w:r>
      <w:r>
        <w:rPr/>
        <w:t xml:space="preserve"> kam er</w:t>
      </w:r>
      <w:r>
        <w:rPr>
          <w:rStyle w:val="Funotenanker"/>
        </w:rPr>
        <w:footnoteReference w:customMarkFollows="1" w:id="109"/>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10"/>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11"/>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12"/>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13"/>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14"/>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15"/>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16"/>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17"/>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Sadduzäer!“{{field-off:bible}} </w:t>
      </w:r>
    </w:p>
    <w:p>
      <w:pPr>
        <w:pStyle w:val="Berschrift3"/>
        <w:rPr/>
      </w:pPr>
      <w:r>
        <w:rPr/>
        <w:t>[[@BibleTOBIBLE:Mt 21]]Kapitel 21</w:t>
      </w:r>
    </w:p>
    <w:p>
      <w:pPr>
        <w:pStyle w:val="Textkrper"/>
        <w:rPr/>
      </w:pPr>
      <w:r>
        <w:rPr/>
        <w:br/>
        <w:t>[[@BibleTOBIBLE:Mt 21:28]]</w:t>
      </w:r>
      <w:r>
        <w:rPr>
          <w:b/>
        </w:rPr>
        <w:t>28</w:t>
      </w:r>
      <w:r>
        <w:rPr/>
        <w:t xml:space="preserve"> {{field-on:bible}} </w:t>
      </w:r>
      <w:r>
        <w:rPr>
          <w:rStyle w:val="Funotenanker"/>
        </w:rPr>
        <w:footnoteReference w:customMarkFollows="1" w:id="118"/>
        <w:t>Status</w:t>
      </w:r>
      <w:r>
        <w:rPr/>
        <w:t xml:space="preserve"> 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9"/>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„Ihr! Habt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sagte: „Ich wünsche euch Frieden!“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20"/>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1"/>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abzurupfen.{{field-off:bible}}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22"/>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der Apostel</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23"/>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24"/>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25"/>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26"/>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27"/>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8"/>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9"/>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30"/>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31"/>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32"/>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33"/>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3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3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3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3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4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4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4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11:26]]</w:t>
      </w:r>
      <w:r>
        <w:rPr>
          <w:b/>
        </w:rPr>
        <w:t>26</w:t>
      </w:r>
      <w:r>
        <w:rPr/>
        <w:t xml:space="preserve"> {{field-on:bible}}Aber wenn ihr nicht vergebt, dann wird auch euer Vater im Himmel eure Sünden nicht vergeben.{{field-off:bible}}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43"/>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 </w:t>
      </w:r>
      <w:r>
        <w:rPr>
          <w:rStyle w:val="Funotenanker"/>
        </w:rPr>
        <w:footnoteReference w:customMarkFollows="1" w:id="144"/>
        <w:t>Status</w:t>
      </w:r>
      <w:r>
        <w:rPr/>
        <w:t xml:space="preserve"> 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45"/>
        <w:t>a</w:t>
      </w:r>
      <w:r>
        <w:rPr/>
        <w:t xml:space="preserve">“{{field-off:bible}}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6"/>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7"/>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8"/>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149"/>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50"/>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51"/>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152"/>
        <w:t>Status</w:t>
      </w:r>
      <w:r>
        <w:rPr/>
        <w:t xml:space="preserve"> Einer von den Pharisäern und führenden Juden</w:t>
      </w:r>
      <w:r>
        <w:rPr>
          <w:rStyle w:val="Funotenanker"/>
        </w:rPr>
        <w:footnoteReference w:customMarkFollows="1" w:id="153"/>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154"/>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 </w:t>
      </w:r>
      <w:r>
        <w:rPr>
          <w:rStyle w:val="Funotenanker"/>
        </w:rPr>
        <w:footnoteReference w:customMarkFollows="1" w:id="155"/>
        <w:t>Status</w:t>
      </w:r>
      <w:r>
        <w:rPr/>
        <w:t xml:space="preserve"> 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6"/>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157"/>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8"/>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59"/>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60"/>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61"/>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62"/>
        <w:t>Status</w:t>
      </w:r>
      <w:r>
        <w:rPr/>
        <w:t xml:space="preserve"> Von Jakobus, einem Knecht Gottes und des Herrn Jesus Christus, an die zerstreuten zwölf Stämme Israels.</w:t>
      </w:r>
      <w:r>
        <w:rPr>
          <w:rStyle w:val="Funotenanker"/>
        </w:rPr>
        <w:footnoteReference w:customMarkFollows="1" w:id="163"/>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64"/>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65"/>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66"/>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167"/>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Ungeprüft]</w:t>
      </w:r>
    </w:p>
  </w:footnote>
  <w:footnote w:id="3">
    <w:p>
      <w:pPr>
        <w:pStyle w:val="Funote"/>
        <w:rPr/>
      </w:pPr>
      <w:r>
        <w:rPr/>
        <w:footnoteRef/>
        <w:tab/>
        <w:t xml:space="preserve">Die meisten Übersetzungen haben hier „Geist Gottes“. Dieser wird nach einer alten christlichen Tradition häufig mit dem Heiligen Geist identifiziert (so z.B. schon </w:t>
      </w:r>
      <w:hyperlink r:id="rId1">
        <w:r>
          <w:rPr>
            <w:rStyle w:val="Internetlink"/>
          </w:rPr>
          <w:t>Basilius, Hexaemeron 2,6</w:t>
        </w:r>
      </w:hyperlink>
      <w:r>
        <w:rPr/>
        <w:t>).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[Status: Ungeprüft]</w:t>
      </w:r>
    </w:p>
  </w:footnote>
  <w:footnote w:id="5">
    <w:p>
      <w:pPr>
        <w:pStyle w:val="Funote"/>
        <w:rPr/>
      </w:pPr>
      <w:r>
        <w:rPr/>
        <w:footnoteRef/>
        <w:tab/>
        <w:t>[Status: Ungeprüft]</w:t>
      </w:r>
    </w:p>
  </w:footnote>
  <w:footnote w:id="6">
    <w:p>
      <w:pPr>
        <w:pStyle w:val="Funote"/>
        <w:rPr/>
      </w:pPr>
      <w:r>
        <w:rPr/>
        <w:footnoteRef/>
        <w:tab/>
        <w:t>Tragakant ist eine pflanzlich gewonnene, gummiartige Substanz, die im Altertum u.a. bei der Herstellung von Räucherwerk, Arzneien und Kosmetikprodukten Verwendung fand.</w:t>
      </w:r>
    </w:p>
  </w:footnote>
  <w:footnote w:id="7">
    <w:p>
      <w:pPr>
        <w:pStyle w:val="Funote"/>
        <w:rPr/>
      </w:pPr>
      <w:r>
        <w:rPr/>
        <w:footnoteRef/>
        <w:tab/>
        <w:t>Ladanum ist ein Pflanzenharz, das u.a. als Heilmittel für Atem- und Verdauungsprobleme verwendet wurde.</w:t>
      </w:r>
    </w:p>
  </w:footnote>
  <w:footnote w:id="8">
    <w:p>
      <w:pPr>
        <w:pStyle w:val="Funote"/>
        <w:rPr/>
      </w:pPr>
      <w:r>
        <w:rPr/>
        <w:footnoteRef/>
        <w:tab/>
        <w:t>Vgl. Gen 4:10, wo nach Abels Tod die „Stimme seines Blutes“ vom Ackerboden her den Klageruf erhebt und von Gott erhört wird.</w:t>
      </w:r>
    </w:p>
  </w:footnote>
  <w:footnote w:id="9">
    <w:p>
      <w:pPr>
        <w:pStyle w:val="Funote"/>
        <w:rPr/>
      </w:pPr>
      <w:r>
        <w:rPr/>
        <w:footnoteRef/>
        <w:tab/>
        <w:t>Im alten Orient war das Zerreißen der eigenen Kleidung eine Trauergeste</w:t>
      </w:r>
    </w:p>
  </w:footnote>
  <w:footnote w:id="10">
    <w:p>
      <w:pPr>
        <w:pStyle w:val="Funote"/>
        <w:rPr/>
      </w:pPr>
      <w:r>
        <w:rPr/>
        <w:footnoteRef/>
        <w:tab/>
        <w:t>[Status: Ungeprüft]</w:t>
      </w:r>
    </w:p>
  </w:footnote>
  <w:footnote w:id="11">
    <w:p>
      <w:pPr>
        <w:pStyle w:val="Funote"/>
        <w:rPr/>
      </w:pPr>
      <w:r>
        <w:rPr/>
        <w:footnoteRef/>
        <w:tab/>
        <w:t>[Status: Ungeprüft]</w:t>
      </w:r>
    </w:p>
  </w:footnote>
  <w:footnote w:id="12">
    <w:p>
      <w:pPr>
        <w:pStyle w:val="Funote"/>
        <w:rPr/>
      </w:pPr>
      <w:r>
        <w:rPr/>
        <w:footnoteRef/>
        <w:tab/>
        <w:t>[Status: Ungeprüft]</w:t>
      </w:r>
    </w:p>
  </w:footnote>
  <w:footnote w:id="13">
    <w:p>
      <w:pPr>
        <w:pStyle w:val="Funote"/>
        <w:rPr/>
      </w:pPr>
      <w:r>
        <w:rPr/>
        <w:footnoteRef/>
        <w:tab/>
        <w:t>[Status: Ungeprüft]</w:t>
      </w:r>
    </w:p>
  </w:footnote>
  <w:footnote w:id="14">
    <w:p>
      <w:pPr>
        <w:pStyle w:val="Funote"/>
        <w:rPr/>
      </w:pPr>
      <w:r>
        <w:rPr/>
        <w:footnoteRef/>
        <w:tab/>
        <w:t xml:space="preserve">Esra 4,8-6,18 (sowie 7,12-26) sind auf Aramäisch verfasst bzw. aus aramäischen Quellen zitiert (zudem Dan 2,4b-7,28; Jer 10,11 und ein Teil von Gen 31,47). </w:t>
      </w:r>
    </w:p>
  </w:footnote>
  <w:footnote w:id="15">
    <w:p>
      <w:pPr>
        <w:pStyle w:val="Funote"/>
        <w:rPr/>
      </w:pPr>
      <w:r>
        <w:rPr/>
        <w:footnoteRef/>
        <w:tab/>
        <w:t>Oder: „gegen“</w:t>
      </w:r>
    </w:p>
  </w:footnote>
  <w:footnote w:id="16">
    <w:p>
      <w:pPr>
        <w:pStyle w:val="Funote"/>
        <w:rPr/>
      </w:pPr>
      <w:r>
        <w:rPr/>
        <w:footnoteRef/>
        <w:tab/>
        <w:t xml:space="preserve">Artaxerxes war 486-465 v. Chr. König von Persien (Loken 2011, 4:6-24 Commentary). </w:t>
      </w:r>
    </w:p>
  </w:footnote>
  <w:footnote w:id="17">
    <w:p>
      <w:pPr>
        <w:pStyle w:val="Funote"/>
        <w:rPr/>
      </w:pPr>
      <w:r>
        <w:rPr/>
        <w:footnoteRef/>
        <w:tab/>
        <w:t>W. „dann“</w:t>
      </w:r>
    </w:p>
  </w:footnote>
  <w:footnote w:id="18">
    <w:p>
      <w:pPr>
        <w:pStyle w:val="Funote"/>
        <w:rPr/>
      </w:pPr>
      <w:r>
        <w:rPr/>
        <w:footnoteRef/>
        <w:tab/>
        <w:t xml:space="preserve">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 </w:t>
      </w:r>
    </w:p>
  </w:footnote>
  <w:footnote w:id="19">
    <w:p>
      <w:pPr>
        <w:pStyle w:val="Funote"/>
        <w:rPr/>
      </w:pPr>
      <w:r>
        <w:rPr/>
        <w:footnoteRef/>
        <w:tab/>
        <w:t xml:space="preserve">Hier ist von der Satrapie Transeuphrat, „Jenseits des Stromes“ die Rede (Loken 2011, 4:10). Samaria ist die alte Hauptstadt des israelischen Nordreichs, die von den Assyrern 722 zerstört worden war. </w:t>
      </w:r>
    </w:p>
  </w:footnote>
  <w:footnote w:id="20">
    <w:p>
      <w:pPr>
        <w:pStyle w:val="Funote"/>
        <w:rPr/>
      </w:pPr>
      <w:r>
        <w:rPr/>
        <w:footnoteRef/>
        <w:tab/>
        <w:t xml:space="preserve">W. „Weil wir das Salz des Palastes essen“ oder „Weil wir mit dem Salz des Palastes würzen“, danach könnte man die Aussage auch so interpretieren, dass die Verfasser an der Zerstörung Jerusalems beteiligt waren und Salz verstreuten, um das Ackerland unbrauchbar zu machen. </w:t>
      </w:r>
    </w:p>
  </w:footnote>
  <w:footnote w:id="21">
    <w:p>
      <w:pPr>
        <w:pStyle w:val="Funote"/>
        <w:rPr/>
      </w:pPr>
      <w:r>
        <w:rPr/>
        <w:footnoteRef/>
        <w:tab/>
        <w:t>W. „ Frieden!“</w:t>
      </w:r>
    </w:p>
  </w:footnote>
  <w:footnote w:id="22">
    <w:p>
      <w:pPr>
        <w:pStyle w:val="Funote"/>
        <w:rPr/>
      </w:pPr>
      <w:r>
        <w:rPr/>
        <w:footnoteRef/>
        <w:tab/>
        <w:t>Oder: „klar“</w:t>
      </w:r>
    </w:p>
  </w:footnote>
  <w:footnote w:id="23">
    <w:p>
      <w:pPr>
        <w:pStyle w:val="Funote"/>
        <w:rPr/>
      </w:pPr>
      <w:r>
        <w:rPr/>
        <w:footnoteRef/>
        <w:tab/>
        <w:t xml:space="preserve">Oder „Allerdings“, dann wären die erwähnten Könige keine israelischen, sondern fremde, denen das Land keine Schwierigkeiten gemacht hätte. </w:t>
      </w:r>
    </w:p>
  </w:footnote>
  <w:footnote w:id="24">
    <w:p>
      <w:pPr>
        <w:pStyle w:val="Funote"/>
        <w:rPr/>
      </w:pPr>
      <w:r>
        <w:rPr/>
        <w:footnoteRef/>
        <w:tab/>
        <w:t xml:space="preserve">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 </w:t>
      </w:r>
    </w:p>
  </w:footnote>
  <w:footnote w:id="25">
    <w:p>
      <w:pPr>
        <w:pStyle w:val="Funote"/>
        <w:rPr/>
      </w:pPr>
      <w:r>
        <w:rPr/>
        <w:footnoteRef/>
        <w:tab/>
        <w:t>[Status: Ungeprüft]</w:t>
      </w:r>
    </w:p>
  </w:footnote>
  <w:footnote w:id="26">
    <w:p>
      <w:pPr>
        <w:pStyle w:val="Funote"/>
        <w:rPr/>
      </w:pPr>
      <w:r>
        <w:rPr/>
        <w:footnoteRef/>
        <w:tab/>
        <w:t>der über ihnen war So die meisten Übersetzungen. Oder: „im Namen Gottes [prophezeiten sie] ihnen gegenüber“ (so SLT und Loken 2011, 5:1-5 Translation).</w:t>
      </w:r>
    </w:p>
  </w:footnote>
  <w:footnote w:id="27">
    <w:p>
      <w:pPr>
        <w:pStyle w:val="Funote"/>
        <w:rPr/>
      </w:pPr>
      <w:r>
        <w:rPr/>
        <w:footnoteRef/>
        <w:tab/>
        <w:t xml:space="preserve">Aus </w:t>
      </w:r>
      <w:r>
        <w:fldChar w:fldCharType="begin"/>
      </w:r>
      <w:r>
        <w:instrText> HYPERLINK "file:///wiki/Esra_4" \l "l24"</w:instrText>
      </w:r>
      <w:r>
        <w:fldChar w:fldCharType="separate"/>
      </w:r>
      <w:r>
        <w:rPr>
          <w:rStyle w:val="Internetlink"/>
        </w:rPr>
        <w:t>Esr 4,24</w:t>
      </w:r>
      <w:r>
        <w:fldChar w:fldCharType="end"/>
      </w:r>
      <w:r>
        <w:rPr/>
        <w:t xml:space="preserve">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 </w:t>
      </w:r>
    </w:p>
  </w:footnote>
  <w:footnote w:id="28">
    <w:p>
      <w:pPr>
        <w:pStyle w:val="Funote"/>
        <w:rPr/>
      </w:pPr>
      <w:r>
        <w:rPr/>
        <w:footnoteRef/>
        <w:tab/>
        <w:t xml:space="preserve">Hier ist von der Satrapie Transeuphrat, „Jenseits des Stromes“ die Rede (Loken 2011, 4:10). Tattenai ist 502 v. Chr. aus einem babylonischen Dokument als Statthalter der Satrapie Transeuphrat bekannt (Loken 2011, 5:3). </w:t>
      </w:r>
    </w:p>
  </w:footnote>
  <w:footnote w:id="29">
    <w:p>
      <w:pPr>
        <w:pStyle w:val="Funote"/>
        <w:rPr/>
      </w:pPr>
      <w:r>
        <w:rPr/>
        <w:footnoteRef/>
        <w:tab/>
        <w:t xml:space="preserve">Dieser Brief muss zwischen dem 21.09.520 (das Datum von Haggais Prophezeiung, </w:t>
      </w:r>
      <w:r>
        <w:fldChar w:fldCharType="begin"/>
      </w:r>
      <w:r>
        <w:instrText> HYPERLINK "file:///wiki/Haggai_1" \l "s15"</w:instrText>
      </w:r>
      <w:r>
        <w:fldChar w:fldCharType="separate"/>
      </w:r>
      <w:r>
        <w:rPr>
          <w:rStyle w:val="Internetlink"/>
        </w:rPr>
        <w:t>Hag 1,15</w:t>
      </w:r>
      <w:r>
        <w:fldChar w:fldCharType="end"/>
      </w:r>
      <w:r>
        <w:rPr/>
        <w:t>) und der Fertigstellung des Tempels am 12.03.515 v. Chr. (</w:t>
      </w:r>
      <w:r>
        <w:fldChar w:fldCharType="begin"/>
      </w:r>
      <w:r>
        <w:instrText> HYPERLINK "file:///wiki/Esra_6" \l "s15"</w:instrText>
      </w:r>
      <w:r>
        <w:fldChar w:fldCharType="separate"/>
      </w:r>
      <w:r>
        <w:rPr>
          <w:rStyle w:val="Internetlink"/>
        </w:rPr>
        <w:t>Esr 6,15</w:t>
      </w:r>
      <w:r>
        <w:fldChar w:fldCharType="end"/>
      </w:r>
      <w:r>
        <w:rPr/>
        <w:t xml:space="preserve">) entstanden sein, am ehesten wohl zwischen 520 und 517 v. Chr. (Loken 2011, 5:6). </w:t>
      </w:r>
    </w:p>
  </w:footnote>
  <w:footnote w:id="30">
    <w:p>
      <w:pPr>
        <w:pStyle w:val="Funote"/>
        <w:rPr/>
      </w:pPr>
      <w:r>
        <w:rPr/>
        <w:footnoteRef/>
        <w:tab/>
        <w:t xml:space="preserve">Juda war eine Provinz innerhalb der Satrapie Transeuphrat, also eine Provinz auf einer niedrigeren Ebene (Loken 2011, 5:8). </w:t>
      </w:r>
    </w:p>
  </w:footnote>
  <w:footnote w:id="31">
    <w:p>
      <w:pPr>
        <w:pStyle w:val="Funote"/>
        <w:rPr/>
      </w:pPr>
      <w:r>
        <w:rPr/>
        <w:footnoteRef/>
        <w:tab/>
        <w:t xml:space="preserve">Dieselbe Bautechnik wie in </w:t>
      </w:r>
      <w:hyperlink r:id="rId2">
        <w:r>
          <w:rPr>
            <w:rStyle w:val="Internetlink"/>
          </w:rPr>
          <w:t>1. Kön 6,36</w:t>
        </w:r>
      </w:hyperlink>
      <w:r>
        <w:rPr/>
        <w:t xml:space="preserve">. Die Holzbalken dienen dabei zur Verstärkung der Wände (Loken 2011, 5:8). </w:t>
      </w:r>
    </w:p>
  </w:footnote>
  <w:footnote w:id="32">
    <w:p>
      <w:pPr>
        <w:pStyle w:val="Funote"/>
        <w:rPr/>
      </w:pPr>
      <w:r>
        <w:rPr/>
        <w:footnoteRef/>
        <w:tab/>
        <w:t>Oder: „mit großem Eifer“</w:t>
      </w:r>
    </w:p>
  </w:footnote>
  <w:footnote w:id="33">
    <w:p>
      <w:pPr>
        <w:pStyle w:val="Funote"/>
        <w:rPr/>
      </w:pPr>
      <w:r>
        <w:rPr/>
        <w:footnoteRef/>
        <w:tab/>
        <w:t>Oder: „verhörten“</w:t>
      </w:r>
    </w:p>
  </w:footnote>
  <w:footnote w:id="34">
    <w:p>
      <w:pPr>
        <w:pStyle w:val="Funote"/>
        <w:rPr/>
      </w:pPr>
      <w:r>
        <w:rPr/>
        <w:footnoteRef/>
        <w:tab/>
        <w:t xml:space="preserve">Scheschbazzars Tätigkeiten werden in </w:t>
      </w:r>
      <w:hyperlink r:id="rId3">
        <w:r>
          <w:rPr>
            <w:rStyle w:val="Internetlink"/>
          </w:rPr>
          <w:t>Esr 1,5-11</w:t>
        </w:r>
      </w:hyperlink>
      <w:r>
        <w:rPr/>
        <w:t xml:space="preserve"> etwas genauer beschrieben. </w:t>
      </w:r>
    </w:p>
  </w:footnote>
  <w:footnote w:id="35">
    <w:p>
      <w:pPr>
        <w:pStyle w:val="Funote"/>
        <w:rPr/>
      </w:pPr>
      <w:r>
        <w:rPr/>
        <w:footnoteRef/>
        <w:tab/>
        <w:t xml:space="preserve">Wo sich offenbar auch die Archive befanden (vgl. </w:t>
      </w:r>
      <w:r>
        <w:fldChar w:fldCharType="begin"/>
      </w:r>
      <w:r>
        <w:instrText> HYPERLINK "file:///wiki/Esra_6" \l "l1"</w:instrText>
      </w:r>
      <w:r>
        <w:fldChar w:fldCharType="separate"/>
      </w:r>
      <w:r>
        <w:rPr>
          <w:rStyle w:val="Internetlink"/>
        </w:rPr>
        <w:t>6,1</w:t>
      </w:r>
      <w:r>
        <w:fldChar w:fldCharType="end"/>
      </w:r>
      <w:r>
        <w:rPr/>
        <w:t xml:space="preserve">. </w:t>
      </w:r>
    </w:p>
  </w:footnote>
  <w:footnote w:id="36">
    <w:p>
      <w:pPr>
        <w:pStyle w:val="Funote"/>
        <w:rPr/>
      </w:pPr>
      <w:r>
        <w:rPr/>
        <w:footnoteRef/>
        <w:tab/>
        <w:t>[Status: Ungeprüft]</w:t>
      </w:r>
    </w:p>
  </w:footnote>
  <w:footnote w:id="37">
    <w:p>
      <w:pPr>
        <w:pStyle w:val="Funote"/>
        <w:rPr/>
      </w:pPr>
      <w:r>
        <w:rPr>
          <w:i/>
        </w:rPr>
        <w:footnoteRef/>
        <w:tab/>
        <w:t>Ekbata</w:t>
      </w:r>
      <w:r>
        <w:rPr/>
        <w:t xml:space="preserve"> Die Sommerresidenz des Königs Kyrus lag in den Bergen. Vor seiner Zeit (bis 550 v. Chr.) war sie Hauptstadt der Meder (Loken 2011, 6:2). </w:t>
      </w:r>
    </w:p>
  </w:footnote>
  <w:footnote w:id="38">
    <w:p>
      <w:pPr>
        <w:pStyle w:val="Funote"/>
        <w:rPr/>
      </w:pPr>
      <w:r>
        <w:rPr/>
        <w:footnoteRef/>
        <w:tab/>
        <w:t xml:space="preserve">Der Begriff wurde regelmäßig als Überschrift von Listen und Inventarprotokollen gebraucht (Loken 2011, 6:2). </w:t>
      </w:r>
    </w:p>
  </w:footnote>
  <w:footnote w:id="39">
    <w:p>
      <w:pPr>
        <w:pStyle w:val="Funote"/>
        <w:rPr/>
      </w:pPr>
      <w:r>
        <w:rPr/>
        <w:footnoteRef/>
        <w:tab/>
        <w:t xml:space="preserve">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 </w:t>
      </w:r>
    </w:p>
  </w:footnote>
  <w:footnote w:id="40">
    <w:p>
      <w:pPr>
        <w:pStyle w:val="Funote"/>
        <w:rPr/>
      </w:pPr>
      <w:r>
        <w:rPr/>
        <w:footnoteRef/>
        <w:tab/>
        <w:t xml:space="preserve">Oder: „Das Haus soll wieder aufgebaut werden, die Stätte, an der sie Opfer darbrachten (darbringen)“ Da weder die Perser noch die Juden während des persischen Exils Opfer darbrachten, dient diese Angabe als Unterscheidungsmerkmal gegenüber anderen Tempeln (Loken 2011, 6:3-5). </w:t>
      </w:r>
    </w:p>
  </w:footnote>
  <w:footnote w:id="41">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42">
    <w:p>
      <w:pPr>
        <w:pStyle w:val="Funote"/>
        <w:rPr/>
      </w:pPr>
      <w:r>
        <w:rPr/>
        <w:footnoteRef/>
        <w:tab/>
        <w:t xml:space="preserve">Dieser Teil stimmt bis hierhin fast wortwörtlich mit dem entsprechenden Abschnitt aus dem Bericht der Juden in </w:t>
      </w:r>
      <w:r>
        <w:fldChar w:fldCharType="begin"/>
      </w:r>
      <w:r>
        <w:instrText> HYPERLINK "file:///wiki/Esra_5" \l "l14"</w:instrText>
      </w:r>
      <w:r>
        <w:fldChar w:fldCharType="separate"/>
      </w:r>
      <w:r>
        <w:rPr>
          <w:rStyle w:val="Internetlink"/>
        </w:rPr>
        <w:t>5,14</w:t>
      </w:r>
      <w:r>
        <w:fldChar w:fldCharType="end"/>
      </w:r>
      <w:r>
        <w:rPr/>
        <w:t xml:space="preserve"> überein. </w:t>
      </w:r>
    </w:p>
  </w:footnote>
  <w:footnote w:id="43">
    <w:p>
      <w:pPr>
        <w:pStyle w:val="Funote"/>
        <w:rPr/>
      </w:pPr>
      <w:r>
        <w:rPr/>
        <w:footnoteRef/>
        <w:tab/>
        <w:t xml:space="preserve">Diese Einleitung wurde zur Verdeutlichung eingefügt. </w:t>
      </w:r>
    </w:p>
  </w:footnote>
  <w:footnote w:id="44">
    <w:p>
      <w:pPr>
        <w:pStyle w:val="Funote"/>
        <w:rPr/>
      </w:pPr>
      <w:r>
        <w:rPr/>
        <w:footnoteRef/>
        <w:tab/>
        <w:t xml:space="preserve">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 </w:t>
      </w:r>
    </w:p>
  </w:footnote>
  <w:footnote w:id="45">
    <w:p>
      <w:pPr>
        <w:pStyle w:val="Funote"/>
        <w:rPr/>
      </w:pPr>
      <w:r>
        <w:rPr/>
        <w:footnoteRef/>
        <w:tab/>
        <w:t>Am 12. März 515 v. Chr. In der Parallelstelle 1. Esdras 7,5 ist vielleicht deshalb nicht vom 3., sondern vom 23. Tag die Rede, weil der 12. März 515 ein Sabbat war (Loken 2011, 6:15).</w:t>
      </w:r>
    </w:p>
  </w:footnote>
  <w:footnote w:id="46">
    <w:p>
      <w:pPr>
        <w:pStyle w:val="Funote"/>
        <w:rPr/>
      </w:pPr>
      <w:r>
        <w:rPr/>
        <w:footnoteRef/>
        <w:tab/>
        <w:t xml:space="preserve">Ex 29; Lev 8; Num 3; 8; 18. </w:t>
      </w:r>
    </w:p>
  </w:footnote>
  <w:footnote w:id="47">
    <w:p>
      <w:pPr>
        <w:pStyle w:val="Funote"/>
        <w:rPr/>
      </w:pPr>
      <w:r>
        <w:rPr/>
        <w:footnoteRef/>
        <w:tab/>
        <w:t>[Status: Ungeprüft]</w:t>
      </w:r>
    </w:p>
  </w:footnote>
  <w:footnote w:id="48">
    <w:p>
      <w:pPr>
        <w:pStyle w:val="Funote"/>
        <w:rPr/>
      </w:pPr>
      <w:r>
        <w:rPr/>
        <w:footnoteRef/>
        <w:tab/>
        <w:t>[Status: Ungeprüft]</w:t>
      </w:r>
    </w:p>
  </w:footnote>
  <w:footnote w:id="49">
    <w:p>
      <w:pPr>
        <w:pStyle w:val="Funote"/>
        <w:rPr/>
      </w:pPr>
      <w:r>
        <w:rPr/>
        <w:footnoteRef/>
        <w:tab/>
        <w:t>[Status: Ungeprüft]</w:t>
      </w:r>
    </w:p>
  </w:footnote>
  <w:footnote w:id="50">
    <w:p>
      <w:pPr>
        <w:pStyle w:val="Funote"/>
        <w:rPr/>
      </w:pPr>
      <w:r>
        <w:rPr/>
        <w:footnoteRef/>
        <w:tab/>
        <w:t>[Status: Ungeprüft]</w:t>
      </w:r>
    </w:p>
  </w:footnote>
  <w:footnote w:id="51">
    <w:p>
      <w:pPr>
        <w:pStyle w:val="Funote"/>
        <w:rPr/>
      </w:pPr>
      <w:r>
        <w:rPr/>
        <w:footnoteRef/>
        <w:tab/>
        <w:t>[Status: Ungeprüft]</w:t>
      </w:r>
    </w:p>
  </w:footnote>
  <w:footnote w:id="52">
    <w:p>
      <w:pPr>
        <w:pStyle w:val="Funote"/>
        <w:rPr/>
      </w:pPr>
      <w:r>
        <w:rPr/>
        <w:footnoteRef/>
        <w:tab/>
        <w:t>[Status: Ungeprüft]</w:t>
      </w:r>
    </w:p>
  </w:footnote>
  <w:footnote w:id="53">
    <w:p>
      <w:pPr>
        <w:pStyle w:val="Funote"/>
        <w:rPr/>
      </w:pPr>
      <w:r>
        <w:rPr/>
        <w:footnoteRef/>
        <w:tab/>
        <w:t>[Status: Ungeprüft]</w:t>
      </w:r>
    </w:p>
  </w:footnote>
  <w:footnote w:id="54">
    <w:p>
      <w:pPr>
        <w:pStyle w:val="Funote"/>
        <w:rPr/>
      </w:pPr>
      <w:r>
        <w:rPr/>
        <w:footnoteRef/>
        <w:tab/>
        <w:t>[Status: Ungeprüft]</w:t>
      </w:r>
    </w:p>
  </w:footnote>
  <w:footnote w:id="55">
    <w:p>
      <w:pPr>
        <w:pStyle w:val="Funote"/>
        <w:rPr/>
      </w:pPr>
      <w:r>
        <w:rPr/>
        <w:footnoteRef/>
        <w:tab/>
        <w:t>[Status: Ungeprüft]</w:t>
      </w:r>
    </w:p>
  </w:footnote>
  <w:footnote w:id="56">
    <w:p>
      <w:pPr>
        <w:pStyle w:val="Funote"/>
        <w:rPr/>
      </w:pPr>
      <w:r>
        <w:rPr/>
        <w:footnoteRef/>
        <w:tab/>
        <w:t>[Status: Ungeprüft]</w:t>
      </w:r>
    </w:p>
  </w:footnote>
  <w:footnote w:id="57">
    <w:p>
      <w:pPr>
        <w:pStyle w:val="Funote"/>
        <w:rPr/>
      </w:pPr>
      <w:r>
        <w:rPr/>
        <w:footnoteRef/>
        <w:tab/>
        <w:t>[Status: Ungeprüft]</w:t>
      </w:r>
    </w:p>
  </w:footnote>
  <w:footnote w:id="58">
    <w:p>
      <w:pPr>
        <w:pStyle w:val="Funote"/>
        <w:rPr/>
      </w:pPr>
      <w:r>
        <w:rPr/>
        <w:footnoteRef/>
        <w:tab/>
        <w:t>[Status: Ungeprüft]</w:t>
      </w:r>
    </w:p>
  </w:footnote>
  <w:footnote w:id="59">
    <w:p>
      <w:pPr>
        <w:pStyle w:val="Funote"/>
        <w:rPr/>
      </w:pPr>
      <w:r>
        <w:rPr/>
        <w:footnoteRef/>
        <w:tab/>
        <w:t>[Status: Ungeprüft]</w:t>
      </w:r>
    </w:p>
  </w:footnote>
  <w:footnote w:id="60">
    <w:p>
      <w:pPr>
        <w:pStyle w:val="Funote"/>
        <w:rPr/>
      </w:pPr>
      <w:r>
        <w:rPr/>
        <w:footnoteRef/>
        <w:tab/>
        <w:t>[Status: Ungeprüft]</w:t>
      </w:r>
    </w:p>
  </w:footnote>
  <w:footnote w:id="61">
    <w:p>
      <w:pPr>
        <w:pStyle w:val="Funote"/>
        <w:rPr/>
      </w:pPr>
      <w:r>
        <w:rPr/>
        <w:footnoteRef/>
        <w:tab/>
        <w:t>[Status: Ungeprüft]</w:t>
      </w:r>
    </w:p>
  </w:footnote>
  <w:footnote w:id="62">
    <w:p>
      <w:pPr>
        <w:pStyle w:val="Funote"/>
        <w:rPr/>
      </w:pPr>
      <w:r>
        <w:rPr/>
        <w:footnoteRef/>
        <w:tab/>
        <w:t xml:space="preserve">Dieser Vers ist auf Aramäisch verfasst (sonst </w:t>
      </w:r>
      <w:r>
        <w:fldChar w:fldCharType="begin"/>
      </w:r>
      <w:r>
        <w:instrText> HYPERLINK "file:///wiki/Daniel_2" \l "s4"</w:instrText>
      </w:r>
      <w:r>
        <w:fldChar w:fldCharType="separate"/>
      </w:r>
      <w:r>
        <w:rPr>
          <w:rStyle w:val="Internetlink"/>
        </w:rPr>
        <w:t>Dan 2,4b</w:t>
      </w:r>
      <w:r>
        <w:fldChar w:fldCharType="end"/>
      </w:r>
      <w:r>
        <w:rPr/>
        <w:t>-</w:t>
      </w:r>
      <w:hyperlink r:id="rId4">
        <w:r>
          <w:rPr>
            <w:rStyle w:val="Internetlink"/>
          </w:rPr>
          <w:t>7,28</w:t>
        </w:r>
      </w:hyperlink>
      <w:r>
        <w:rPr/>
        <w:t xml:space="preserve">; </w:t>
      </w:r>
      <w:r>
        <w:fldChar w:fldCharType="begin"/>
      </w:r>
      <w:r>
        <w:instrText> HYPERLINK "file:///wiki/Esra_4" \l "s8"</w:instrText>
      </w:r>
      <w:r>
        <w:fldChar w:fldCharType="separate"/>
      </w:r>
      <w:r>
        <w:rPr>
          <w:rStyle w:val="Internetlink"/>
        </w:rPr>
        <w:t>Esr 4,8</w:t>
      </w:r>
      <w:r>
        <w:fldChar w:fldCharType="end"/>
      </w:r>
      <w:r>
        <w:rPr/>
        <w:t>-</w:t>
      </w:r>
      <w:r>
        <w:fldChar w:fldCharType="begin"/>
      </w:r>
      <w:r>
        <w:instrText> HYPERLINK "file:///wiki/Esra_6" \l "s18"</w:instrText>
      </w:r>
      <w:r>
        <w:fldChar w:fldCharType="separate"/>
      </w:r>
      <w:r>
        <w:rPr>
          <w:rStyle w:val="Internetlink"/>
        </w:rPr>
        <w:t>6,18</w:t>
      </w:r>
      <w:r>
        <w:fldChar w:fldCharType="end"/>
      </w:r>
      <w:r>
        <w:rPr/>
        <w:t xml:space="preserve">; </w:t>
      </w:r>
      <w:r>
        <w:fldChar w:fldCharType="begin"/>
      </w:r>
      <w:r>
        <w:instrText> HYPERLINK "file:///wiki/Esra_7" \l "s12"</w:instrText>
      </w:r>
      <w:r>
        <w:fldChar w:fldCharType="separate"/>
      </w:r>
      <w:r>
        <w:rPr>
          <w:rStyle w:val="Internetlink"/>
        </w:rPr>
        <w:t>7,12-26</w:t>
      </w:r>
      <w:r>
        <w:fldChar w:fldCharType="end"/>
      </w:r>
      <w:r>
        <w:rPr/>
        <w:t xml:space="preserve"> und Teile von </w:t>
      </w:r>
      <w:hyperlink r:id="rId5">
        <w:r>
          <w:rPr>
            <w:rStyle w:val="Internetlink"/>
          </w:rPr>
          <w:t>Gen 31,47</w:t>
        </w:r>
      </w:hyperlink>
      <w:r>
        <w:rPr/>
        <w:t xml:space="preserve">). Manche nehmen an, es handele sich um eine spätere Einfügung, doch er scheint gut in den Kontext zu passen. Für eine gute Zusammenfassung siehe NET Jer 10,11, Fußnote 23. </w:t>
      </w:r>
    </w:p>
  </w:footnote>
  <w:footnote w:id="63">
    <w:p>
      <w:pPr>
        <w:pStyle w:val="Funote"/>
        <w:rPr/>
      </w:pPr>
      <w:r>
        <w:rPr/>
        <w:footnoteRef/>
        <w:tab/>
        <w:t>[Status: Ungeprüft]</w:t>
      </w:r>
    </w:p>
  </w:footnote>
  <w:footnote w:id="64">
    <w:p>
      <w:pPr>
        <w:pStyle w:val="Funote"/>
        <w:rPr/>
      </w:pPr>
      <w:r>
        <w:rPr/>
        <w:footnoteRef/>
        <w:tab/>
        <w:t xml:space="preserve">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 </w:t>
      </w:r>
    </w:p>
  </w:footnote>
  <w:footnote w:id="65">
    <w:p>
      <w:pPr>
        <w:pStyle w:val="Funote"/>
        <w:rPr/>
      </w:pPr>
      <w:r>
        <w:rPr/>
        <w:footnoteRef/>
        <w:tab/>
        <w:t xml:space="preserve">Von hier an ist der Text Aramäisch (Dan 2,4b-7,28). Neben diesem Abschnitt aus dem Danielbuch sind auch Esra 4,8-6,18; 7,12-26 auf Aramäisch verfasst bzw. aus aramäischen Quellen zitiert (zudem Jer 10,11 und ein Teil von Gen 31,47). </w:t>
      </w:r>
    </w:p>
  </w:footnote>
  <w:footnote w:id="66">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67">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8">
    <w:p>
      <w:pPr>
        <w:pStyle w:val="Funote"/>
        <w:rPr/>
      </w:pPr>
      <w:r>
        <w:rPr>
          <w:i/>
        </w:rPr>
        <w:footnoteRef/>
        <w:tab/>
        <w:t>Weisen</w:t>
      </w:r>
      <w:r>
        <w:rPr/>
        <w:t xml:space="preserve">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 </w:t>
      </w:r>
    </w:p>
  </w:footnote>
  <w:footnote w:id="69">
    <w:p>
      <w:pPr>
        <w:pStyle w:val="Funote"/>
        <w:rPr/>
      </w:pPr>
      <w:r>
        <w:rPr/>
        <w:footnoteRef/>
        <w:tab/>
        <w:t>Oder „Er fragte Arioch, den Bevollmächtigten des Königs: Was...“</w:t>
      </w:r>
    </w:p>
  </w:footnote>
  <w:footnote w:id="70">
    <w:p>
      <w:pPr>
        <w:pStyle w:val="Funote"/>
        <w:rPr/>
      </w:pPr>
      <w:r>
        <w:rPr/>
        <w:footnoteRef/>
        <w:tab/>
        <w:t xml:space="preserve">Daniel kennt also den Erlass, erfährt aber erst jetzt die Geschichte, die dahinter steht, und kann die richtige Entscheidung treffen (vgl. Koch 2005, 157f.). </w:t>
      </w:r>
    </w:p>
  </w:footnote>
  <w:footnote w:id="71">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72">
    <w:p>
      <w:pPr>
        <w:pStyle w:val="Funote"/>
        <w:rPr/>
      </w:pPr>
      <w:r>
        <w:rPr/>
        <w:footnoteRef/>
        <w:tab/>
        <w:t>[Status: Ungeprüft]</w:t>
      </w:r>
    </w:p>
  </w:footnote>
  <w:footnote w:id="73">
    <w:p>
      <w:pPr>
        <w:pStyle w:val="Funote"/>
        <w:rPr/>
      </w:pPr>
      <w:r>
        <w:rPr/>
        <w:footnoteRef/>
        <w:tab/>
        <w:t>[Status: Ungeprüft]</w:t>
      </w:r>
    </w:p>
  </w:footnote>
  <w:footnote w:id="74">
    <w:p>
      <w:pPr>
        <w:pStyle w:val="Funote"/>
        <w:rPr/>
      </w:pPr>
      <w:r>
        <w:rPr/>
        <w:footnoteRef/>
        <w:tab/>
        <w:t>[Status: Ungeprüft]</w:t>
      </w:r>
    </w:p>
  </w:footnote>
  <w:footnote w:id="75">
    <w:p>
      <w:pPr>
        <w:pStyle w:val="Funote"/>
        <w:rPr/>
      </w:pPr>
      <w:r>
        <w:rPr/>
        <w:footnoteRef/>
        <w:tab/>
        <w:t>[Status: Ungeprüft]</w:t>
      </w:r>
    </w:p>
  </w:footnote>
  <w:footnote w:id="76">
    <w:p>
      <w:pPr>
        <w:pStyle w:val="Funote"/>
        <w:rPr/>
      </w:pPr>
      <w:r>
        <w:rPr/>
        <w:footnoteRef/>
        <w:tab/>
        <w:t>[Status: Ungeprüft]</w:t>
      </w:r>
    </w:p>
  </w:footnote>
  <w:footnote w:id="77">
    <w:p>
      <w:pPr>
        <w:pStyle w:val="Funote"/>
        <w:rPr/>
      </w:pPr>
      <w:r>
        <w:rPr/>
        <w:footnoteRef/>
        <w:tab/>
        <w:t>[Status: Ungeprüft]</w:t>
      </w:r>
    </w:p>
  </w:footnote>
  <w:footnote w:id="78">
    <w:p>
      <w:pPr>
        <w:pStyle w:val="Funote"/>
        <w:rPr/>
      </w:pPr>
      <w:r>
        <w:fldChar w:fldCharType="begin"/>
      </w:r>
      <w:r>
        <w:instrText> HYPERLINK "file:///wiki/Micha_5" \l "l1"</w:instrText>
      </w:r>
      <w:r>
        <w:fldChar w:fldCharType="separate"/>
      </w:r>
      <w:r>
        <w:rPr>
          <w:rStyle w:val="Internetlink"/>
        </w:rPr>
        <w:footnoteRef/>
        <w:tab/>
        <w:t>Mi 5,1.3</w:t>
      </w:r>
      <w:r>
        <w:fldChar w:fldCharType="end"/>
      </w:r>
    </w:p>
  </w:footnote>
  <w:footnote w:id="79">
    <w:p>
      <w:pPr>
        <w:pStyle w:val="Funote"/>
        <w:rPr/>
      </w:pPr>
      <w:hyperlink r:id="rId6">
        <w:r>
          <w:rPr>
            <w:rStyle w:val="Internetlink"/>
          </w:rPr>
          <w:footnoteRef/>
          <w:tab/>
          <w:t>Jer 31,15</w:t>
        </w:r>
      </w:hyperlink>
    </w:p>
  </w:footnote>
  <w:footnote w:id="80">
    <w:p>
      <w:pPr>
        <w:pStyle w:val="Funote"/>
        <w:rPr/>
      </w:pPr>
      <w:r>
        <w:rPr/>
        <w:footnoteRef/>
        <w:tab/>
        <w:t>[Status: Ungeprüft]</w:t>
      </w:r>
    </w:p>
  </w:footnote>
  <w:footnote w:id="81">
    <w:p>
      <w:pPr>
        <w:pStyle w:val="Funote"/>
        <w:rPr/>
      </w:pPr>
      <w:r>
        <w:rPr/>
        <w:footnoteRef/>
        <w:tab/>
        <w:t>[Status: Ungeprüft]</w:t>
      </w:r>
    </w:p>
  </w:footnote>
  <w:footnote w:id="82">
    <w:p>
      <w:pPr>
        <w:pStyle w:val="Funote"/>
        <w:rPr/>
      </w:pPr>
      <w:r>
        <w:rPr/>
        <w:footnoteRef/>
        <w:tab/>
        <w:t xml:space="preserve">Griech. für „[Gebiet der] zehn Städte“, ein heidnisch bewohntes Gebiet östlich des Toten Meeres. </w:t>
      </w:r>
    </w:p>
  </w:footnote>
  <w:footnote w:id="83">
    <w:p>
      <w:pPr>
        <w:pStyle w:val="Funote"/>
        <w:rPr/>
      </w:pPr>
      <w:r>
        <w:rPr/>
        <w:footnoteRef/>
        <w:tab/>
        <w:t>[Status: Ungeprüft]</w:t>
      </w:r>
    </w:p>
  </w:footnote>
  <w:footnote w:id="84">
    <w:p>
      <w:pPr>
        <w:pStyle w:val="Funote"/>
        <w:rPr/>
      </w:pPr>
      <w:r>
        <w:rPr/>
        <w:footnoteRef/>
        <w:tab/>
        <w:t>Gemeint ist wohl Gott (Haubeck/Siebthal 2008, S. 25)</w:t>
      </w:r>
    </w:p>
  </w:footnote>
  <w:footnote w:id="85">
    <w:p>
      <w:pPr>
        <w:pStyle w:val="Funote"/>
        <w:rPr/>
      </w:pPr>
      <w:r>
        <w:rPr/>
        <w:footnoteRef/>
        <w:tab/>
        <w:t>2.Mose 21,24, 3.Mose 24,20, 5.Mose 19,21</w:t>
      </w:r>
    </w:p>
  </w:footnote>
  <w:footnote w:id="86">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87">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w:t>
      </w:r>
      <w:r>
        <w:rPr>
          <w:position w:val="7"/>
          <w:sz w:val="16"/>
        </w:rPr>
        <w:t>5</w:t>
      </w:r>
      <w:r>
        <w:rPr/>
        <w:t>2002, 386) eine Anspielung hierauf für denkbar, aber nicht für gesichert. Siebenthal geht von einer Zwangsarbeit für den Beförderungsdienst aus (Haubeck/Siebthal 2008, S. 27)</w:t>
      </w:r>
    </w:p>
  </w:footnote>
  <w:footnote w:id="88">
    <w:p>
      <w:pPr>
        <w:pStyle w:val="Funote"/>
        <w:rPr/>
      </w:pPr>
      <w:r>
        <w:rPr/>
        <w:footnoteRef/>
        <w:tab/>
        <w:t>3.Mose 19,18, die Einschränkung war verbreitet und gründet sich vermeintlich auf 5.Mose 23,4.7</w:t>
      </w:r>
    </w:p>
  </w:footnote>
  <w:footnote w:id="89">
    <w:p>
      <w:pPr>
        <w:pStyle w:val="Funote"/>
        <w:rPr/>
      </w:pPr>
      <w:r>
        <w:rPr/>
        <w:footnoteRef/>
        <w:tab/>
        <w:t>[Status: Ungeprüft]</w:t>
      </w:r>
    </w:p>
  </w:footnote>
  <w:footnote w:id="90">
    <w:p>
      <w:pPr>
        <w:pStyle w:val="Funote"/>
        <w:rPr/>
      </w:pPr>
      <w:r>
        <w:rPr/>
        <w:footnoteRef/>
        <w:tab/>
        <w:t>Das gr. Wort steht für Spenden, Almosen oder „Wohltaten“.</w:t>
      </w:r>
    </w:p>
  </w:footnote>
  <w:footnote w:id="91">
    <w:p>
      <w:pPr>
        <w:pStyle w:val="Funote"/>
        <w:rPr/>
      </w:pPr>
      <w:r>
        <w:rPr/>
        <w:footnoteRef/>
        <w:tab/>
        <w:t>Eigentlich: Heiden</w:t>
      </w:r>
    </w:p>
  </w:footnote>
  <w:footnote w:id="92">
    <w:p>
      <w:pPr>
        <w:pStyle w:val="Funote"/>
        <w:rPr/>
      </w:pPr>
      <w:r>
        <w:rPr/>
        <w:footnoteRef/>
        <w:tab/>
        <w:t>Eigentlich: „was ihr nötig habt“</w:t>
      </w:r>
    </w:p>
  </w:footnote>
  <w:footnote w:id="93">
    <w:p>
      <w:pPr>
        <w:pStyle w:val="Funote"/>
        <w:rPr/>
      </w:pPr>
      <w:r>
        <w:rPr/>
        <w:footnoteRef/>
        <w:tab/>
        <w:t>Gemeint ist, durch wenig Körperpflege, also Dreck, oder durch Verhüllen (Haubeck/Siebthal 2007, 29)</w:t>
      </w:r>
    </w:p>
  </w:footnote>
  <w:footnote w:id="94">
    <w:p>
      <w:pPr>
        <w:pStyle w:val="Funote"/>
        <w:rPr/>
      </w:pPr>
      <w:r>
        <w:rPr/>
        <w:footnoteRef/>
        <w:tab/>
        <w:t>Mögliche atl. Hintergründe: ungeteilte Loyalität Gott gegenüber oder Haltung anderen gegenüber gütig (Haubeck/Siebthal 2007, 32)</w:t>
      </w:r>
    </w:p>
  </w:footnote>
  <w:footnote w:id="95">
    <w:p>
      <w:pPr>
        <w:pStyle w:val="Funote"/>
        <w:rPr/>
      </w:pPr>
      <w:r>
        <w:rPr/>
        <w:footnoteRef/>
        <w:tab/>
        <w:t>Manche Handschriften ergänzen: „oder was ihr trinken sollt“</w:t>
      </w:r>
    </w:p>
  </w:footnote>
  <w:footnote w:id="96">
    <w:p>
      <w:pPr>
        <w:pStyle w:val="Funote"/>
        <w:rPr/>
      </w:pPr>
      <w:r>
        <w:rPr/>
        <w:footnoteRef/>
        <w:tab/>
        <w:t>Gras wurde auch als Brennstoff genutzt.</w:t>
      </w:r>
    </w:p>
  </w:footnote>
  <w:footnote w:id="97">
    <w:p>
      <w:pPr>
        <w:pStyle w:val="Funote"/>
        <w:rPr/>
      </w:pPr>
      <w:r>
        <w:rPr/>
        <w:footnoteRef/>
        <w:tab/>
        <w:t>Wörtlich: Die Völker oder Heiden</w:t>
      </w:r>
    </w:p>
  </w:footnote>
  <w:footnote w:id="98">
    <w:p>
      <w:pPr>
        <w:pStyle w:val="Funote"/>
        <w:rPr/>
      </w:pPr>
      <w:r>
        <w:rPr/>
        <w:footnoteRef/>
        <w:tab/>
        <w:t>Einige Handschriften schreiben nur „Herrschaft“</w:t>
      </w:r>
    </w:p>
  </w:footnote>
  <w:footnote w:id="99">
    <w:p>
      <w:pPr>
        <w:pStyle w:val="Funote"/>
        <w:rPr/>
      </w:pPr>
      <w:r>
        <w:rPr/>
        <w:footnoteRef/>
        <w:tab/>
        <w:t>[Status: Ungeprüft]</w:t>
      </w:r>
    </w:p>
  </w:footnote>
  <w:footnote w:id="100">
    <w:p>
      <w:pPr>
        <w:pStyle w:val="Funote"/>
        <w:rPr/>
      </w:pPr>
      <w:r>
        <w:rPr/>
        <w:footnoteRef/>
        <w:tab/>
        <w:t>Wörtlich: „an ihren Früchten“ - damit erklärt sich das folgende Wortspiel. Ohne den Zusammenhang ist das aber nicht verständlich.</w:t>
      </w:r>
    </w:p>
  </w:footnote>
  <w:footnote w:id="101">
    <w:p>
      <w:pPr>
        <w:pStyle w:val="Funote"/>
        <w:rPr/>
      </w:pPr>
      <w:r>
        <w:rPr/>
        <w:footnoteRef/>
        <w:tab/>
        <w:t>[Status: Ungeprüft]</w:t>
      </w:r>
    </w:p>
  </w:footnote>
  <w:footnote w:id="102">
    <w:p>
      <w:pPr>
        <w:pStyle w:val="Funote"/>
        <w:rPr/>
      </w:pPr>
      <w:r>
        <w:rPr/>
        <w:footnoteRef/>
        <w:tab/>
        <w:t>[Status: Ungeprüft]</w:t>
      </w:r>
    </w:p>
  </w:footnote>
  <w:footnote w:id="103">
    <w:p>
      <w:pPr>
        <w:pStyle w:val="Funote"/>
        <w:rPr/>
      </w:pPr>
      <w:r>
        <w:rPr/>
        <w:footnoteRef/>
        <w:tab/>
        <w:t>Hos. 6,6</w:t>
      </w:r>
    </w:p>
  </w:footnote>
  <w:footnote w:id="104">
    <w:p>
      <w:pPr>
        <w:pStyle w:val="Funote"/>
        <w:rPr/>
      </w:pPr>
      <w:r>
        <w:rPr/>
        <w:footnoteRef/>
        <w:tab/>
        <w:t>die zu der Beerdigung kam</w:t>
      </w:r>
    </w:p>
  </w:footnote>
  <w:footnote w:id="105">
    <w:p>
      <w:pPr>
        <w:pStyle w:val="Funote"/>
        <w:rPr/>
      </w:pPr>
      <w:r>
        <w:rPr/>
        <w:footnoteRef/>
        <w:tab/>
        <w:t>[Status: Ungeprüft]</w:t>
      </w:r>
    </w:p>
  </w:footnote>
  <w:footnote w:id="106">
    <w:p>
      <w:pPr>
        <w:pStyle w:val="Funote"/>
        <w:rPr/>
      </w:pPr>
      <w:r>
        <w:rPr/>
        <w:footnoteRef/>
        <w:tab/>
        <w:t>[Status: Ungeprüft]</w:t>
      </w:r>
    </w:p>
  </w:footnote>
  <w:footnote w:id="107">
    <w:p>
      <w:pPr>
        <w:pStyle w:val="Funote"/>
        <w:rPr/>
      </w:pPr>
      <w:r>
        <w:rPr/>
        <w:footnoteRef/>
        <w:tab/>
        <w:t>[Status: Ungeprüft]</w:t>
      </w:r>
    </w:p>
  </w:footnote>
  <w:footnote w:id="108">
    <w:p>
      <w:pPr>
        <w:pStyle w:val="Funote"/>
        <w:rPr/>
      </w:pPr>
      <w:r>
        <w:rPr/>
        <w:footnoteRef/>
        <w:tab/>
        <w:t>D.h. gegen Ende der Nacht. Man teilte auf einem Boot die Nacht in drei oder vier Nachtwachen ein.</w:t>
      </w:r>
    </w:p>
  </w:footnote>
  <w:footnote w:id="109">
    <w:p>
      <w:pPr>
        <w:pStyle w:val="Funote"/>
        <w:rPr/>
      </w:pPr>
      <w:r>
        <w:rPr/>
        <w:footnoteRef/>
        <w:tab/>
        <w:t>D.h. Jesus</w:t>
      </w:r>
    </w:p>
  </w:footnote>
  <w:footnote w:id="110">
    <w:p>
      <w:pPr>
        <w:pStyle w:val="Funote"/>
        <w:rPr/>
      </w:pPr>
      <w:r>
        <w:rPr/>
        <w:footnoteRef/>
        <w:tab/>
        <w:t>Einige Handschriften ergänzen: Jesus</w:t>
      </w:r>
    </w:p>
  </w:footnote>
  <w:footnote w:id="111">
    <w:p>
      <w:pPr>
        <w:pStyle w:val="Funote"/>
        <w:rPr/>
      </w:pPr>
      <w:r>
        <w:rPr/>
        <w:footnoteRef/>
        <w:tab/>
        <w:t>Wörtlich: Du von schwachem Vertrauen (Kleingläubiger), warum zweifelst Du?</w:t>
      </w:r>
    </w:p>
  </w:footnote>
  <w:footnote w:id="112">
    <w:p>
      <w:pPr>
        <w:pStyle w:val="Funote"/>
        <w:rPr/>
      </w:pPr>
      <w:r>
        <w:rPr/>
        <w:footnoteRef/>
        <w:tab/>
        <w:t>[Status: Ungeprüft]</w:t>
      </w:r>
    </w:p>
  </w:footnote>
  <w:footnote w:id="113">
    <w:p>
      <w:pPr>
        <w:pStyle w:val="Funote"/>
        <w:rPr/>
      </w:pPr>
      <w:r>
        <w:rPr/>
        <w:footnoteRef/>
        <w:tab/>
        <w:t xml:space="preserve">Die Überlieferung der Alten ist nach Lutz nicht eine allgemeine jüdische Überlieferung oder ein Ritualgesetz, sondern wie Jesus in Vers 3 sagt die Überlieferung der Pharisäer und Schriftgelehrten (Lutz 2013, 420) </w:t>
      </w:r>
    </w:p>
  </w:footnote>
  <w:footnote w:id="114">
    <w:p>
      <w:pPr>
        <w:pStyle w:val="Funote"/>
        <w:rPr/>
      </w:pPr>
      <w:r>
        <w:rPr/>
        <w:footnoteRef/>
        <w:tab/>
        <w:t>Kinder mussten wohl ihren Eltern einen bestimmten Nutzen zubilligen, dieser Unterhaltspflicht konnten sie entgehen, wenn sie ihren Besitz per Gelübde dem Tempel weihten(Lutz 2013, 422).</w:t>
      </w:r>
    </w:p>
  </w:footnote>
  <w:footnote w:id="115">
    <w:p>
      <w:pPr>
        <w:pStyle w:val="Funote"/>
        <w:rPr/>
      </w:pPr>
      <w:r>
        <w:rPr/>
        <w:footnoteRef/>
        <w:tab/>
        <w:t>Jesaja 29,13</w:t>
      </w:r>
    </w:p>
  </w:footnote>
  <w:footnote w:id="116">
    <w:p>
      <w:pPr>
        <w:pStyle w:val="Funote"/>
        <w:rPr/>
      </w:pPr>
      <w:r>
        <w:rPr/>
        <w:footnoteRef/>
        <w:tab/>
        <w:t>[Status: Ungeprüft]</w:t>
      </w:r>
    </w:p>
  </w:footnote>
  <w:footnote w:id="117">
    <w:p>
      <w:pPr>
        <w:pStyle w:val="Funote"/>
        <w:rPr/>
      </w:pPr>
      <w:r>
        <w:rPr/>
        <w:footnoteRef/>
        <w:tab/>
        <w:t>[Status: Ungeprüft]</w:t>
      </w:r>
    </w:p>
  </w:footnote>
  <w:footnote w:id="118">
    <w:p>
      <w:pPr>
        <w:pStyle w:val="Funote"/>
        <w:rPr/>
      </w:pPr>
      <w:r>
        <w:rPr/>
        <w:footnoteRef/>
        <w:tab/>
        <w:t>[Status: Ungeprüft]</w:t>
      </w:r>
    </w:p>
  </w:footnote>
  <w:footnote w:id="119">
    <w:p>
      <w:pPr>
        <w:pStyle w:val="Funote"/>
        <w:rPr/>
      </w:pPr>
      <w:r>
        <w:rPr/>
        <w:footnoteRef/>
        <w:tab/>
        <w:t>[Status: Ungeprüft]</w:t>
      </w:r>
    </w:p>
  </w:footnote>
  <w:footnote w:id="120">
    <w:p>
      <w:pPr>
        <w:pStyle w:val="Funote"/>
        <w:rPr/>
      </w:pPr>
      <w:r>
        <w:rPr/>
        <w:footnoteRef/>
        <w:tab/>
        <w:t>[Status: Ungeprüft]</w:t>
      </w:r>
    </w:p>
  </w:footnote>
  <w:footnote w:id="121">
    <w:p>
      <w:pPr>
        <w:pStyle w:val="Funote"/>
        <w:rPr/>
      </w:pPr>
      <w:r>
        <w:rPr/>
        <w:footnoteRef/>
        <w:tab/>
        <w:t>[Status: Ungeprüft]</w:t>
      </w:r>
    </w:p>
  </w:footnote>
  <w:footnote w:id="122">
    <w:p>
      <w:pPr>
        <w:pStyle w:val="Funote"/>
        <w:rPr/>
      </w:pPr>
      <w:r>
        <w:rPr/>
        <w:footnoteRef/>
        <w:tab/>
        <w:t>[Status: Ungeprüft]</w:t>
      </w:r>
    </w:p>
  </w:footnote>
  <w:footnote w:id="123">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24">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25">
    <w:p>
      <w:pPr>
        <w:pStyle w:val="Funote"/>
        <w:rPr/>
      </w:pPr>
      <w:r>
        <w:rPr/>
        <w:footnoteRef/>
        <w:tab/>
        <w:t>[Status: Ungeprüft]</w:t>
      </w:r>
    </w:p>
  </w:footnote>
  <w:footnote w:id="126">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27">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8">
    <w:p>
      <w:pPr>
        <w:pStyle w:val="Funote"/>
        <w:rPr/>
      </w:pPr>
      <w:r>
        <w:rPr/>
        <w:footnoteRef/>
        <w:tab/>
        <w:t>[Status: Ungeprüft]</w:t>
      </w:r>
    </w:p>
  </w:footnote>
  <w:footnote w:id="129">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w:t>
        <w:br/>
        <w:t>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w:t>
        <w:br/>
        <w:t xml:space="preserve">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w:t>
      </w:r>
      <w:hyperlink r:id="rId7">
        <w:r>
          <w:rPr>
            <w:rStyle w:val="Internetlink"/>
          </w:rPr>
          <w:t>hier</w:t>
        </w:r>
      </w:hyperlink>
      <w:r>
        <w:rPr/>
        <w:t>). Wie einst Jahwe die ägyptische Armee im Meer versenkt hat (</w:t>
      </w:r>
      <w:r>
        <w:fldChar w:fldCharType="begin"/>
      </w:r>
      <w:r>
        <w:instrText> HYPERLINK "file:///wiki/Exodus_14" \l "l1"</w:instrText>
      </w:r>
      <w:r>
        <w:fldChar w:fldCharType="separate"/>
      </w:r>
      <w:r>
        <w:rPr>
          <w:rStyle w:val="Internetlink"/>
        </w:rPr>
        <w:t>Ex 14</w:t>
      </w:r>
      <w:r>
        <w:fldChar w:fldCharType="end"/>
      </w:r>
      <w:r>
        <w:rPr/>
        <w:t>), versenkt also hier Jesus eine römische Legion - die darüber hinaus noch gleichgesetzt wird mit verrückten Besessenen einerseits und den verpönten Schweinen andererseits - im „Meer“.</w:t>
      </w:r>
    </w:p>
  </w:footnote>
  <w:footnote w:id="130">
    <w:p>
      <w:pPr>
        <w:pStyle w:val="Funote"/>
        <w:rPr/>
      </w:pPr>
      <w:r>
        <w:rPr/>
        <w:footnoteRef/>
        <w:tab/>
        <w:t xml:space="preserve">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w:t>
      </w:r>
      <w:r>
        <w:fldChar w:fldCharType="begin"/>
      </w:r>
      <w:r>
        <w:instrText> HYPERLINK "file:///wiki/Levitikus_15" \l "s25"</w:instrText>
      </w:r>
      <w:r>
        <w:fldChar w:fldCharType="separate"/>
      </w:r>
      <w:r>
        <w:rPr>
          <w:rStyle w:val="Internetlink"/>
        </w:rPr>
        <w:t>Lev 15,25-27</w:t>
      </w:r>
      <w:r>
        <w:fldChar w:fldCharType="end"/>
      </w:r>
      <w:r>
        <w:rPr/>
        <w:t>).</w:t>
        <w:br/>
        <w:t>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31">
    <w:p>
      <w:pPr>
        <w:pStyle w:val="Funote"/>
        <w:rPr/>
      </w:pPr>
      <w:r>
        <w:rPr/>
        <w:footnoteRef/>
        <w:tab/>
        <w:t xml:space="preserve">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w:t>
      </w:r>
      <w:r>
        <w:rPr>
          <w:i/>
        </w:rPr>
        <w:t>rituelles</w:t>
      </w:r>
      <w:r>
        <w:rPr/>
        <w:t xml:space="preserve"> Heulen und Klagen handelt.</w:t>
      </w:r>
    </w:p>
  </w:footnote>
  <w:footnote w:id="132">
    <w:p>
      <w:pPr>
        <w:pStyle w:val="Funote"/>
        <w:rPr/>
      </w:pPr>
      <w:r>
        <w:rPr/>
        <w:footnoteRef/>
        <w:tab/>
        <w:t>[Status: Ungeprüft]</w:t>
      </w:r>
    </w:p>
  </w:footnote>
  <w:footnote w:id="133">
    <w:p>
      <w:pPr>
        <w:pStyle w:val="Funote"/>
        <w:rPr/>
      </w:pPr>
      <w:r>
        <w:rPr/>
        <w:footnoteRef/>
        <w:tab/>
        <w:t>[Status: Ungeprüft]</w:t>
      </w:r>
    </w:p>
  </w:footnote>
  <w:footnote w:id="134">
    <w:p>
      <w:pPr>
        <w:pStyle w:val="Funote"/>
        <w:rPr/>
      </w:pPr>
      <w:r>
        <w:rPr/>
        <w:footnoteRef/>
        <w:tab/>
        <w:t>[Status: Ungeprüft]</w:t>
      </w:r>
    </w:p>
  </w:footnote>
  <w:footnote w:id="13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136">
    <w:p>
      <w:pPr>
        <w:pStyle w:val="Funote"/>
        <w:rPr/>
      </w:pPr>
      <w:r>
        <w:rPr/>
        <w:footnoteRef/>
        <w:tab/>
        <w:t>wo man sich leicht kultisch verunreinigen kann</w:t>
      </w:r>
    </w:p>
  </w:footnote>
  <w:footnote w:id="13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w:t>
        <w:br/>
        <w:t>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9">
    <w:p>
      <w:pPr>
        <w:pStyle w:val="Funote"/>
        <w:rPr/>
      </w:pPr>
      <w:r>
        <w:rPr/>
        <w:footnoteRef/>
        <w:tab/>
        <w:t>[Status: Ungeprüft]</w:t>
      </w:r>
    </w:p>
  </w:footnote>
  <w:footnote w:id="140">
    <w:p>
      <w:pPr>
        <w:pStyle w:val="Funote"/>
        <w:rPr/>
      </w:pPr>
      <w:r>
        <w:rPr/>
        <w:footnoteRef/>
        <w:tab/>
        <w:t>[Status: Ungeprüft]</w:t>
      </w:r>
    </w:p>
  </w:footnote>
  <w:footnote w:id="141">
    <w:p>
      <w:pPr>
        <w:pStyle w:val="Funote"/>
        <w:rPr/>
      </w:pPr>
      <w:r>
        <w:rPr/>
        <w:footnoteRef/>
        <w:tab/>
        <w:t>[Status: Ungeprüft]</w:t>
      </w:r>
    </w:p>
  </w:footnote>
  <w:footnote w:id="142">
    <w:p>
      <w:pPr>
        <w:pStyle w:val="Funote"/>
        <w:rPr/>
      </w:pPr>
      <w:r>
        <w:rPr/>
        <w:footnoteRef/>
        <w:tab/>
        <w:t>[Status: Ungeprüft]</w:t>
      </w:r>
    </w:p>
  </w:footnote>
  <w:footnote w:id="143">
    <w:p>
      <w:pPr>
        <w:pStyle w:val="Funote"/>
        <w:rPr/>
      </w:pPr>
      <w:r>
        <w:rPr/>
        <w:footnoteRef/>
        <w:tab/>
        <w:t>[Status: Ungeprüft]</w:t>
      </w:r>
    </w:p>
  </w:footnote>
  <w:footnote w:id="144">
    <w:p>
      <w:pPr>
        <w:pStyle w:val="Funote"/>
        <w:rPr/>
      </w:pPr>
      <w:r>
        <w:rPr/>
        <w:footnoteRef/>
        <w:tab/>
        <w:t>[Status: Ungeprüft]</w:t>
      </w:r>
    </w:p>
  </w:footnote>
  <w:footnote w:id="145">
    <w:p>
      <w:pPr>
        <w:pStyle w:val="Funote"/>
        <w:rPr/>
      </w:pPr>
      <w:r>
        <w:rPr>
          <w:i/>
        </w:rPr>
        <w:footnoteRef/>
        <w:tab/>
        <w:t>Bundesblut</w:t>
      </w:r>
      <w:r>
        <w:rPr/>
        <w:t xml:space="preserve"> - Ein Begriff aus dem jüdischen Kultwesen (s. </w:t>
      </w:r>
      <w:hyperlink r:id="rId8">
        <w:r>
          <w:rPr>
            <w:rStyle w:val="Internetlink"/>
          </w:rPr>
          <w:t>Ex 24,8</w:t>
        </w:r>
      </w:hyperlink>
      <w:r>
        <w:rPr/>
        <w:t xml:space="preserve">; </w:t>
      </w:r>
      <w:hyperlink r:id="rId9">
        <w:r>
          <w:rPr>
            <w:rStyle w:val="Internetlink"/>
          </w:rPr>
          <w:t>Sach 9,11</w:t>
        </w:r>
      </w:hyperlink>
      <w:r>
        <w:rPr/>
        <w:t xml:space="preserve">). Das Blut eines Lammes diente im Tempelkult dazu, einen „Bund“ zwischen Gott und Menschen zu besiegeln und die Menschen mit Gott zu versöhnen. Diese Funktion spricht Jesus hier seinem Tod zu. S. ähnlich auch </w:t>
      </w:r>
      <w:r>
        <w:fldChar w:fldCharType="begin"/>
      </w:r>
      <w:r>
        <w:instrText> HYPERLINK "file:///wiki/Johannes_1" \l "l29"</w:instrText>
      </w:r>
      <w:r>
        <w:fldChar w:fldCharType="separate"/>
      </w:r>
      <w:r>
        <w:rPr>
          <w:rStyle w:val="Internetlink"/>
        </w:rPr>
        <w:t>Joh 1,29</w:t>
      </w:r>
      <w:r>
        <w:fldChar w:fldCharType="end"/>
      </w:r>
      <w:r>
        <w:rPr/>
        <w:t xml:space="preserve">; </w:t>
      </w:r>
      <w:r>
        <w:fldChar w:fldCharType="begin"/>
      </w:r>
      <w:r>
        <w:instrText> HYPERLINK "file:///wiki/Römer_3" \l "l25"</w:instrText>
      </w:r>
      <w:r>
        <w:fldChar w:fldCharType="separate"/>
      </w:r>
      <w:r>
        <w:rPr>
          <w:rStyle w:val="Internetlink"/>
        </w:rPr>
        <w:t>Röm 3,25f</w:t>
      </w:r>
      <w:r>
        <w:fldChar w:fldCharType="end"/>
      </w:r>
      <w:r>
        <w:rPr/>
        <w:t xml:space="preserve">; </w:t>
      </w:r>
      <w:hyperlink r:id="rId10">
        <w:r>
          <w:rPr>
            <w:rStyle w:val="Internetlink"/>
          </w:rPr>
          <w:t>Heb 9,13-15</w:t>
        </w:r>
      </w:hyperlink>
      <w:r>
        <w:rPr/>
        <w:t>.</w:t>
      </w:r>
    </w:p>
  </w:footnote>
  <w:footnote w:id="146">
    <w:p>
      <w:pPr>
        <w:pStyle w:val="Funote"/>
        <w:rPr/>
      </w:pPr>
      <w:r>
        <w:rPr/>
        <w:footnoteRef/>
        <w:tab/>
        <w:t>[Status: Ungeprüft]</w:t>
      </w:r>
    </w:p>
  </w:footnote>
  <w:footnote w:id="147">
    <w:p>
      <w:pPr>
        <w:pStyle w:val="Funote"/>
        <w:rPr/>
      </w:pPr>
      <w:r>
        <w:rPr/>
        <w:footnoteRef/>
        <w:tab/>
        <w:t>[Status: Ungeprüft]</w:t>
      </w:r>
    </w:p>
  </w:footnote>
  <w:footnote w:id="148">
    <w:p>
      <w:pPr>
        <w:pStyle w:val="Funote"/>
        <w:rPr/>
      </w:pPr>
      <w:r>
        <w:rPr/>
        <w:footnoteRef/>
        <w:tab/>
        <w:t>[Status: Ungeprüft]</w:t>
      </w:r>
    </w:p>
  </w:footnote>
  <w:footnote w:id="149">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50">
    <w:p>
      <w:pPr>
        <w:pStyle w:val="Funote"/>
        <w:rPr/>
      </w:pPr>
      <w:r>
        <w:rPr/>
        <w:footnoteRef/>
        <w:tab/>
        <w:t>Das hier mit „Wohlwollen“ übersetzte Wort kann im griechischen Text auch anders bezogen werden. Dann ergibt sich die Bedeutung: „bei den wohlwollenden Menschen“.</w:t>
      </w:r>
    </w:p>
  </w:footnote>
  <w:footnote w:id="151">
    <w:p>
      <w:pPr>
        <w:pStyle w:val="Funote"/>
        <w:rPr/>
      </w:pPr>
      <w:r>
        <w:rPr/>
        <w:footnoteRef/>
        <w:tab/>
        <w:t>[Status: Ungeprüft]</w:t>
      </w:r>
    </w:p>
  </w:footnote>
  <w:footnote w:id="152">
    <w:p>
      <w:pPr>
        <w:pStyle w:val="Funote"/>
        <w:rPr/>
      </w:pPr>
      <w:r>
        <w:rPr/>
        <w:footnoteRef/>
        <w:tab/>
        <w:t>[Status: Ungeprüft]</w:t>
      </w:r>
    </w:p>
  </w:footnote>
  <w:footnote w:id="153">
    <w:p>
      <w:pPr>
        <w:pStyle w:val="Funote"/>
        <w:rPr/>
      </w:pPr>
      <w:r>
        <w:rPr/>
        <w:footnoteRef/>
        <w:tab/>
        <w:t xml:space="preserve">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w:t>
      </w:r>
      <w:hyperlink r:id="rId11">
        <w:r>
          <w:rPr>
            <w:rStyle w:val="Internetlink"/>
          </w:rPr>
          <w:t>Apg 15</w:t>
        </w:r>
      </w:hyperlink>
      <w:r>
        <w:rPr/>
        <w:t xml:space="preserve">)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w:t>
      </w:r>
      <w:hyperlink r:id="rId12">
        <w:r>
          <w:rPr>
            <w:rStyle w:val="Internetlink"/>
          </w:rPr>
          <w:t>Apg 11,26</w:t>
        </w:r>
      </w:hyperlink>
      <w:r>
        <w:rPr/>
        <w:t>).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4">
    <w:p>
      <w:pPr>
        <w:pStyle w:val="Funote"/>
        <w:rPr/>
      </w:pPr>
      <w:r>
        <w:rPr/>
        <w:footnoteRef/>
        <w:tab/>
        <w:t>[Status: Ungeprüft]</w:t>
      </w:r>
    </w:p>
  </w:footnote>
  <w:footnote w:id="155">
    <w:p>
      <w:pPr>
        <w:pStyle w:val="Funote"/>
        <w:rPr/>
      </w:pPr>
      <w:r>
        <w:rPr/>
        <w:footnoteRef/>
        <w:tab/>
        <w:t>[Status: Ungeprüft]</w:t>
      </w:r>
    </w:p>
  </w:footnote>
  <w:footnote w:id="156">
    <w:p>
      <w:pPr>
        <w:pStyle w:val="Funote"/>
        <w:rPr/>
      </w:pPr>
      <w:r>
        <w:rPr/>
        <w:footnoteRef/>
        <w:tab/>
        <w:t>[Status: Ungeprüft]</w:t>
      </w:r>
    </w:p>
  </w:footnote>
  <w:footnote w:id="157">
    <w:p>
      <w:pPr>
        <w:pStyle w:val="Funote"/>
        <w:rPr/>
      </w:pPr>
      <w:r>
        <w:rPr/>
        <w:footnoteRef/>
        <w:tab/>
        <w:t>[Status: Ungeprüft]</w:t>
      </w:r>
    </w:p>
  </w:footnote>
  <w:footnote w:id="158">
    <w:p>
      <w:pPr>
        <w:pStyle w:val="Funote"/>
        <w:rPr/>
      </w:pPr>
      <w:r>
        <w:rPr/>
        <w:footnoteRef/>
        <w:tab/>
        <w:t>[Status: Ungeprüft]</w:t>
      </w:r>
    </w:p>
  </w:footnote>
  <w:footnote w:id="159">
    <w:p>
      <w:pPr>
        <w:pStyle w:val="Funote"/>
        <w:rPr/>
      </w:pPr>
      <w:r>
        <w:rPr/>
        <w:footnoteRef/>
        <w:tab/>
        <w:t>[Status: Ungeprüft]</w:t>
      </w:r>
    </w:p>
  </w:footnote>
  <w:footnote w:id="160">
    <w:p>
      <w:pPr>
        <w:pStyle w:val="Funote"/>
        <w:rPr/>
      </w:pPr>
      <w:r>
        <w:rPr/>
        <w:footnoteRef/>
        <w:tab/>
        <w:t>[Status: Ungeprüft]</w:t>
      </w:r>
    </w:p>
  </w:footnote>
  <w:footnote w:id="161">
    <w:p>
      <w:pPr>
        <w:pStyle w:val="Funote"/>
        <w:rPr/>
      </w:pPr>
      <w:r>
        <w:rPr/>
        <w:footnoteRef/>
        <w:tab/>
        <w:t>[Status: Ungeprüft]</w:t>
      </w:r>
    </w:p>
  </w:footnote>
  <w:footnote w:id="162">
    <w:p>
      <w:pPr>
        <w:pStyle w:val="Funote"/>
        <w:rPr/>
      </w:pPr>
      <w:r>
        <w:rPr/>
        <w:footnoteRef/>
        <w:tab/>
        <w:t>[Status: Ungeprüft]</w:t>
      </w:r>
    </w:p>
  </w:footnote>
  <w:footnote w:id="163">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64">
    <w:p>
      <w:pPr>
        <w:pStyle w:val="Funote"/>
        <w:rPr/>
      </w:pPr>
      <w:r>
        <w:rPr/>
        <w:footnoteRef/>
        <w:tab/>
        <w:t>[Status: Ungeprüft]</w:t>
      </w:r>
    </w:p>
  </w:footnote>
  <w:footnote w:id="165">
    <w:p>
      <w:pPr>
        <w:pStyle w:val="Funote"/>
        <w:rPr/>
      </w:pPr>
      <w:r>
        <w:rPr/>
        <w:footnoteRef/>
        <w:tab/>
        <w:t>[Status: Ungeprüft]</w:t>
      </w:r>
    </w:p>
  </w:footnote>
  <w:footnote w:id="166">
    <w:p>
      <w:pPr>
        <w:pStyle w:val="Funote"/>
        <w:rPr/>
      </w:pPr>
      <w:r>
        <w:rPr/>
        <w:footnoteRef/>
        <w:tab/>
        <w:t>[Status: Ungeprüft]</w:t>
      </w:r>
    </w:p>
  </w:footnote>
  <w:footnote w:id="167">
    <w:p>
      <w:pPr>
        <w:pStyle w:val="Funote"/>
        <w:rPr/>
      </w:pPr>
      <w:r>
        <w:rPr/>
        <w:footnoteRef/>
        <w:tab/>
        <w:t>[Status: Ungeprüft]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Arial"/>
    </w:rPr>
  </w:style>
  <w:style w:type="paragraph" w:styleId="Beschriftung">
    <w:name w:val="Beschriftung"/>
    <w:basedOn w:val="Normal"/>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http://www.unifr.ch/bkv/kapitel2616-6.htm" TargetMode="External"/><Relationship Id="rId2" Type="http://schemas.openxmlformats.org/officeDocument/2006/relationships/hyperlink" Target="file:///mediawiki/index.php%3Ftitle=1_K&#246;nige_6&amp;action=edit&amp;redlink=1" TargetMode="External"/><Relationship Id="rId3" Type="http://schemas.openxmlformats.org/officeDocument/2006/relationships/hyperlink" Target="file:///mediawiki/index.php%3Ftitle=Esra_1&amp;action=edit&amp;redlink=1" TargetMode="External"/><Relationship Id="rId4" Type="http://schemas.openxmlformats.org/officeDocument/2006/relationships/hyperlink" Target="file:///mediawiki/index.php%3Ftitle=Daniel_7&amp;action=edit&amp;redlink=1" TargetMode="External"/><Relationship Id="rId5" Type="http://schemas.openxmlformats.org/officeDocument/2006/relationships/hyperlink" Target="file:///mediawiki/index.php%3Ftitle=Genesis_31&amp;action=edit&amp;redlink=1" TargetMode="External"/><Relationship Id="rId6" Type="http://schemas.openxmlformats.org/officeDocument/2006/relationships/hyperlink" Target="file:///mediawiki/index.php%3Ftitle=Jeremia_31&amp;action=edit&amp;redlink=1" TargetMode="External"/><Relationship Id="rId7" Type="http://schemas.openxmlformats.org/officeDocument/2006/relationships/hyperlink" Target="http://www.legionten.org/Studies/LXFstudies/images/10.jpg" TargetMode="External"/><Relationship Id="rId8" Type="http://schemas.openxmlformats.org/officeDocument/2006/relationships/hyperlink" Target="file:///mediawiki/index.php%3Ftitle=Exodus_24&amp;action=edit&amp;redlink=1" TargetMode="External"/><Relationship Id="rId9" Type="http://schemas.openxmlformats.org/officeDocument/2006/relationships/hyperlink" Target="file:///mediawiki/index.php%3Ftitle=Sacharja_9&amp;action=edit&amp;redlink=1" TargetMode="External"/><Relationship Id="rId10" Type="http://schemas.openxmlformats.org/officeDocument/2006/relationships/hyperlink" Target="file:///mediawiki/index.php%3Ftitle=Hebr&#228;er_9&amp;action=edit&amp;redlink=1" TargetMode="External"/><Relationship Id="rId11" Type="http://schemas.openxmlformats.org/officeDocument/2006/relationships/hyperlink" Target="file:///mediawiki/index.php%3Ftitle=Apostelgeschichte_15&amp;action=edit&amp;redlink=1" TargetMode="External"/><Relationship Id="rId12" Type="http://schemas.openxmlformats.org/officeDocument/2006/relationships/hyperlink" Target="file:///mediawiki/index.php%3Ftitle=Apostelgeschichte_11&amp;action=edit&amp;redlink=1" TargetMode="External"/>
</Relationships>
</file>

<file path=docProps/app.xml><?xml version="1.0" encoding="utf-8"?>
<Properties xmlns="http://schemas.openxmlformats.org/officeDocument/2006/extended-properties" xmlns:vt="http://schemas.openxmlformats.org/officeDocument/2006/docPropsVTypes">
  <TotalTime>0</TotalTime>
  <Application>LibreOffice/5.0.3.2$Windows_x86 LibreOffice_project/e5f16313668ac592c1bfb310f4390624e3dbfb75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