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[2016-01-01]</w:t>
        <w:br/>
        <w:t xml:space="preserve">Lizenz: Copyright (C) 2009-2016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Ich aber bin ein Wurm und kein Mensch, 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r>
      <w:r>
        <w:rPr>
          <w:rStyle w:val="Funotenanker"/>
        </w:rPr>
        <w:footnoteReference w:customMarkFollows="1" w:id="792"/>
        <w:t>aj</w:t>
      </w:r>
      <w:r>
        <w:rPr/>
        <w:t>Er hat nicht sein Gesicht vor ihm verborgen,</w:t>
      </w:r>
      <w:r>
        <w:rPr>
          <w:rStyle w:val="Funotenanker"/>
        </w:rPr>
        <w:footnoteReference w:customMarkFollows="1" w:id="793"/>
        <w:t>ak</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4"/>
        <w:t>al</w:t>
      </w:r>
      <w:r>
        <w:rPr/>
        <w:t xml:space="preserve"> Meine Gelübde werde ich vor denen erfüllen, die ihn fürchten </w:t>
      </w:r>
      <w:r>
        <w:rPr>
          <w:color w:val="808080"/>
        </w:rPr>
        <w:t>(verehren)</w:t>
      </w:r>
      <w:r>
        <w:rPr/>
        <w:t>:</w:t>
      </w:r>
      <w:r>
        <w:rPr>
          <w:rStyle w:val="Funotenanker"/>
        </w:rPr>
        <w:footnoteReference w:customMarkFollows="1" w:id="795"/>
        <w:t>am</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6"/>
        <w:t>an</w:t>
      </w:r>
      <w:r>
        <w:rPr/>
        <w:t xml:space="preserve"> sollen essen und satt werden </w:t>
      </w:r>
      <w:r>
        <w:rPr>
          <w:color w:val="808080"/>
        </w:rPr>
        <w:t>(sollen sich satt essen)</w:t>
      </w:r>
      <w:r>
        <w:rPr/>
        <w:t xml:space="preserve">,Es sollen </w:t>
      </w:r>
      <w:r>
        <w:rPr>
          <w:smallCaps/>
          <w:color w:val="FF0000"/>
        </w:rPr>
        <w:t>JHWH</w:t>
      </w:r>
      <w:r>
        <w:rPr/>
        <w:t xml:space="preserve"> feiern, die ihn verehren.</w:t>
      </w:r>
      <w:r>
        <w:rPr>
          <w:rStyle w:val="Funotenanker"/>
        </w:rPr>
        <w:footnoteReference w:customMarkFollows="1" w:id="797"/>
        <w:t>ao</w:t>
      </w:r>
      <w:r>
        <w:rPr/>
        <w:t xml:space="preserve"> </w:t>
        <w:br/>
        <w:t>Aufleben soll euer Herz für immer!“</w:t>
      </w:r>
      <w:r>
        <w:rPr>
          <w:rStyle w:val="Funotenanker"/>
        </w:rPr>
        <w:footnoteReference w:customMarkFollows="1" w:id="798"/>
        <w:t>ap</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9"/>
        <w:t>aq</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800"/>
        <w:t>ar</w:t>
      </w:r>
      <w:r>
        <w:rPr/>
        <w:t xml:space="preserve"> </w:t>
        <w:br/>
        <w:t xml:space="preserve">Und vor dir </w:t>
      </w:r>
      <w:r>
        <w:rPr>
          <w:color w:val="808080"/>
        </w:rPr>
        <w:t>(vor ihm)</w:t>
      </w:r>
      <w:r>
        <w:rPr/>
        <w:t xml:space="preserve"> </w:t>
      </w:r>
      <w:r>
        <w:rPr>
          <w:rStyle w:val="Funotenanker"/>
        </w:rPr>
        <w:footnoteReference w:customMarkFollows="1" w:id="801"/>
        <w:t>as</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2"/>
        <w:t>at</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3"/>
        <w:t>au</w:t>
      </w:r>
      <w:r>
        <w:rPr/>
        <w:t xml:space="preserve"> alle Fetten der Erde,Vor seinem Gesicht</w:t>
      </w:r>
      <w:r>
        <w:rPr>
          <w:rStyle w:val="Funotenanker"/>
        </w:rPr>
        <w:footnoteReference w:customMarkFollows="1" w:id="804"/>
        <w:t>av</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5"/>
        <w:t>aw</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6"/>
        <w:t>ax</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7"/>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8"/>
        <w:t>a</w:t>
      </w:r>
      <w:r>
        <w:rPr/>
        <w:t xml:space="preserve"> Nichts fehlt mir </w:t>
      </w:r>
      <w:r>
        <w:rPr>
          <w:color w:val="808080"/>
        </w:rPr>
        <w:t>(wird mir fehlen)</w:t>
      </w:r>
      <w:r>
        <w:rPr/>
        <w:t xml:space="preserve"> </w:t>
      </w:r>
      <w:r>
        <w:rPr>
          <w:rStyle w:val="Funotenanker"/>
        </w:rPr>
        <w:footnoteReference w:customMarkFollows="1" w:id="809"/>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10"/>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1"/>
        <w:t>d</w:t>
      </w:r>
      <w:r>
        <w:rPr/>
        <w:t xml:space="preserve"> ausruhen </w:t>
      </w:r>
      <w:r>
        <w:rPr>
          <w:color w:val="808080"/>
        </w:rPr>
        <w:t>(hinlegen, rasten)</w:t>
      </w:r>
      <w:r>
        <w:rPr/>
        <w:t xml:space="preserve"> kann</w:t>
      </w:r>
      <w:r>
        <w:rPr>
          <w:rStyle w:val="Funotenanker"/>
        </w:rPr>
        <w:footnoteReference w:customMarkFollows="1" w:id="812"/>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3"/>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4"/>
        <w:t>g</w:t>
      </w:r>
      <w:r>
        <w:rPr/>
        <w:t xml:space="preserve"> bringt er zurück </w:t>
      </w:r>
      <w:r>
        <w:rPr>
          <w:color w:val="808080"/>
        </w:rPr>
        <w:t>(wird er erneuern, erfrischt er)</w:t>
      </w:r>
      <w:r>
        <w:rPr/>
        <w:t xml:space="preserve"> </w:t>
      </w:r>
      <w:r>
        <w:rPr>
          <w:rStyle w:val="Funotenanker"/>
        </w:rPr>
        <w:footnoteReference w:customMarkFollows="1" w:id="815"/>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6"/>
        <w:t>i</w:t>
      </w:r>
      <w:r>
        <w:rPr/>
        <w:t xml:space="preserve"> gehe </w:t>
      </w:r>
      <w:r>
        <w:rPr>
          <w:color w:val="808080"/>
        </w:rPr>
        <w:t>(gehen werde/muss/sollte, gerate</w:t>
      </w:r>
      <w:r>
        <w:rPr/>
        <w:t xml:space="preserve"> </w:t>
      </w:r>
      <w:r>
        <w:rPr>
          <w:rStyle w:val="Funotenanker"/>
        </w:rPr>
        <w:footnoteReference w:customMarkFollows="1" w:id="817"/>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8"/>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9"/>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20"/>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1"/>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2"/>
        <w:t>o</w:t>
      </w:r>
      <w:r>
        <w:rPr/>
        <w:t xml:space="preserve"> </w:t>
      </w:r>
      <w:r>
        <w:rPr>
          <w:color w:val="808080"/>
        </w:rPr>
        <w:t>(meines Feindes</w:t>
      </w:r>
      <w:r>
        <w:rPr/>
        <w:t xml:space="preserve"> </w:t>
      </w:r>
      <w:r>
        <w:rPr>
          <w:rStyle w:val="Funotenanker"/>
        </w:rPr>
        <w:footnoteReference w:customMarkFollows="1" w:id="823"/>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4"/>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5"/>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6"/>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7"/>
        <w:t>t</w:t>
      </w:r>
      <w:r>
        <w:rPr/>
        <w:t xml:space="preserve"> </w:t>
      </w:r>
      <w:r>
        <w:rPr>
          <w:color w:val="808080"/>
        </w:rPr>
        <w:t>zurückkehren)</w:t>
      </w:r>
      <w:r>
        <w:rPr/>
        <w:t xml:space="preserve"> </w:t>
      </w:r>
      <w:r>
        <w:rPr>
          <w:rStyle w:val="Funotenanker"/>
        </w:rPr>
        <w:footnoteReference w:customMarkFollows="1" w:id="828"/>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9"/>
        <w:t>Status</w:t>
      </w:r>
      <w:r>
        <w:rPr/>
        <w:t xml:space="preserve"> Ein Psalm </w:t>
      </w:r>
      <w:r>
        <w:rPr>
          <w:color w:val="808080"/>
        </w:rPr>
        <w:t>(begleitetes Lied)</w:t>
      </w:r>
      <w:r>
        <w:rPr/>
        <w:t>. Ein Lied zur Tempelweihe</w:t>
      </w:r>
      <w:r>
        <w:rPr>
          <w:rStyle w:val="Funotenanker"/>
        </w:rPr>
        <w:footnoteReference w:customMarkFollows="1" w:id="830"/>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1"/>
        <w:t>b</w:t>
      </w:r>
      <w:r>
        <w:rPr/>
        <w:t xml:space="preserve"> du mich herausgeschöpft </w:t>
      </w:r>
      <w:r>
        <w:rPr>
          <w:color w:val="808080"/>
        </w:rPr>
        <w:t>(emporgezogen)</w:t>
      </w:r>
      <w:r>
        <w:rPr/>
        <w:t xml:space="preserve"> </w:t>
      </w:r>
      <w:r>
        <w:rPr>
          <w:rStyle w:val="Funotenanker"/>
        </w:rPr>
        <w:footnoteReference w:customMarkFollows="1" w:id="832"/>
        <w:t>c</w:t>
      </w:r>
      <w:r>
        <w:rPr/>
        <w:t xml:space="preserve"> </w:t>
      </w:r>
      <w:r>
        <w:rPr>
          <w:rStyle w:val="Funotenanker"/>
        </w:rPr>
        <w:footnoteReference w:customMarkFollows="1" w:id="833"/>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4"/>
        <w:t>e</w:t>
      </w:r>
      <w:r>
        <w:rPr/>
        <w:t xml:space="preserve"> sich nicht über mich </w:t>
      </w:r>
      <w:r>
        <w:rPr>
          <w:color w:val="808080"/>
        </w:rPr>
        <w:t>(meine meinigen Feinde sich nicht)</w:t>
      </w:r>
      <w:r>
        <w:rPr/>
        <w:t xml:space="preserve"> </w:t>
      </w:r>
      <w:r>
        <w:rPr>
          <w:rStyle w:val="Funotenanker"/>
        </w:rPr>
        <w:footnoteReference w:customMarkFollows="1" w:id="835"/>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6"/>
        <w:t>g</w:t>
      </w:r>
      <w:r>
        <w:rPr/>
        <w:t xml:space="preserve"> aus dem Scheol </w:t>
      </w:r>
      <w:r>
        <w:rPr>
          <w:color w:val="808080"/>
        </w:rPr>
        <w:t>(aus der Unterwelt, aus der Totenwelt)</w:t>
      </w:r>
      <w:r>
        <w:rPr/>
        <w:t xml:space="preserve"> heraufgeholt</w:t>
      </w:r>
      <w:r>
        <w:rPr>
          <w:rStyle w:val="Funotenanker"/>
        </w:rPr>
        <w:footnoteReference w:customMarkFollows="1" w:id="837"/>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8"/>
        <w:t>i</w:t>
      </w:r>
      <w:r>
        <w:rPr/>
        <w:t xml:space="preserve"> Hinabgefahrenen </w:t>
      </w:r>
      <w:r>
        <w:rPr>
          <w:color w:val="808080"/>
        </w:rPr>
        <w:t>(bewahrt vom Hinabfahren)</w:t>
      </w:r>
      <w:r>
        <w:rPr/>
        <w:t xml:space="preserve"> </w:t>
      </w:r>
      <w:r>
        <w:rPr>
          <w:rStyle w:val="Funotenanker"/>
        </w:rPr>
        <w:footnoteReference w:customMarkFollows="1" w:id="839"/>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40"/>
        <w:t>k</w:t>
      </w:r>
      <w:r>
        <w:rPr/>
        <w:t xml:space="preserve"> </w:t>
      </w:r>
      <w:r>
        <w:rPr>
          <w:smallCaps/>
          <w:color w:val="FF0000"/>
        </w:rPr>
        <w:t>JHWH</w:t>
      </w:r>
      <w:r>
        <w:rPr/>
        <w:t>, ihr seine Frommen</w:t>
      </w:r>
      <w:r>
        <w:rPr>
          <w:rStyle w:val="Funotenanker"/>
        </w:rPr>
        <w:footnoteReference w:customMarkFollows="1" w:id="841"/>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2"/>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3"/>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4"/>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5"/>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6"/>
        <w:t>q</w:t>
      </w:r>
      <w:r>
        <w:rPr/>
        <w:t xml:space="preserve"> in meiner Sorglosigkeit sprach: „Niemals werde ich wanken</w:t>
      </w:r>
      <w:r>
        <w:rPr>
          <w:rStyle w:val="Funotenanker"/>
        </w:rPr>
        <w:footnoteReference w:customMarkFollows="1" w:id="847"/>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8"/>
        <w:t>s</w:t>
      </w:r>
      <w:r>
        <w:rPr/>
        <w:t xml:space="preserve">, mich in deiner Gunst standhafter als die starken </w:t>
      </w:r>
      <w:r>
        <w:rPr>
          <w:color w:val="808080"/>
        </w:rPr>
        <w:t>(sicheren)</w:t>
      </w:r>
      <w:r>
        <w:rPr/>
        <w:t xml:space="preserve"> Berge gemacht hast,</w:t>
      </w:r>
      <w:r>
        <w:rPr>
          <w:rStyle w:val="Funotenanker"/>
        </w:rPr>
        <w:footnoteReference w:customMarkFollows="1" w:id="849"/>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50"/>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1"/>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2"/>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3"/>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4"/>
        <w:t>y</w:t>
      </w:r>
      <w:r>
        <w:rPr/>
        <w:t>?</w:t>
        <w:br/>
        <w:t xml:space="preserve">Kann Lehm </w:t>
      </w:r>
      <w:r>
        <w:rPr>
          <w:color w:val="808080"/>
        </w:rPr>
        <w:t>(Staub, können Tote)</w:t>
      </w:r>
      <w:r>
        <w:rPr/>
        <w:t xml:space="preserve"> </w:t>
      </w:r>
      <w:r>
        <w:rPr>
          <w:rStyle w:val="Funotenanker"/>
        </w:rPr>
        <w:footnoteReference w:customMarkFollows="1" w:id="855"/>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6"/>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7"/>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8"/>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9"/>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60"/>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1"/>
        <w:t>Status</w:t>
      </w:r>
      <w:r>
        <w:rPr/>
        <w:t xml:space="preserve"> Für den obersten Musiker </w:t>
      </w:r>
      <w:r>
        <w:rPr>
          <w:color w:val="808080"/>
        </w:rPr>
        <w:t>(Chorleiter, Dirigenten, Aufseher, vorzusingen)</w:t>
      </w:r>
      <w:r>
        <w:rPr/>
        <w:t xml:space="preserve"> </w:t>
      </w:r>
      <w:r>
        <w:rPr>
          <w:rStyle w:val="Funotenanker"/>
        </w:rPr>
        <w:footnoteReference w:customMarkFollows="1" w:id="862"/>
        <w:t>a</w:t>
      </w:r>
      <w:r>
        <w:rPr/>
        <w:t xml:space="preserve">. Mit Saiteninstrumenten </w:t>
      </w:r>
      <w:r>
        <w:rPr>
          <w:color w:val="808080"/>
        </w:rPr>
        <w:t>(fröhlicher Musik, Zupfinstrumenten)</w:t>
      </w:r>
      <w:r>
        <w:rPr/>
        <w:t xml:space="preserve"> </w:t>
      </w:r>
      <w:r>
        <w:rPr>
          <w:rStyle w:val="Funotenanker"/>
        </w:rPr>
        <w:footnoteReference w:customMarkFollows="1" w:id="863"/>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4"/>
        <w:t>c</w:t>
      </w:r>
      <w:r>
        <w:rPr/>
        <w:t>,</w:t>
      </w:r>
      <w:r>
        <w:rPr>
          <w:position w:val="8"/>
          <w:sz w:val="19"/>
        </w:rPr>
        <w:t>[[ ℘ &gt;&gt; BibleTOBIBLE:Nu 6:24]]</w:t>
      </w:r>
      <w:r>
        <w:rPr/>
        <w:t xml:space="preserve"> </w:t>
      </w:r>
      <w:r>
        <w:rPr>
          <w:rStyle w:val="Funotenanker"/>
        </w:rPr>
        <w:footnoteReference w:customMarkFollows="1" w:id="865"/>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6"/>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7"/>
        <w:t>f</w:t>
      </w:r>
      <w:r>
        <w:rPr/>
        <w:t xml:space="preserve"> deine rettende Kraft </w:t>
      </w:r>
      <w:r>
        <w:rPr>
          <w:color w:val="808080"/>
        </w:rPr>
        <w:t>(Hilfe, Rettung, dein Eingeifen, Heil)</w:t>
      </w:r>
      <w:r>
        <w:rPr/>
        <w:t xml:space="preserve"> </w:t>
      </w:r>
      <w:r>
        <w:rPr>
          <w:rStyle w:val="Funotenanker"/>
        </w:rPr>
        <w:footnoteReference w:customMarkFollows="1" w:id="868"/>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9"/>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70"/>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1"/>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2"/>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3"/>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4"/>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5"/>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6"/>
        <w:t>b</w:t>
      </w:r>
      <w:r>
        <w:rPr/>
        <w:t xml:space="preserve"> hervorgebracht </w:t>
      </w:r>
      <w:r>
        <w:rPr>
          <w:color w:val="808080"/>
        </w:rPr>
        <w:t>(geboren)</w:t>
      </w:r>
      <w:r>
        <w:rPr/>
        <w:t xml:space="preserve"> </w:t>
      </w:r>
      <w:r>
        <w:rPr>
          <w:rStyle w:val="Funotenanker"/>
        </w:rPr>
        <w:footnoteReference w:customMarkFollows="1" w:id="877"/>
        <w:t>c</w:t>
      </w:r>
      <w:r>
        <w:rPr/>
        <w:t xml:space="preserve"> hattest</w:t>
      </w:r>
      <w:r>
        <w:rPr>
          <w:rStyle w:val="Funotenanker"/>
        </w:rPr>
        <w:footnoteReference w:customMarkFollows="1" w:id="878"/>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9"/>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80"/>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1"/>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2"/>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3"/>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4"/>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5"/>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6"/>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7"/>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888"/>
        <w:t>n</w:t>
      </w:r>
      <w:r>
        <w:rPr/>
        <w:t xml:space="preserve"> achtzig Jahre.</w:t>
        <w:br/>
      </w:r>
      <w:r>
        <w:rPr>
          <w:strike/>
          <w:color w:val="808080"/>
        </w:rPr>
        <w:t>{und}</w:t>
      </w:r>
      <w:r>
        <w:rPr/>
        <w:t xml:space="preserve"> Ihr Stolz</w:t>
      </w:r>
      <w:r>
        <w:rPr>
          <w:rStyle w:val="Funotenanker"/>
        </w:rPr>
        <w:footnoteReference w:customMarkFollows="1" w:id="889"/>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890"/>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1"/>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2"/>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3"/>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4"/>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5"/>
        <w:t>a</w:t>
      </w:r>
      <w:r>
        <w:rPr/>
        <w:t xml:space="preserve"> </w:t>
      </w:r>
      <w:r>
        <w:rPr>
          <w:color w:val="808080"/>
        </w:rPr>
        <w:t>)</w:t>
      </w:r>
      <w:r>
        <w:rPr/>
        <w:t xml:space="preserve"> </w:t>
      </w:r>
      <w:r>
        <w:rPr>
          <w:rStyle w:val="Funotenanker"/>
        </w:rPr>
        <w:footnoteReference w:customMarkFollows="1" w:id="896"/>
        <w:t>b</w:t>
      </w:r>
      <w:r>
        <w:rPr/>
        <w:t xml:space="preserve">. </w:t>
        <w:br/>
        <w:t xml:space="preserve">Jubelt </w:t>
      </w:r>
      <w:r>
        <w:rPr>
          <w:color w:val="808080"/>
        </w:rPr>
        <w:t>(schreit vor Freude)</w:t>
      </w:r>
      <w:r>
        <w:rPr/>
        <w:t xml:space="preserve"> </w:t>
      </w:r>
      <w:r>
        <w:rPr>
          <w:rStyle w:val="Funotenanker"/>
        </w:rPr>
        <w:footnoteReference w:customMarkFollows="1" w:id="897"/>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8"/>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9"/>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900"/>
        <w:t>f</w:t>
      </w:r>
      <w:r>
        <w:rPr/>
        <w:t xml:space="preserve"> in Freudengeschrei </w:t>
      </w:r>
      <w:r>
        <w:rPr>
          <w:color w:val="808080"/>
        </w:rPr>
        <w:t>(Freudenliedern)</w:t>
      </w:r>
      <w:r>
        <w:rPr/>
        <w:t xml:space="preserve"> </w:t>
      </w:r>
      <w:r>
        <w:rPr>
          <w:rStyle w:val="Funotenanker"/>
        </w:rPr>
        <w:footnoteReference w:customMarkFollows="1" w:id="901"/>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2"/>
        <w:t>h</w:t>
      </w:r>
      <w:r>
        <w:rPr/>
        <w:t>!</w:t>
        <w:br/>
        <w:br/>
        <w:t xml:space="preserve">Er hat uns erschaffen, sein sind wir </w:t>
      </w:r>
      <w:r>
        <w:rPr>
          <w:color w:val="808080"/>
        </w:rPr>
        <w:t>(und nicht wir)</w:t>
      </w:r>
      <w:r>
        <w:rPr/>
        <w:t xml:space="preserve"> </w:t>
      </w:r>
      <w:r>
        <w:rPr>
          <w:rStyle w:val="Funotenanker"/>
        </w:rPr>
        <w:footnoteReference w:customMarkFollows="1" w:id="903"/>
        <w:t>i</w:t>
      </w:r>
      <w:r>
        <w:rPr/>
        <w:t xml:space="preserve"> </w:t>
      </w:r>
      <w:r>
        <w:rPr>
          <w:b/>
          <w:color w:val="808080"/>
        </w:rPr>
        <w:t>[</w:t>
      </w:r>
      <w:r>
        <w:rPr/>
        <w:t>wir sind</w:t>
      </w:r>
      <w:r>
        <w:rPr>
          <w:b/>
          <w:color w:val="808080"/>
        </w:rPr>
        <w:t>]</w:t>
      </w:r>
      <w:r>
        <w:rPr/>
        <w:t xml:space="preserve"> </w:t>
      </w:r>
      <w:r>
        <w:rPr>
          <w:rStyle w:val="Funotenanker"/>
        </w:rPr>
        <w:footnoteReference w:customMarkFollows="1" w:id="904"/>
        <w:t>j</w:t>
      </w:r>
      <w:r>
        <w:rPr/>
        <w:t xml:space="preserve"> sein Volk und die Herde seiner Weide</w:t>
      </w:r>
      <w:r>
        <w:rPr>
          <w:rStyle w:val="Funotenanker"/>
        </w:rPr>
        <w:footnoteReference w:customMarkFollows="1" w:id="905"/>
        <w:t>k</w:t>
      </w:r>
      <w:r>
        <w:rPr/>
        <w:t>.</w:t>
      </w:r>
      <w:r>
        <w:rPr>
          <w:rStyle w:val="Funotenanker"/>
        </w:rPr>
        <w:footnoteReference w:customMarkFollows="1" w:id="906"/>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7"/>
        <w:t>m</w:t>
      </w:r>
      <w:r>
        <w:rPr/>
        <w:t xml:space="preserve"> mit Danklied </w:t>
      </w:r>
      <w:r>
        <w:rPr>
          <w:color w:val="808080"/>
        </w:rPr>
        <w:t>(Dankopfer, Loblied)</w:t>
      </w:r>
      <w:r>
        <w:rPr/>
        <w:t xml:space="preserve"> </w:t>
      </w:r>
      <w:r>
        <w:rPr>
          <w:rStyle w:val="Funotenanker"/>
        </w:rPr>
        <w:footnoteReference w:customMarkFollows="1" w:id="908"/>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9"/>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10"/>
        <w:t>p</w:t>
      </w:r>
      <w:r>
        <w:rPr/>
        <w:t xml:space="preserve"> seinem Namen </w:t>
      </w:r>
      <w:r>
        <w:rPr>
          <w:color w:val="808080"/>
        </w:rPr>
        <w:t>(ihm)</w:t>
      </w:r>
      <w:r>
        <w:rPr/>
        <w:t xml:space="preserve"> </w:t>
      </w:r>
      <w:r>
        <w:rPr>
          <w:rStyle w:val="Funotenanker"/>
        </w:rPr>
        <w:footnoteReference w:customMarkFollows="1" w:id="911"/>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2"/>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3"/>
        <w:t>Status</w:t>
      </w:r>
      <w:r>
        <w:rPr/>
        <w:t xml:space="preserve"> Ein Wallfahrtslied </w:t>
      </w:r>
      <w:r>
        <w:rPr>
          <w:color w:val="808080"/>
        </w:rPr>
        <w:t>(Stufenlied, Reiselied)</w:t>
      </w:r>
      <w:r>
        <w:rPr/>
        <w:t xml:space="preserve"> </w:t>
      </w:r>
      <w:r>
        <w:rPr>
          <w:rStyle w:val="Funotenanker"/>
        </w:rPr>
        <w:footnoteReference w:customMarkFollows="1" w:id="914"/>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5"/>
        <w:t>b</w:t>
      </w:r>
      <w:r>
        <w:rPr/>
        <w:t xml:space="preserve">, mein Herz </w:t>
      </w:r>
      <w:r>
        <w:rPr>
          <w:color w:val="808080"/>
        </w:rPr>
        <w:t>(ich)</w:t>
      </w:r>
      <w:r>
        <w:rPr/>
        <w:t xml:space="preserve"> </w:t>
      </w:r>
      <w:r>
        <w:rPr>
          <w:rStyle w:val="Funotenanker"/>
        </w:rPr>
        <w:footnoteReference w:customMarkFollows="1" w:id="916"/>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7"/>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8"/>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9"/>
        <w:t>f</w:t>
      </w:r>
      <w:r>
        <w:rPr/>
        <w:t xml:space="preserve"> </w:t>
      </w:r>
      <w:r>
        <w:rPr>
          <w:b/>
          <w:color w:val="808080"/>
        </w:rPr>
        <w:t>[</w:t>
      </w:r>
      <w:r>
        <w:rPr/>
        <w:t>für mich zu</w:t>
      </w:r>
      <w:r>
        <w:rPr>
          <w:b/>
          <w:color w:val="808080"/>
        </w:rPr>
        <w:t>]</w:t>
      </w:r>
      <w:r>
        <w:rPr/>
        <w:t xml:space="preserve"> </w:t>
      </w:r>
      <w:r>
        <w:rPr>
          <w:rStyle w:val="Funotenanker"/>
        </w:rPr>
        <w:footnoteReference w:customMarkFollows="1" w:id="920"/>
        <w:t>g</w:t>
      </w:r>
      <w:r>
        <w:rPr/>
        <w:t xml:space="preserve"> großen Zielen </w:t>
      </w:r>
      <w:r>
        <w:rPr>
          <w:color w:val="808080"/>
        </w:rPr>
        <w:t>(Großem, großen Dingen)</w:t>
      </w:r>
      <w:r>
        <w:rPr/>
        <w:t xml:space="preserve"> </w:t>
      </w:r>
      <w:r>
        <w:rPr>
          <w:rStyle w:val="Funotenanker"/>
        </w:rPr>
        <w:footnoteReference w:customMarkFollows="1" w:id="921"/>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2"/>
        <w:t>i</w:t>
      </w:r>
      <w:r>
        <w:rPr/>
        <w:t xml:space="preserve"> ich habe meine Seele </w:t>
      </w:r>
      <w:r>
        <w:rPr>
          <w:color w:val="808080"/>
        </w:rPr>
        <w:t>(mich)</w:t>
      </w:r>
      <w:r>
        <w:rPr/>
        <w:t xml:space="preserve"> </w:t>
      </w:r>
      <w:r>
        <w:rPr>
          <w:rStyle w:val="Funotenanker"/>
        </w:rPr>
        <w:footnoteReference w:customMarkFollows="1" w:id="923"/>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4"/>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5"/>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6"/>
        <w:t>m</w:t>
      </w:r>
      <w:r>
        <w:rPr/>
        <w:t xml:space="preserve"> </w:t>
      </w:r>
      <w:r>
        <w:rPr>
          <w:b/>
          <w:color w:val="808080"/>
        </w:rPr>
        <w:t>[</w:t>
      </w:r>
      <w:r>
        <w:rPr/>
        <w:t>auch du</w:t>
      </w:r>
      <w:r>
        <w:rPr>
          <w:b/>
          <w:color w:val="808080"/>
        </w:rPr>
        <w:t>]</w:t>
      </w:r>
      <w:r>
        <w:rPr/>
        <w:t xml:space="preserve"> </w:t>
      </w:r>
      <w:r>
        <w:rPr>
          <w:rStyle w:val="Funotenanker"/>
        </w:rPr>
        <w:footnoteReference w:customMarkFollows="1" w:id="927"/>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8"/>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9"/>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30"/>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1"/>
        <w:t>c</w:t>
      </w:r>
      <w:r>
        <w:rPr/>
        <w:t xml:space="preserve"> für deine Liebe </w:t>
      </w:r>
      <w:r>
        <w:rPr>
          <w:color w:val="808080"/>
        </w:rPr>
        <w:t>(Güte, Gnade, liebende Treue, Bundestreue)</w:t>
      </w:r>
      <w:r>
        <w:rPr/>
        <w:t xml:space="preserve"> </w:t>
      </w:r>
      <w:r>
        <w:rPr>
          <w:rStyle w:val="Funotenanker"/>
        </w:rPr>
        <w:footnoteReference w:customMarkFollows="1" w:id="932"/>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3"/>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4"/>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5"/>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6"/>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7"/>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8"/>
        <w:t>j</w:t>
      </w:r>
      <w:r>
        <w:rPr/>
        <w:t xml:space="preserve"> singen. </w:t>
        <w:br/>
        <w:t xml:space="preserve">Wie </w:t>
      </w:r>
      <w:r>
        <w:rPr>
          <w:color w:val="808080"/>
        </w:rPr>
        <w:t>(denn, ja)</w:t>
      </w:r>
      <w:r>
        <w:rPr/>
        <w:t xml:space="preserve"> groß</w:t>
      </w:r>
      <w:r>
        <w:rPr>
          <w:rStyle w:val="Funotenanker"/>
        </w:rPr>
        <w:footnoteReference w:customMarkFollows="1" w:id="939"/>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40"/>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1"/>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2"/>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3"/>
        <w:t>o</w:t>
      </w:r>
      <w:r>
        <w:rPr/>
        <w:t xml:space="preserve"> </w:t>
        <w:br/>
        <w:t xml:space="preserve">und deine rechte Hand rettet mich </w:t>
      </w:r>
      <w:r>
        <w:rPr>
          <w:color w:val="808080"/>
        </w:rPr>
        <w:t>(hilft mir; wird/möge mich retten)</w:t>
      </w:r>
      <w:r>
        <w:rPr/>
        <w:t>!</w:t>
      </w:r>
      <w:r>
        <w:rPr>
          <w:rStyle w:val="Funotenanker"/>
        </w:rPr>
        <w:footnoteReference w:customMarkFollows="1" w:id="944"/>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5"/>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6"/>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7"/>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8"/>
        <w:t>a</w:t>
      </w:r>
      <w:r>
        <w:rPr/>
        <w:t xml:space="preserve"> </w:t>
      </w:r>
      <w:r>
        <w:rPr>
          <w:b/>
          <w:color w:val="808080"/>
        </w:rPr>
        <w:t>[</w:t>
      </w:r>
      <w:r>
        <w:rPr/>
        <w:t>singt</w:t>
      </w:r>
      <w:r>
        <w:rPr>
          <w:b/>
          <w:color w:val="808080"/>
        </w:rPr>
        <w:t>]</w:t>
      </w:r>
      <w:r>
        <w:rPr/>
        <w:t xml:space="preserve"> </w:t>
      </w:r>
      <w:r>
        <w:rPr>
          <w:rStyle w:val="Funotenanker"/>
        </w:rPr>
        <w:footnoteReference w:customMarkFollows="1" w:id="949"/>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50"/>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1"/>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2"/>
        <w:t>e</w:t>
      </w:r>
      <w:r>
        <w:rPr/>
        <w:t xml:space="preserve"> preisen mit </w:t>
      </w:r>
      <w:r>
        <w:rPr>
          <w:color w:val="808080"/>
        </w:rPr>
        <w:t>(im</w:t>
      </w:r>
      <w:r>
        <w:rPr/>
        <w:t xml:space="preserve"> </w:t>
      </w:r>
      <w:r>
        <w:rPr>
          <w:rStyle w:val="Funotenanker"/>
        </w:rPr>
        <w:footnoteReference w:customMarkFollows="1" w:id="953"/>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4"/>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5"/>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6"/>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7"/>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8"/>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9"/>
        <w:t>l</w:t>
      </w:r>
      <w:r>
        <w:rPr/>
        <w:t xml:space="preserve"> Herrlichkeit </w:t>
      </w:r>
      <w:r>
        <w:rPr>
          <w:color w:val="808080"/>
        </w:rPr>
        <w:t>(Herrlichen, Mächtigen)</w:t>
      </w:r>
      <w:r>
        <w:rPr/>
        <w:t>, jubeln sollen sie auf ihren Lagern</w:t>
      </w:r>
      <w:r>
        <w:rPr>
          <w:rStyle w:val="Funotenanker"/>
        </w:rPr>
        <w:footnoteReference w:customMarkFollows="1" w:id="960"/>
        <w:t>m</w:t>
      </w:r>
      <w:r>
        <w:rPr/>
        <w:t>,</w:t>
      </w:r>
      <w:r>
        <w:rPr>
          <w:color w:val="808080"/>
        </w:rPr>
        <w:t>(-)</w:t>
      </w:r>
      <w:r>
        <w:rPr/>
        <w:t xml:space="preserve"> </w:t>
      </w:r>
      <w:r>
        <w:rPr>
          <w:rStyle w:val="Funotenanker"/>
        </w:rPr>
        <w:footnoteReference w:customMarkFollows="1" w:id="961"/>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2"/>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3"/>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4"/>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5"/>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6"/>
        <w:t>s</w:t>
      </w:r>
      <w:r>
        <w:rPr/>
        <w:t xml:space="preserve">. Er </w:t>
      </w:r>
      <w:r>
        <w:rPr>
          <w:color w:val="808080"/>
        </w:rPr>
        <w:t>(Das)</w:t>
      </w:r>
      <w:r>
        <w:rPr/>
        <w:t xml:space="preserve"> </w:t>
      </w:r>
      <w:r>
        <w:rPr>
          <w:rStyle w:val="Funotenanker"/>
        </w:rPr>
        <w:footnoteReference w:customMarkFollows="1" w:id="967"/>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8"/>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9"/>
        <w:t>a</w:t>
      </w:r>
      <w:r>
        <w:rPr/>
        <w:t xml:space="preserve">, mein Getreuer </w:t>
      </w:r>
      <w:r>
        <w:rPr>
          <w:color w:val="808080"/>
        </w:rPr>
        <w:t>(Diener, Knecht, Sklave)</w:t>
      </w:r>
      <w:r>
        <w:rPr/>
        <w:t xml:space="preserve"> </w:t>
      </w:r>
      <w:r>
        <w:rPr>
          <w:rStyle w:val="Funotenanker"/>
        </w:rPr>
        <w:footnoteReference w:customMarkFollows="1" w:id="970"/>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1"/>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2"/>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3"/>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4"/>
        <w:t>f</w:t>
      </w:r>
      <w:r>
        <w:rPr/>
        <w:t>,</w:t>
        <w:br/>
        <w:t xml:space="preserve">über ihn </w:t>
      </w:r>
      <w:r>
        <w:rPr>
          <w:color w:val="808080"/>
        </w:rPr>
        <w:t>(ihm gegenüber)</w:t>
      </w:r>
      <w:r>
        <w:rPr/>
        <w:t xml:space="preserve"> werden Könige ihren Mund verschließen.</w:t>
      </w:r>
      <w:r>
        <w:rPr>
          <w:rStyle w:val="Funotenanker"/>
        </w:rPr>
        <w:footnoteReference w:customMarkFollows="1" w:id="975"/>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6"/>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7"/>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8"/>
        <w:t>a</w:t>
      </w:r>
      <w:r>
        <w:rPr/>
        <w:t xml:space="preserve"> an uns </w:t>
      </w:r>
      <w:r>
        <w:rPr>
          <w:color w:val="808080"/>
        </w:rPr>
        <w:t>(von uns)</w:t>
      </w:r>
      <w:r>
        <w:rPr/>
        <w:t xml:space="preserve"> </w:t>
      </w:r>
      <w:r>
        <w:rPr>
          <w:rStyle w:val="Funotenanker"/>
        </w:rPr>
        <w:footnoteReference w:customMarkFollows="1" w:id="979"/>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80"/>
        <w:t>c</w:t>
      </w:r>
      <w:r>
        <w:rPr/>
        <w:t>,</w:t>
        <w:br/>
        <w:t xml:space="preserve">wie ein Schössling </w:t>
      </w:r>
      <w:r>
        <w:rPr>
          <w:color w:val="808080"/>
        </w:rPr>
        <w:t>(eine Wurzel)</w:t>
      </w:r>
      <w:r>
        <w:rPr/>
        <w:t xml:space="preserve"> </w:t>
      </w:r>
      <w:r>
        <w:rPr>
          <w:rStyle w:val="Funotenanker"/>
        </w:rPr>
        <w:footnoteReference w:customMarkFollows="1" w:id="981"/>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2"/>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3"/>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4"/>
        <w:t>g</w:t>
      </w:r>
      <w:r>
        <w:rPr/>
        <w:t xml:space="preserve"> </w:t>
        <w:br/>
        <w:t>wie jemand, vor dem man das Gesicht verhüllt.</w:t>
      </w:r>
      <w:r>
        <w:rPr>
          <w:rStyle w:val="Funotenanker"/>
        </w:rPr>
        <w:footnoteReference w:customMarkFollows="1" w:id="985"/>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6"/>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7"/>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8"/>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9"/>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90"/>
        <w:t>m</w:t>
      </w:r>
      <w:r>
        <w:rPr/>
        <w:t xml:space="preserve"> </w:t>
        <w:br/>
        <w:t xml:space="preserve">durch seine </w:t>
      </w:r>
      <w:r>
        <w:rPr>
          <w:color w:val="808080"/>
        </w:rPr>
        <w:t>(bei seinen)</w:t>
      </w:r>
      <w:r>
        <w:rPr/>
        <w:t xml:space="preserve"> Wunden gab es Heilung für uns</w:t>
      </w:r>
      <w:r>
        <w:rPr>
          <w:rStyle w:val="Funotenanker"/>
        </w:rPr>
        <w:footnoteReference w:customMarkFollows="1" w:id="991"/>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2"/>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3"/>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4"/>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5"/>
        <w:t>r</w:t>
      </w:r>
      <w:r>
        <w:rPr/>
        <w:t xml:space="preserve"> seinen Scherern verstummt. </w:t>
        <w:br/>
        <w:t>Und er öffnete seinen Mund nicht.</w:t>
      </w:r>
      <w:r>
        <w:rPr>
          <w:rStyle w:val="Funotenanker"/>
        </w:rPr>
        <w:footnoteReference w:customMarkFollows="1" w:id="996"/>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7"/>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8"/>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9"/>
        <w:t>v</w:t>
      </w:r>
      <w:r>
        <w:rPr/>
        <w:t xml:space="preserve"> Volkes wurde er geschlagen </w:t>
      </w:r>
      <w:r>
        <w:rPr>
          <w:color w:val="808080"/>
        </w:rPr>
        <w:t>(erschlagen, verprügelt)</w:t>
      </w:r>
      <w:r>
        <w:rPr/>
        <w:t xml:space="preserve"> </w:t>
      </w:r>
      <w:r>
        <w:rPr>
          <w:rStyle w:val="Funotenanker"/>
        </w:rPr>
        <w:footnoteReference w:customMarkFollows="1" w:id="1000"/>
        <w:t>w</w:t>
      </w:r>
      <w:r>
        <w:rPr/>
        <w:t>.</w:t>
        <w:br/>
        <w:t xml:space="preserve">{{field-off:bible}} </w:t>
        <w:br/>
        <w:t>[[@BibleTOBIBLE:Is 53:9]]</w:t>
      </w:r>
      <w:r>
        <w:rPr>
          <w:b/>
        </w:rPr>
        <w:t>9</w:t>
      </w:r>
      <w:r>
        <w:rPr/>
        <w:t xml:space="preserve"> {{field-on:bible}} </w:t>
        <w:br/>
        <w:t>Dann gab man</w:t>
      </w:r>
      <w:r>
        <w:rPr>
          <w:rStyle w:val="Funotenanker"/>
        </w:rPr>
        <w:footnoteReference w:customMarkFollows="1" w:id="1001"/>
        <w:t>x</w:t>
      </w:r>
      <w:r>
        <w:rPr/>
        <w:t xml:space="preserve"> ihm bei Frevlern</w:t>
      </w:r>
      <w:r>
        <w:rPr>
          <w:rStyle w:val="Funotenanker"/>
        </w:rPr>
        <w:footnoteReference w:customMarkFollows="1" w:id="1002"/>
        <w:t>y</w:t>
      </w:r>
      <w:r>
        <w:rPr/>
        <w:t xml:space="preserve"> sein Grab </w:t>
        <w:br/>
        <w:t xml:space="preserve">und </w:t>
      </w:r>
      <w:r>
        <w:rPr>
          <w:color w:val="808080"/>
        </w:rPr>
        <w:t>(doch)</w:t>
      </w:r>
      <w:r>
        <w:rPr/>
        <w:t xml:space="preserve"> bei einem Reichen</w:t>
      </w:r>
      <w:r>
        <w:rPr>
          <w:rStyle w:val="Funotenanker"/>
        </w:rPr>
        <w:footnoteReference w:customMarkFollows="1" w:id="1003"/>
        <w:t>z</w:t>
      </w:r>
      <w:r>
        <w:rPr/>
        <w:t xml:space="preserve"> nach seinem Tod</w:t>
      </w:r>
      <w:r>
        <w:rPr>
          <w:rStyle w:val="Funotenanker"/>
        </w:rPr>
        <w:footnoteReference w:customMarkFollows="1" w:id="1004"/>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5"/>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6"/>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7"/>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8"/>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9"/>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10"/>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1"/>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2"/>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3"/>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4"/>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5"/>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6"/>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7"/>
        <w:t>b</w:t>
      </w:r>
      <w:r>
        <w:rPr/>
        <w:t>,</w:t>
      </w:r>
      <w:r>
        <w:rPr>
          <w:position w:val="8"/>
          <w:sz w:val="19"/>
        </w:rPr>
        <w:t>[[ ℘ &gt;&gt; BibleTOBIBLE:Jon 3:2]]</w:t>
      </w:r>
      <w:r>
        <w:rPr/>
        <w:t xml:space="preserve"> weil ihre</w:t>
      </w:r>
      <w:r>
        <w:rPr>
          <w:rStyle w:val="Funotenanker"/>
        </w:rPr>
        <w:footnoteReference w:customMarkFollows="1" w:id="1018"/>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9"/>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20"/>
        <w:t>e</w:t>
      </w:r>
      <w:r>
        <w:rPr/>
        <w:t xml:space="preserve"> ein Schiff, das im Begriff war, nach Tarschisch zu fahren</w:t>
      </w:r>
      <w:r>
        <w:rPr>
          <w:rStyle w:val="Funotenanker"/>
        </w:rPr>
        <w:footnoteReference w:customMarkFollows="1" w:id="1021"/>
        <w:t>f</w:t>
      </w:r>
      <w:r>
        <w:rPr/>
        <w:t xml:space="preserve">, </w:t>
      </w:r>
      <w:r>
        <w:rPr>
          <w:strike/>
          <w:color w:val="808080"/>
        </w:rPr>
        <w:t>{und}</w:t>
      </w:r>
      <w:r>
        <w:rPr/>
        <w:t xml:space="preserve"> zahlte sein Fährgeld und bestieg es, um mit ihnen</w:t>
      </w:r>
      <w:r>
        <w:rPr>
          <w:rStyle w:val="Funotenanker"/>
        </w:rPr>
        <w:footnoteReference w:customMarkFollows="1" w:id="1022"/>
        <w:t>g</w:t>
      </w:r>
      <w:r>
        <w:rPr/>
        <w:t xml:space="preserve"> nach Tarschisch zu fahren, weg von </w:t>
      </w:r>
      <w:r>
        <w:rPr>
          <w:smallCaps/>
          <w:color w:val="FF0000"/>
        </w:rPr>
        <w:t>JHWH</w:t>
      </w:r>
      <w:r>
        <w:rPr/>
        <w:t xml:space="preserve"> </w:t>
      </w:r>
      <w:r>
        <w:rPr>
          <w:rStyle w:val="Funotenanker"/>
        </w:rPr>
        <w:footnoteReference w:customMarkFollows="1" w:id="1023"/>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4"/>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5"/>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6"/>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7"/>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8"/>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9"/>
        <w:t>n</w:t>
      </w:r>
      <w:r>
        <w:rPr/>
        <w:t xml:space="preserve"> in seine Nähe</w:t>
      </w:r>
      <w:r>
        <w:rPr>
          <w:rStyle w:val="Funotenanker"/>
        </w:rPr>
        <w:footnoteReference w:customMarkFollows="1" w:id="1030"/>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1"/>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2"/>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3"/>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4"/>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5"/>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6"/>
        <w:t>u</w:t>
      </w:r>
      <w:r>
        <w:rPr/>
        <w:t xml:space="preserve"> und sagten zu ihm: „Warum hast du das getan?“ Denn die Männer wussten, dass er ''vor </w:t>
      </w:r>
      <w:r>
        <w:rPr>
          <w:smallCaps/>
          <w:color w:val="FF0000"/>
        </w:rPr>
        <w:t>JHWH</w:t>
      </w:r>
      <w:r>
        <w:rPr/>
        <w:t>''</w:t>
      </w:r>
      <w:r>
        <w:rPr>
          <w:rStyle w:val="Funotenanker"/>
        </w:rPr>
        <w:footnoteReference w:customMarkFollows="1" w:id="1037"/>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8"/>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9"/>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40"/>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1"/>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2"/>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3"/>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4"/>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5"/>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6"/>
        <w:t>c</w:t>
      </w:r>
      <w:r>
        <w:rPr/>
        <w:t xml:space="preserve"> gefestigt sein </w:t>
      </w:r>
      <w:r>
        <w:rPr>
          <w:color w:val="808080"/>
        </w:rPr>
        <w:t>(feststehen, festgelegt/eingesetzt sein)</w:t>
      </w:r>
      <w:r>
        <w:rPr/>
        <w:t xml:space="preserve"> </w:t>
      </w:r>
      <w:r>
        <w:rPr>
          <w:rStyle w:val="Funotenanker"/>
        </w:rPr>
        <w:footnoteReference w:customMarkFollows="1" w:id="1047"/>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8"/>
        <w:t>e</w:t>
      </w:r>
      <w:r>
        <w:rPr/>
        <w:t xml:space="preserve"> können!“</w:t>
      </w:r>
      <w:r>
        <w:rPr>
          <w:rStyle w:val="Funotenanker"/>
        </w:rPr>
        <w:footnoteReference w:customMarkFollows="1" w:id="1049"/>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50"/>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1"/>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2"/>
        <w:t>i</w:t>
      </w:r>
      <w:r>
        <w:rPr/>
        <w:t xml:space="preserve"> sammeln</w:t>
      </w:r>
      <w:r>
        <w:rPr>
          <w:rStyle w:val="Funotenanker"/>
        </w:rPr>
        <w:footnoteReference w:customMarkFollows="1" w:id="1053"/>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4"/>
        <w:t>k</w:t>
      </w:r>
      <w:r>
        <w:rPr/>
        <w:t xml:space="preserve"> zu einer mächtigen Nation </w:t>
      </w:r>
      <w:r>
        <w:rPr>
          <w:color w:val="808080"/>
        </w:rPr>
        <w:t>(Volk)</w:t>
      </w:r>
      <w:r>
        <w:rPr/>
        <w:t xml:space="preserve"> </w:t>
      </w:r>
      <w:r>
        <w:rPr>
          <w:rStyle w:val="Funotenanker"/>
        </w:rPr>
        <w:footnoteReference w:customMarkFollows="1" w:id="1055"/>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6"/>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7"/>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8"/>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9"/>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60"/>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1"/>
        <w:t>c</w:t>
      </w:r>
      <w:r>
        <w:rPr/>
        <w:t xml:space="preserve"> die Hörner der Völker</w:t>
      </w:r>
      <w:r>
        <w:rPr>
          <w:rStyle w:val="Funotenanker"/>
        </w:rPr>
        <w:footnoteReference w:customMarkFollows="1" w:id="1062"/>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3"/>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4"/>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5"/>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6"/>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7"/>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8"/>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9"/>
        <w:t>k</w:t>
      </w:r>
      <w:r>
        <w:rPr/>
        <w:t xml:space="preserve">, schlägt </w:t>
      </w:r>
      <w:r>
        <w:rPr>
          <w:color w:val="808080"/>
        </w:rPr>
        <w:t>(rührt an)</w:t>
      </w:r>
      <w:r>
        <w:rPr/>
        <w:t xml:space="preserve"> </w:t>
      </w:r>
      <w:r>
        <w:rPr>
          <w:rStyle w:val="Funotenanker"/>
        </w:rPr>
        <w:footnoteReference w:customMarkFollows="1" w:id="1070"/>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1"/>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2"/>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3"/>
        <w:t>o</w:t>
      </w:r>
      <w:r>
        <w:rPr/>
        <w:t xml:space="preserve"> meine Hand gegen sie</w:t>
      </w:r>
      <w:r>
        <w:rPr>
          <w:rStyle w:val="Funotenanker"/>
        </w:rPr>
        <w:footnoteReference w:customMarkFollows="1" w:id="1074"/>
        <w:t>p</w:t>
      </w:r>
      <w:r>
        <w:rPr/>
        <w:t xml:space="preserve">, so dass </w:t>
      </w:r>
      <w:r>
        <w:rPr>
          <w:color w:val="808080"/>
        </w:rPr>
        <w:t>(und)</w:t>
      </w:r>
      <w:r>
        <w:rPr/>
        <w:t xml:space="preserve"> sie eine Beute</w:t>
      </w:r>
      <w:r>
        <w:rPr>
          <w:rStyle w:val="Funotenanker"/>
        </w:rPr>
        <w:footnoteReference w:customMarkFollows="1" w:id="1075"/>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6"/>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7"/>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8"/>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9"/>
        <w:t>Status</w:t>
      </w:r>
      <w:r>
        <w:rPr/>
        <w:t xml:space="preserve"> Ihr</w:t>
      </w:r>
      <w:r>
        <w:rPr>
          <w:rStyle w:val="Funotenanker"/>
        </w:rPr>
        <w:footnoteReference w:customMarkFollows="1" w:id="1080"/>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1"/>
        <w:t>b</w:t>
      </w:r>
      <w:r>
        <w:rPr/>
        <w:t xml:space="preserve"> </w:t>
      </w:r>
      <w:r>
        <w:rPr>
          <w:rStyle w:val="Funotenanker"/>
        </w:rPr>
        <w:footnoteReference w:customMarkFollows="1" w:id="1082"/>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3"/>
        <w:t>d</w:t>
      </w:r>
      <w:r>
        <w:rPr/>
        <w:t xml:space="preserve"> dein Name </w:t>
      </w:r>
      <w:r>
        <w:rPr>
          <w:color w:val="808080"/>
        </w:rPr>
        <w:t>(du)</w:t>
      </w:r>
      <w:r>
        <w:rPr/>
        <w:t xml:space="preserve"> geheiligt</w:t>
      </w:r>
      <w:r>
        <w:rPr>
          <w:rStyle w:val="Funotenanker"/>
        </w:rPr>
        <w:footnoteReference w:customMarkFollows="1" w:id="1084"/>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5"/>
        <w:t>f</w:t>
      </w:r>
      <w:r>
        <w:rPr/>
        <w:t xml:space="preserve"> kommen</w:t>
      </w:r>
      <w:r>
        <w:rPr>
          <w:rStyle w:val="Funotenanker"/>
        </w:rPr>
        <w:footnoteReference w:customMarkFollows="1" w:id="1086"/>
        <w:t>g</w:t>
      </w:r>
      <w:r>
        <w:rPr/>
        <w:t>.Möge dein Wille geschehen - wie im Himmel so auch auf der Erde</w:t>
      </w:r>
      <w:r>
        <w:rPr>
          <w:rStyle w:val="Funotenanker"/>
        </w:rPr>
        <w:footnoteReference w:customMarkFollows="1" w:id="1087"/>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8"/>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9"/>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90"/>
        <w:t>k</w:t>
      </w:r>
      <w:r>
        <w:rPr/>
        <w:t xml:space="preserve">,wie auch wir unseren Schuldnern vergeben haben </w:t>
      </w:r>
      <w:r>
        <w:rPr>
          <w:color w:val="808080"/>
        </w:rPr>
        <w:t>(vergeben)</w:t>
      </w:r>
      <w:r>
        <w:rPr/>
        <w:t xml:space="preserve"> </w:t>
      </w:r>
      <w:r>
        <w:rPr>
          <w:rStyle w:val="Funotenanker"/>
        </w:rPr>
        <w:footnoteReference w:customMarkFollows="1" w:id="1091"/>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2"/>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3"/>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4"/>
        <w:t>Status</w:t>
      </w:r>
      <w:r>
        <w:rPr/>
        <w:t xml:space="preserve"> </w:t>
      </w:r>
      <w:r>
        <w:rPr>
          <w:strike/>
          <w:color w:val="808080"/>
        </w:rPr>
        <w:t>{Und}</w:t>
      </w:r>
      <w:r>
        <w:rPr/>
        <w:t xml:space="preserve"> </w:t>
      </w:r>
      <w:r>
        <w:rPr>
          <w:rStyle w:val="Funotenanker"/>
        </w:rPr>
        <w:footnoteReference w:customMarkFollows="1" w:id="1095"/>
        <w:t>a</w:t>
      </w:r>
      <w:r>
        <w:rPr/>
        <w:t xml:space="preserve"> Die Pharisäer und Sadduzäer</w:t>
      </w:r>
      <w:r>
        <w:rPr>
          <w:rStyle w:val="Funotenanker"/>
        </w:rPr>
        <w:footnoteReference w:customMarkFollows="1" w:id="1096"/>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7"/>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8"/>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9"/>
        <w:t>e</w:t>
      </w:r>
      <w:r>
        <w:rPr/>
        <w:t xml:space="preserve"> Geschlecht </w:t>
      </w:r>
      <w:r>
        <w:rPr>
          <w:color w:val="808080"/>
        </w:rPr>
        <w:t>(Generation, Pack)</w:t>
      </w:r>
      <w:r>
        <w:rPr/>
        <w:t xml:space="preserve"> </w:t>
      </w:r>
      <w:r>
        <w:rPr>
          <w:rStyle w:val="Funotenanker"/>
        </w:rPr>
        <w:footnoteReference w:customMarkFollows="1" w:id="1100"/>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1"/>
        <w:t>g</w:t>
      </w:r>
      <w:r>
        <w:rPr/>
        <w:t xml:space="preserve"> kamen,</w:t>
      </w:r>
      <w:r>
        <w:rPr>
          <w:rStyle w:val="Funotenanker"/>
        </w:rPr>
        <w:footnoteReference w:customMarkFollows="1" w:id="1102"/>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3"/>
        <w:t>i</w:t>
      </w:r>
      <w:r>
        <w:rPr/>
        <w:t xml:space="preserve"> miteinander </w:t>
      </w:r>
      <w:r>
        <w:rPr>
          <w:strike/>
          <w:color w:val="808080"/>
        </w:rPr>
        <w:t>{sagend}</w:t>
      </w:r>
      <w:r>
        <w:rPr/>
        <w:t>: „Wir haben keine Brote mitgenommen!“</w:t>
      </w:r>
      <w:r>
        <w:rPr>
          <w:rStyle w:val="Funotenanker"/>
        </w:rPr>
        <w:footnoteReference w:customMarkFollows="1" w:id="1104"/>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5"/>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6"/>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7"/>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8"/>
        <w:t>n</w:t>
      </w:r>
      <w:r>
        <w:rPr/>
        <w:t xml:space="preserve"> - </w:t>
      </w:r>
      <w:r>
        <w:rPr>
          <w:color w:val="808080"/>
        </w:rPr>
        <w:t>(dass der Menschensohn)</w:t>
      </w:r>
      <w:r>
        <w:rPr/>
        <w:t xml:space="preserve"> </w:t>
      </w:r>
      <w:r>
        <w:rPr>
          <w:rStyle w:val="Funotenanker"/>
        </w:rPr>
        <w:footnoteReference w:customMarkFollows="1" w:id="1109"/>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10"/>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1"/>
        <w:t>q</w:t>
      </w:r>
      <w:r>
        <w:rPr/>
        <w:t xml:space="preserve"> bist du, Simon bar Jona</w:t>
      </w:r>
      <w:r>
        <w:rPr>
          <w:rStyle w:val="Funotenanker"/>
        </w:rPr>
        <w:footnoteReference w:customMarkFollows="1" w:id="1112"/>
        <w:t>r</w:t>
      </w:r>
      <w:r>
        <w:rPr/>
        <w:t>, denn nicht Fleisch und Blut</w:t>
      </w:r>
      <w:r>
        <w:rPr>
          <w:rStyle w:val="Funotenanker"/>
        </w:rPr>
        <w:footnoteReference w:customMarkFollows="1" w:id="1113"/>
        <w:t>s</w:t>
      </w:r>
      <w:r>
        <w:rPr/>
        <w:t xml:space="preserve"> haben dir das offenbart </w:t>
      </w:r>
      <w:r>
        <w:rPr>
          <w:color w:val="808080"/>
        </w:rPr>
        <w:t>(enthüllt)</w:t>
      </w:r>
      <w:r>
        <w:rPr/>
        <w:t>, sondern mein Vater im Himmel.</w:t>
      </w:r>
      <w:r>
        <w:rPr>
          <w:rStyle w:val="Funotenanker"/>
        </w:rPr>
        <w:footnoteReference w:customMarkFollows="1" w:id="1114"/>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5"/>
        <w:t>u</w:t>
      </w:r>
      <w:r>
        <w:rPr/>
        <w:t xml:space="preserve"> werde ich meine Kirche </w:t>
      </w:r>
      <w:r>
        <w:rPr>
          <w:color w:val="808080"/>
        </w:rPr>
        <w:t>(er)</w:t>
      </w:r>
      <w:r>
        <w:rPr/>
        <w:t>bauen, und die Pforten des Hades</w:t>
      </w:r>
      <w:r>
        <w:rPr>
          <w:rStyle w:val="Funotenanker"/>
        </w:rPr>
        <w:footnoteReference w:customMarkFollows="1" w:id="1116"/>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7"/>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8"/>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9"/>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20"/>
        <w:t>z</w:t>
      </w:r>
      <w:r>
        <w:rPr/>
        <w:t xml:space="preserve"> und sagte zu Petrus: „Geh hinter mich </w:t>
      </w:r>
      <w:r>
        <w:rPr>
          <w:color w:val="808080"/>
        </w:rPr>
        <w:t>(geh weg von mir, lass mich in Ruhe)</w:t>
      </w:r>
      <w:r>
        <w:rPr/>
        <w:t>,</w:t>
      </w:r>
      <w:r>
        <w:rPr>
          <w:rStyle w:val="Funotenanker"/>
        </w:rPr>
        <w:footnoteReference w:customMarkFollows="1" w:id="1121"/>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2"/>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3"/>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4"/>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5"/>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6"/>
        <w:t>Status</w:t>
      </w:r>
      <w:r>
        <w:rPr/>
        <w:t xml:space="preserve"> Spät</w:t>
      </w:r>
      <w:r>
        <w:rPr>
          <w:rStyle w:val="Funotenanker"/>
        </w:rPr>
        <w:footnoteReference w:customMarkFollows="1" w:id="1127"/>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8"/>
        <w:t>b</w:t>
      </w:r>
      <w:r>
        <w:rPr/>
        <w:t xml:space="preserve"> nämlich, der </w:t>
      </w:r>
      <w:r>
        <w:rPr>
          <w:color w:val="808080"/>
        </w:rPr>
        <w:t>(nachdem er)</w:t>
      </w:r>
      <w:r>
        <w:rPr/>
        <w:t xml:space="preserve"> </w:t>
      </w:r>
      <w:r>
        <w:rPr>
          <w:rStyle w:val="Funotenanker"/>
        </w:rPr>
        <w:footnoteReference w:customMarkFollows="1" w:id="1129"/>
        <w:t>c</w:t>
      </w:r>
      <w:r>
        <w:rPr/>
        <w:t xml:space="preserve"> aus dem Himmel hinabstieg und hinzutrat, rollte den Stein</w:t>
      </w:r>
      <w:r>
        <w:rPr>
          <w:rStyle w:val="Funotenanker"/>
        </w:rPr>
        <w:footnoteReference w:customMarkFollows="1" w:id="1130"/>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1"/>
        <w:t>e</w:t>
      </w:r>
      <w:r>
        <w:rPr/>
        <w:t xml:space="preserve"> zu den Frauen: „Fürchtet ''ihr''</w:t>
      </w:r>
      <w:r>
        <w:rPr>
          <w:rStyle w:val="Funotenanker"/>
        </w:rPr>
        <w:footnoteReference w:customMarkFollows="1" w:id="1132"/>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3"/>
        <w:t>g</w:t>
      </w:r>
      <w:r>
        <w:rPr/>
        <w:t xml:space="preserve"> lag!{{field-off:bible}} </w:t>
        <w:br/>
        <w:t>[[@BibleTOBIBLE:Mt 28:7]]</w:t>
      </w:r>
      <w:r>
        <w:rPr>
          <w:b/>
        </w:rPr>
        <w:t>7</w:t>
      </w:r>
      <w:r>
        <w:rPr/>
        <w:t xml:space="preserve"> {{field-on:bible}}Und schnell, geht los</w:t>
      </w:r>
      <w:r>
        <w:rPr>
          <w:rStyle w:val="Funotenanker"/>
        </w:rPr>
        <w:footnoteReference w:customMarkFollows="1" w:id="1134"/>
        <w:t>h</w:t>
      </w:r>
      <w:r>
        <w:rPr/>
        <w:t xml:space="preserve"> und sagt seinen Jüngern </w:t>
      </w:r>
      <w:r>
        <w:rPr>
          <w:color w:val="808080"/>
        </w:rPr>
        <w:t>(Jüngern und Jüngerinnen)</w:t>
      </w:r>
      <w:r>
        <w:rPr/>
        <w:t xml:space="preserve"> </w:t>
      </w:r>
      <w:r>
        <w:rPr>
          <w:rStyle w:val="Funotenanker"/>
        </w:rPr>
        <w:footnoteReference w:customMarkFollows="1" w:id="1135"/>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6"/>
        <w:t>j</w:t>
      </w:r>
      <w:r>
        <w:rPr/>
        <w:t xml:space="preserve"> sie schnell fort</w:t>
      </w:r>
      <w:r>
        <w:rPr>
          <w:rStyle w:val="Funotenanker"/>
        </w:rPr>
        <w:footnoteReference w:customMarkFollows="1" w:id="1137"/>
        <w:t>k</w:t>
      </w:r>
      <w:r>
        <w:rPr/>
        <w:t xml:space="preserve"> vom Grab mit Furcht</w:t>
      </w:r>
      <w:r>
        <w:rPr>
          <w:rStyle w:val="Funotenanker"/>
        </w:rPr>
        <w:footnoteReference w:customMarkFollows="1" w:id="1138"/>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9"/>
        <w:t>m</w:t>
      </w:r>
      <w:r>
        <w:rPr/>
        <w:t xml:space="preserve"> siehe, Jesus ging ihnen entgegen </w:t>
      </w:r>
      <w:r>
        <w:rPr>
          <w:color w:val="808080"/>
        </w:rPr>
        <w:t>(begegnete ihnen)</w:t>
      </w:r>
      <w:r>
        <w:rPr/>
        <w:t xml:space="preserve"> und</w:t>
      </w:r>
      <w:r>
        <w:rPr>
          <w:rStyle w:val="Funotenanker"/>
        </w:rPr>
        <w:footnoteReference w:customMarkFollows="1" w:id="1140"/>
        <w:t>n</w:t>
      </w:r>
      <w:r>
        <w:rPr/>
        <w:t xml:space="preserve"> sagte: „Freut euch! </w:t>
      </w:r>
      <w:r>
        <w:rPr>
          <w:color w:val="808080"/>
        </w:rPr>
        <w:t>(Seid gegrüßt!)</w:t>
      </w:r>
      <w:r>
        <w:rPr/>
        <w:t xml:space="preserve"> </w:t>
      </w:r>
      <w:r>
        <w:rPr>
          <w:rStyle w:val="Funotenanker"/>
        </w:rPr>
        <w:footnoteReference w:customMarkFollows="1" w:id="1141"/>
        <w:t>o</w:t>
      </w:r>
      <w:r>
        <w:rPr/>
        <w:t>“ Und als</w:t>
      </w:r>
      <w:r>
        <w:rPr>
          <w:rStyle w:val="Funotenanker"/>
        </w:rPr>
        <w:footnoteReference w:customMarkFollows="1" w:id="1142"/>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3"/>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4"/>
        <w:t>r</w:t>
      </w:r>
      <w:r>
        <w:rPr/>
        <w:t>, siehe, da kamen</w:t>
      </w:r>
      <w:r>
        <w:rPr>
          <w:rStyle w:val="Funotenanker"/>
        </w:rPr>
        <w:footnoteReference w:customMarkFollows="1" w:id="1145"/>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6"/>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7"/>
        <w:t>u</w:t>
      </w:r>
      <w:r>
        <w:rPr/>
        <w:t xml:space="preserve"> </w:t>
      </w:r>
      <w:r>
        <w:rPr>
          <w:b/>
          <w:color w:val="808080"/>
        </w:rPr>
        <w:t>[</w:t>
      </w:r>
      <w:r>
        <w:rPr/>
        <w:t>zu ihnen</w:t>
      </w:r>
      <w:r>
        <w:rPr>
          <w:b/>
          <w:color w:val="808080"/>
        </w:rPr>
        <w:t>]</w:t>
      </w:r>
      <w:r>
        <w:rPr/>
        <w:t>: „Sagt:</w:t>
      </w:r>
      <w:r>
        <w:rPr>
          <w:rStyle w:val="Funotenanker"/>
        </w:rPr>
        <w:footnoteReference w:customMarkFollows="1" w:id="1148"/>
        <w:t>v</w:t>
      </w:r>
      <w:r>
        <w:rPr/>
        <w:t xml:space="preserve"> »Seine Jünger sind nachts gekommen</w:t>
      </w:r>
      <w:r>
        <w:rPr>
          <w:rStyle w:val="Funotenanker"/>
        </w:rPr>
        <w:footnoteReference w:customMarkFollows="1" w:id="1149"/>
        <w:t>w</w:t>
      </w:r>
      <w:r>
        <w:rPr/>
        <w:t xml:space="preserve"> und haben ihn genommen, während</w:t>
      </w:r>
      <w:r>
        <w:rPr>
          <w:rStyle w:val="Funotenanker"/>
        </w:rPr>
        <w:footnoteReference w:customMarkFollows="1" w:id="1150"/>
        <w:t>x</w:t>
      </w:r>
      <w:r>
        <w:rPr/>
        <w:t xml:space="preserve"> wir schliefen.</w:t>
      </w:r>
      <w:r>
        <w:rPr>
          <w:rStyle w:val="Funotenanker"/>
        </w:rPr>
        <w:footnoteReference w:customMarkFollows="1" w:id="1151"/>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2"/>
        <w:t>z</w:t>
      </w:r>
      <w:r>
        <w:rPr/>
        <w:t xml:space="preserve"> und sicher stellen, dass ihr ohne Sorge sein könnt</w:t>
      </w:r>
      <w:r>
        <w:rPr>
          <w:rStyle w:val="Funotenanker"/>
        </w:rPr>
        <w:footnoteReference w:customMarkFollows="1" w:id="1153"/>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4"/>
        <w:t>ab</w:t>
      </w:r>
      <w:r>
        <w:rPr/>
        <w:t xml:space="preserve"> die Silbermünzen und taten so, wie sie gelehrt worden waren. Und dieses Wort verbreitete sich</w:t>
      </w:r>
      <w:r>
        <w:rPr>
          <w:rStyle w:val="Funotenanker"/>
        </w:rPr>
        <w:footnoteReference w:customMarkFollows="1" w:id="1155"/>
        <w:t>ac</w:t>
      </w:r>
      <w:r>
        <w:rPr/>
        <w:t xml:space="preserve"> unter </w:t>
      </w:r>
      <w:r>
        <w:rPr>
          <w:b/>
          <w:color w:val="808080"/>
        </w:rPr>
        <w:t>[</w:t>
      </w:r>
      <w:r>
        <w:rPr/>
        <w:t>vielen</w:t>
      </w:r>
      <w:r>
        <w:rPr>
          <w:b/>
          <w:color w:val="808080"/>
        </w:rPr>
        <w:t>]</w:t>
      </w:r>
      <w:r>
        <w:rPr/>
        <w:t xml:space="preserve"> </w:t>
      </w:r>
      <w:r>
        <w:rPr>
          <w:rStyle w:val="Funotenanker"/>
        </w:rPr>
        <w:footnoteReference w:customMarkFollows="1" w:id="1156"/>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7"/>
        <w:t>ae</w:t>
      </w:r>
      <w:r>
        <w:rPr/>
        <w:t xml:space="preserve"> sie ihn sahen, warfen sie sich vor ihm verehrend </w:t>
      </w:r>
      <w:r>
        <w:rPr>
          <w:color w:val="808080"/>
        </w:rPr>
        <w:t>(huldigend, anbetend)</w:t>
      </w:r>
      <w:r>
        <w:rPr/>
        <w:t xml:space="preserve"> nieder</w:t>
      </w:r>
      <w:r>
        <w:rPr>
          <w:rStyle w:val="Funotenanker"/>
        </w:rPr>
        <w:footnoteReference w:customMarkFollows="1" w:id="1158"/>
        <w:t>af</w:t>
      </w:r>
      <w:r>
        <w:rPr/>
        <w:t xml:space="preserve">; doch zweifelten sie </w:t>
      </w:r>
      <w:r>
        <w:rPr>
          <w:color w:val="808080"/>
        </w:rPr>
        <w:t>(einige von ihnen)</w:t>
      </w:r>
      <w:r>
        <w:rPr/>
        <w:t xml:space="preserve"> </w:t>
      </w:r>
      <w:r>
        <w:rPr>
          <w:rStyle w:val="Funotenanker"/>
        </w:rPr>
        <w:footnoteReference w:customMarkFollows="1" w:id="1159"/>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60"/>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1"/>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2"/>
        <w:t>aj</w:t>
      </w:r>
      <w:r>
        <w:rPr/>
        <w:t xml:space="preserve"> Erde.{{field-off:bible}} </w:t>
        <w:br/>
        <w:t>[[@BibleTOBIBLE:Mt 28:19]]</w:t>
      </w:r>
      <w:r>
        <w:rPr>
          <w:b/>
        </w:rPr>
        <w:t>19</w:t>
      </w:r>
      <w:r>
        <w:rPr/>
        <w:t xml:space="preserve"> {{field-on:bible}}Geht also</w:t>
      </w:r>
      <w:r>
        <w:rPr>
          <w:rStyle w:val="Funotenanker"/>
        </w:rPr>
        <w:footnoteReference w:customMarkFollows="1" w:id="1163"/>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4"/>
        <w:t>Status</w:t>
      </w:r>
      <w:r>
        <w:rPr/>
        <w:t xml:space="preserve"> </w:t>
      </w:r>
      <w:r>
        <w:rPr>
          <w:b/>
          <w:color w:val="808080"/>
        </w:rPr>
        <w:t>[</w:t>
      </w:r>
      <w:r>
        <w:rPr/>
        <w:t>Der</w:t>
      </w:r>
      <w:r>
        <w:rPr>
          <w:b/>
          <w:color w:val="808080"/>
        </w:rPr>
        <w:t>]</w:t>
      </w:r>
      <w:r>
        <w:rPr/>
        <w:t xml:space="preserve"> Anfang des Evangeliums </w:t>
      </w:r>
      <w:r>
        <w:rPr>
          <w:rStyle w:val="Funotenanker"/>
        </w:rPr>
        <w:footnoteReference w:customMarkFollows="1" w:id="1165"/>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6"/>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7"/>
        <w:t>c</w:t>
      </w:r>
      <w:r>
        <w:rPr/>
        <w:t xml:space="preserve"> „Siehe, ich sende meinen Boten vor dir her </w:t>
      </w:r>
      <w:r>
        <w:rPr>
          <w:rStyle w:val="Funotenanker"/>
        </w:rPr>
        <w:footnoteReference w:customMarkFollows="1" w:id="1168"/>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9"/>
        <w:t>e</w:t>
      </w:r>
      <w:r>
        <w:rPr/>
        <w:t xml:space="preserve"> »Bereitet den Weg des Herrn vor, macht seine Pfade gerade«“, </w:t>
      </w:r>
      <w:r>
        <w:rPr>
          <w:rStyle w:val="Funotenanker"/>
        </w:rPr>
        <w:footnoteReference w:customMarkFollows="1" w:id="1170"/>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1"/>
        <w:t>g</w:t>
      </w:r>
      <w:r>
        <w:rPr/>
        <w:t xml:space="preserve"> </w:t>
      </w:r>
      <w:r>
        <w:rPr>
          <w:color w:val="808080"/>
        </w:rPr>
        <w:t>(trat Johannes auf, der in der Wüste taufte)</w:t>
      </w:r>
      <w:r>
        <w:rPr/>
        <w:t xml:space="preserve"> </w:t>
      </w:r>
      <w:r>
        <w:rPr>
          <w:rStyle w:val="Funotenanker"/>
        </w:rPr>
        <w:footnoteReference w:customMarkFollows="1" w:id="1172"/>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3"/>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4"/>
        <w:t>j</w:t>
      </w:r>
      <w:r>
        <w:rPr/>
        <w:t xml:space="preserve"> </w:t>
      </w:r>
      <w:r>
        <w:rPr>
          <w:color w:val="808080"/>
        </w:rPr>
        <w:t>(Gegend, Land)</w:t>
      </w:r>
      <w:r>
        <w:rPr/>
        <w:t xml:space="preserve"> und alle Jerusalemer begaben sich </w:t>
      </w:r>
      <w:r>
        <w:rPr>
          <w:rStyle w:val="Funotenanker"/>
        </w:rPr>
        <w:footnoteReference w:customMarkFollows="1" w:id="1175"/>
        <w:t>k</w:t>
      </w:r>
      <w:r>
        <w:rPr/>
        <w:t xml:space="preserve"> </w:t>
      </w:r>
      <w:r>
        <w:rPr>
          <w:color w:val="808080"/>
        </w:rPr>
        <w:t>(gingen)</w:t>
      </w:r>
      <w:r>
        <w:rPr/>
        <w:t xml:space="preserve"> hinaus zu ihm und ließen sich von ihm im Fluss Jordan taufen </w:t>
      </w:r>
      <w:r>
        <w:rPr>
          <w:rStyle w:val="Funotenanker"/>
        </w:rPr>
        <w:footnoteReference w:customMarkFollows="1" w:id="1176"/>
        <w:t>l</w:t>
      </w:r>
      <w:r>
        <w:rPr/>
        <w:t xml:space="preserve">, wobei </w:t>
      </w:r>
      <w:r>
        <w:rPr>
          <w:color w:val="808080"/>
        </w:rPr>
        <w:t>(und)</w:t>
      </w:r>
      <w:r>
        <w:rPr/>
        <w:t xml:space="preserve"> sie ihre Sünden bekannten. </w:t>
      </w:r>
      <w:r>
        <w:rPr>
          <w:rStyle w:val="Funotenanker"/>
        </w:rPr>
        <w:footnoteReference w:customMarkFollows="1" w:id="1177"/>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8"/>
        <w:t>n</w:t>
      </w:r>
      <w:r>
        <w:rPr/>
        <w:t xml:space="preserve"> und Heuschrecken und wilden Honig zu essen </w:t>
      </w:r>
      <w:r>
        <w:rPr>
          <w:rStyle w:val="Funotenanker"/>
        </w:rPr>
        <w:footnoteReference w:customMarkFollows="1" w:id="1179"/>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80"/>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1"/>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2"/>
        <w:t>r</w:t>
      </w:r>
      <w:r>
        <w:rPr/>
        <w:t xml:space="preserve"> ihm </w:t>
      </w:r>
      <w:r>
        <w:rPr>
          <w:rStyle w:val="Funotenanker"/>
        </w:rPr>
        <w:footnoteReference w:customMarkFollows="1" w:id="1183"/>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4"/>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5"/>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6"/>
        <w:t>v</w:t>
      </w:r>
      <w:r>
        <w:rPr/>
        <w:t xml:space="preserve">, sah er, wie </w:t>
      </w:r>
      <w:r>
        <w:rPr>
          <w:color w:val="808080"/>
        </w:rPr>
        <w:t>(dass)</w:t>
      </w:r>
      <w:r>
        <w:rPr/>
        <w:t xml:space="preserve"> der Himmel </w:t>
      </w:r>
      <w:r>
        <w:rPr>
          <w:rStyle w:val="Funotenanker"/>
        </w:rPr>
        <w:footnoteReference w:customMarkFollows="1" w:id="1187"/>
        <w:t>w</w:t>
      </w:r>
      <w:r>
        <w:rPr/>
        <w:t xml:space="preserve"> geteilt </w:t>
      </w:r>
      <w:r>
        <w:rPr>
          <w:color w:val="808080"/>
        </w:rPr>
        <w:t>(geöffnet)</w:t>
      </w:r>
      <w:r>
        <w:rPr/>
        <w:t xml:space="preserve"> wurde </w:t>
      </w:r>
      <w:r>
        <w:rPr>
          <w:rStyle w:val="Funotenanker"/>
        </w:rPr>
        <w:footnoteReference w:customMarkFollows="1" w:id="1188"/>
        <w:t>x</w:t>
      </w:r>
      <w:r>
        <w:rPr/>
        <w:t xml:space="preserve"> und der Geist wie eine Taube in ihn </w:t>
      </w:r>
      <w:r>
        <w:rPr>
          <w:color w:val="808080"/>
        </w:rPr>
        <w:t>(zu ihm; auf ihn)</w:t>
      </w:r>
      <w:r>
        <w:rPr/>
        <w:t xml:space="preserve"> </w:t>
      </w:r>
      <w:r>
        <w:rPr>
          <w:rStyle w:val="Funotenanker"/>
        </w:rPr>
        <w:footnoteReference w:customMarkFollows="1" w:id="1189"/>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90"/>
        <w:t>z</w:t>
      </w:r>
      <w:r>
        <w:rPr/>
        <w:t xml:space="preserve"> aus dem Himmel </w:t>
      </w:r>
      <w:r>
        <w:rPr>
          <w:rStyle w:val="Funotenanker"/>
        </w:rPr>
        <w:footnoteReference w:customMarkFollows="1" w:id="1191"/>
        <w:t>aa</w:t>
      </w:r>
      <w:r>
        <w:rPr/>
        <w:t xml:space="preserve">: „Du bist mein geliebter Sohn, an dir habe ich Freude </w:t>
      </w:r>
      <w:r>
        <w:rPr>
          <w:color w:val="808080"/>
        </w:rPr>
        <w:t>(Gefallen gefunden)</w:t>
      </w:r>
      <w:r>
        <w:rPr/>
        <w:t xml:space="preserve"> </w:t>
      </w:r>
      <w:r>
        <w:rPr>
          <w:rStyle w:val="Funotenanker"/>
        </w:rPr>
        <w:footnoteReference w:customMarkFollows="1" w:id="1192"/>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3"/>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4"/>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5"/>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6"/>
        <w:t>af</w:t>
      </w:r>
      <w:r>
        <w:rPr/>
        <w:t xml:space="preserve"> das Evangelium Gottes </w:t>
      </w:r>
      <w:r>
        <w:rPr>
          <w:rStyle w:val="Funotenanker"/>
        </w:rPr>
        <w:footnoteReference w:customMarkFollows="1" w:id="1197"/>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8"/>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9"/>
        <w:t>ai</w:t>
      </w:r>
      <w:r>
        <w:rPr/>
        <w:t xml:space="preserve"> und Gottes Königsherrschaft </w:t>
      </w:r>
      <w:r>
        <w:rPr>
          <w:color w:val="808080"/>
        </w:rPr>
        <w:t>(Königreich)</w:t>
      </w:r>
      <w:r>
        <w:rPr/>
        <w:t xml:space="preserve"> </w:t>
      </w:r>
      <w:r>
        <w:rPr>
          <w:rStyle w:val="Funotenanker"/>
        </w:rPr>
        <w:footnoteReference w:customMarkFollows="1" w:id="1200"/>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1"/>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2"/>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3"/>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4"/>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5"/>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6"/>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7"/>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8"/>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9"/>
        <w:t>as</w:t>
      </w:r>
      <w:r>
        <w:rPr/>
        <w:t xml:space="preserve"> </w:t>
      </w:r>
      <w:r>
        <w:rPr>
          <w:color w:val="808080"/>
        </w:rPr>
        <w:t>begann)</w:t>
      </w:r>
      <w:r>
        <w:rPr/>
        <w:t xml:space="preserve"> </w:t>
      </w:r>
      <w:r>
        <w:rPr>
          <w:rStyle w:val="Funotenanker"/>
        </w:rPr>
        <w:footnoteReference w:customMarkFollows="1" w:id="1210"/>
        <w:t>at</w:t>
      </w:r>
      <w:r>
        <w:rPr/>
        <w:t xml:space="preserve"> zu lehren </w:t>
      </w:r>
      <w:r>
        <w:rPr>
          <w:rStyle w:val="Funotenanker"/>
        </w:rPr>
        <w:footnoteReference w:customMarkFollows="1" w:id="1211"/>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2"/>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3"/>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4"/>
        <w:t>ax</w:t>
      </w:r>
      <w:r>
        <w:rPr/>
        <w:t xml:space="preserve"> Jesus von Nazaret </w:t>
      </w:r>
      <w:r>
        <w:rPr>
          <w:rStyle w:val="Funotenanker"/>
        </w:rPr>
        <w:footnoteReference w:customMarkFollows="1" w:id="1215"/>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6"/>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7"/>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8"/>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9"/>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20"/>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1"/>
        <w:t>be</w:t>
      </w:r>
      <w:r>
        <w:rPr/>
        <w:t xml:space="preserve"> verließen sie </w:t>
      </w:r>
      <w:r>
        <w:rPr>
          <w:strike/>
          <w:color w:val="808080"/>
        </w:rPr>
        <w:t>{aus}</w:t>
      </w:r>
      <w:r>
        <w:rPr/>
        <w:t xml:space="preserve"> die Synagoge und </w:t>
      </w:r>
      <w:r>
        <w:rPr>
          <w:rStyle w:val="Funotenanker"/>
        </w:rPr>
        <w:footnoteReference w:customMarkFollows="1" w:id="1222"/>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3"/>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4"/>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5"/>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6"/>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7"/>
        <w:t>bk</w:t>
      </w:r>
      <w:r>
        <w:rPr/>
        <w:t xml:space="preserve"> die Sonne untergegangen war </w:t>
      </w:r>
      <w:r>
        <w:rPr>
          <w:color w:val="808080"/>
        </w:rPr>
        <w:t>(unterging)</w:t>
      </w:r>
      <w:r>
        <w:rPr/>
        <w:t xml:space="preserve">, brachte </w:t>
      </w:r>
      <w:r>
        <w:rPr>
          <w:rStyle w:val="Funotenanker"/>
        </w:rPr>
        <w:footnoteReference w:customMarkFollows="1" w:id="1228"/>
        <w:t>bl</w:t>
      </w:r>
      <w:r>
        <w:rPr/>
        <w:t xml:space="preserve"> man alle Kranken </w:t>
      </w:r>
      <w:r>
        <w:rPr>
          <w:color w:val="808080"/>
        </w:rPr>
        <w:t>(denen es schlecht ging)</w:t>
      </w:r>
      <w:r>
        <w:rPr/>
        <w:t xml:space="preserve"> </w:t>
      </w:r>
      <w:r>
        <w:rPr>
          <w:rStyle w:val="Funotenanker"/>
        </w:rPr>
        <w:footnoteReference w:customMarkFollows="1" w:id="1229"/>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30"/>
        <w:t>bn</w:t>
      </w:r>
      <w:r>
        <w:rPr/>
        <w:t xml:space="preserve"> stand er auf, </w:t>
      </w:r>
      <w:r>
        <w:rPr>
          <w:rStyle w:val="Funotenanker"/>
        </w:rPr>
        <w:footnoteReference w:customMarkFollows="1" w:id="1231"/>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2"/>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3"/>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4"/>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5"/>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6"/>
        <w:t>bt</w:t>
      </w:r>
      <w:r>
        <w:rPr/>
        <w:t xml:space="preserve"> und trieb die Dämonen aus. </w:t>
      </w:r>
      <w:r>
        <w:rPr>
          <w:rStyle w:val="Funotenanker"/>
        </w:rPr>
        <w:footnoteReference w:customMarkFollows="1" w:id="1237"/>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8"/>
        <w:t>bv</w:t>
      </w:r>
      <w:r>
        <w:rPr/>
        <w:t xml:space="preserve"> , wobei er ihm zurief </w:t>
      </w:r>
      <w:r>
        <w:rPr>
          <w:color w:val="808080"/>
        </w:rPr>
        <w:t>(sagte)</w:t>
      </w:r>
      <w:r>
        <w:rPr/>
        <w:t xml:space="preserve"> </w:t>
      </w:r>
      <w:r>
        <w:rPr>
          <w:rStyle w:val="Funotenanker"/>
        </w:rPr>
        <w:footnoteReference w:customMarkFollows="1" w:id="1239"/>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40"/>
        <w:t>bx</w:t>
      </w:r>
      <w:r>
        <w:rPr/>
        <w:t xml:space="preserve"> darum </w:t>
      </w:r>
      <w:r>
        <w:rPr>
          <w:rStyle w:val="Funotenanker"/>
        </w:rPr>
        <w:footnoteReference w:customMarkFollows="1" w:id="1241"/>
        <w:t>by</w:t>
      </w:r>
      <w:r>
        <w:rPr/>
        <w:t xml:space="preserve"> streckte er seine Hand aus </w:t>
      </w:r>
      <w:r>
        <w:rPr>
          <w:rStyle w:val="Funotenanker"/>
        </w:rPr>
        <w:footnoteReference w:customMarkFollows="1" w:id="1242"/>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3"/>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4"/>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5"/>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6"/>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7"/>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8"/>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9"/>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50"/>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1"/>
        <w:t>a</w:t>
      </w:r>
      <w:r>
        <w:rPr/>
        <w:t xml:space="preserve"> , wurde bekannt </w:t>
      </w:r>
      <w:r>
        <w:rPr>
          <w:rStyle w:val="Funotenanker"/>
        </w:rPr>
        <w:footnoteReference w:customMarkFollows="1" w:id="1252"/>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3"/>
        <w:t>c</w:t>
      </w:r>
      <w:r>
        <w:rPr/>
        <w:t xml:space="preserve"> war </w:t>
      </w:r>
      <w:r>
        <w:rPr>
          <w:rStyle w:val="Funotenanker"/>
        </w:rPr>
        <w:footnoteReference w:customMarkFollows="1" w:id="1254"/>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5"/>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6"/>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7"/>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8"/>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9"/>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60"/>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1"/>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2"/>
        <w:t>l</w:t>
      </w:r>
      <w:r>
        <w:rPr/>
        <w:t xml:space="preserve"> sagte </w:t>
      </w:r>
      <w:r>
        <w:rPr>
          <w:rStyle w:val="Funotenanker"/>
        </w:rPr>
        <w:footnoteReference w:customMarkFollows="1" w:id="1263"/>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4"/>
        <w:t>n</w:t>
      </w:r>
      <w:r>
        <w:rPr/>
        <w:t xml:space="preserve"> in Gedanken </w:t>
      </w:r>
      <w:r>
        <w:rPr>
          <w:rStyle w:val="Funotenanker"/>
        </w:rPr>
        <w:footnoteReference w:customMarkFollows="1" w:id="1265"/>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6"/>
        <w:t>p</w:t>
      </w:r>
      <w:r>
        <w:rPr/>
        <w:t xml:space="preserve"> in seinem Geist </w:t>
      </w:r>
      <w:r>
        <w:rPr>
          <w:rStyle w:val="Funotenanker"/>
        </w:rPr>
        <w:footnoteReference w:customMarkFollows="1" w:id="1267"/>
        <w:t>q</w:t>
      </w:r>
      <w:r>
        <w:rPr/>
        <w:t xml:space="preserve"> sofort, dass sie so </w:t>
      </w:r>
      <w:r>
        <w:rPr>
          <w:strike/>
          <w:color w:val="808080"/>
        </w:rPr>
        <w:t>{bei sich}</w:t>
      </w:r>
      <w:r>
        <w:rPr/>
        <w:t xml:space="preserve"> dachten, darum sagte </w:t>
      </w:r>
      <w:r>
        <w:rPr>
          <w:rStyle w:val="Funotenanker"/>
        </w:rPr>
        <w:footnoteReference w:customMarkFollows="1" w:id="1268"/>
        <w:t>r</w:t>
      </w:r>
      <w:r>
        <w:rPr/>
        <w:t xml:space="preserve"> er zu ihnen: „Warum habt ihr solche Gedanken? </w:t>
      </w:r>
      <w:r>
        <w:rPr>
          <w:rStyle w:val="Funotenanker"/>
        </w:rPr>
        <w:footnoteReference w:customMarkFollows="1" w:id="1269"/>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70"/>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1"/>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2"/>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3"/>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4"/>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5"/>
        <w:t>y</w:t>
      </w:r>
      <w:r>
        <w:rPr/>
        <w:t xml:space="preserve"> . Und die gesamte Menschenmenge kam zu ihm, und er lehrte </w:t>
      </w:r>
      <w:r>
        <w:rPr>
          <w:rStyle w:val="Funotenanker"/>
        </w:rPr>
        <w:footnoteReference w:customMarkFollows="1" w:id="1276"/>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7"/>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8"/>
        <w:t>ab</w:t>
      </w:r>
      <w:r>
        <w:rPr/>
        <w:t xml:space="preserve"> sitzen </w:t>
      </w:r>
      <w:r>
        <w:rPr>
          <w:rStyle w:val="Funotenanker"/>
        </w:rPr>
        <w:footnoteReference w:customMarkFollows="1" w:id="1279"/>
        <w:t>ac</w:t>
      </w:r>
      <w:r>
        <w:rPr/>
        <w:t xml:space="preserve"> und sagte zu ihm: „Folge mir nach!“ </w:t>
      </w:r>
      <w:r>
        <w:rPr>
          <w:rStyle w:val="Funotenanker"/>
        </w:rPr>
        <w:footnoteReference w:customMarkFollows="1" w:id="1280"/>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1"/>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2"/>
        <w:t>af</w:t>
      </w:r>
      <w:r>
        <w:rPr/>
        <w:t xml:space="preserve"> in seinem Haus </w:t>
      </w:r>
      <w:r>
        <w:rPr>
          <w:rStyle w:val="Funotenanker"/>
        </w:rPr>
        <w:footnoteReference w:customMarkFollows="1" w:id="1283"/>
        <w:t>ag</w:t>
      </w:r>
      <w:r>
        <w:rPr/>
        <w:t xml:space="preserve"> bei Tisch war </w:t>
      </w:r>
      <w:r>
        <w:rPr>
          <w:color w:val="808080"/>
        </w:rPr>
        <w:t>(zu Gast war)</w:t>
      </w:r>
      <w:r>
        <w:rPr/>
        <w:t xml:space="preserve"> </w:t>
      </w:r>
      <w:r>
        <w:rPr>
          <w:rStyle w:val="Funotenanker"/>
        </w:rPr>
        <w:footnoteReference w:customMarkFollows="1" w:id="1284"/>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5"/>
        <w:t>ai</w:t>
      </w:r>
      <w:r>
        <w:rPr/>
        <w:t xml:space="preserve"> . Es waren nämlich viele, die </w:t>
      </w:r>
      <w:r>
        <w:rPr>
          <w:rStyle w:val="Funotenanker"/>
        </w:rPr>
        <w:footnoteReference w:customMarkFollows="1" w:id="1286"/>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7"/>
        <w:t>ak</w:t>
      </w:r>
      <w:r>
        <w:rPr/>
        <w:t xml:space="preserve"> sahen, </w:t>
      </w:r>
      <w:r>
        <w:rPr>
          <w:rStyle w:val="Funotenanker"/>
        </w:rPr>
        <w:footnoteReference w:customMarkFollows="1" w:id="1288"/>
        <w:t>al</w:t>
      </w:r>
      <w:r>
        <w:rPr/>
        <w:t xml:space="preserve"> dass er mit den Sündern und Zolleinnehmern </w:t>
      </w:r>
      <w:r>
        <w:rPr>
          <w:color w:val="808080"/>
        </w:rPr>
        <w:t>(Zöllnern)</w:t>
      </w:r>
      <w:r>
        <w:rPr/>
        <w:t xml:space="preserve"> aß </w:t>
      </w:r>
      <w:r>
        <w:rPr>
          <w:rStyle w:val="Funotenanker"/>
        </w:rPr>
        <w:footnoteReference w:customMarkFollows="1" w:id="1289"/>
        <w:t>am</w:t>
      </w:r>
      <w:r>
        <w:rPr/>
        <w:t xml:space="preserve"> , sagten sie zu seinen Jüngern: „Warum </w:t>
      </w:r>
      <w:r>
        <w:rPr>
          <w:rStyle w:val="Funotenanker"/>
        </w:rPr>
        <w:footnoteReference w:customMarkFollows="1" w:id="1290"/>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1"/>
        <w:t>ao</w:t>
      </w:r>
      <w:r>
        <w:rPr/>
        <w:t xml:space="preserve"> sagte er zu ihnen </w:t>
      </w:r>
      <w:r>
        <w:rPr>
          <w:strike/>
          <w:color w:val="808080"/>
        </w:rPr>
        <w:t>{dass}</w:t>
      </w:r>
      <w:r>
        <w:rPr/>
        <w:t xml:space="preserve"> </w:t>
      </w:r>
      <w:r>
        <w:rPr>
          <w:rStyle w:val="Funotenanker"/>
        </w:rPr>
        <w:footnoteReference w:customMarkFollows="1" w:id="1292"/>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3"/>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4"/>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5"/>
        <w:t>as</w:t>
      </w:r>
      <w:r>
        <w:rPr/>
        <w:t xml:space="preserve"> ihn: „Weshalb fasten die Jünger von Johannes und die Jünger der Pharisäer </w:t>
      </w:r>
      <w:r>
        <w:rPr>
          <w:rStyle w:val="Funotenanker"/>
        </w:rPr>
        <w:footnoteReference w:customMarkFollows="1" w:id="1296"/>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7"/>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8"/>
        <w:t>av</w:t>
      </w:r>
      <w:r>
        <w:rPr/>
        <w:t xml:space="preserve"> , und dann, an diesem Tag </w:t>
      </w:r>
      <w:r>
        <w:rPr>
          <w:rStyle w:val="Funotenanker"/>
        </w:rPr>
        <w:footnoteReference w:customMarkFollows="1" w:id="1299"/>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300"/>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1"/>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2"/>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abzurupfen. </w:t>
      </w:r>
      <w:r>
        <w:rPr>
          <w:rStyle w:val="Funotenanker"/>
        </w:rPr>
        <w:footnoteReference w:customMarkFollows="1" w:id="1303"/>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4"/>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5"/>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6"/>
        <w:t>bd</w:t>
      </w:r>
      <w:r>
        <w:rPr/>
        <w:t xml:space="preserve"> in das Haus Gottes ging und die geweihten Brote </w:t>
      </w:r>
      <w:r>
        <w:rPr>
          <w:color w:val="808080"/>
        </w:rPr>
        <w:t>(Schaubrote, ausgestellten Brote)</w:t>
      </w:r>
      <w:r>
        <w:rPr/>
        <w:t xml:space="preserve"> </w:t>
      </w:r>
      <w:r>
        <w:rPr>
          <w:rStyle w:val="Funotenanker"/>
        </w:rPr>
        <w:footnoteReference w:customMarkFollows="1" w:id="1307"/>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8"/>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9"/>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10"/>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1"/>
        <w:t>a</w:t>
      </w:r>
      <w:r>
        <w:rPr/>
        <w:t xml:space="preserve"> Hand hatte. </w:t>
      </w:r>
      <w:r>
        <w:rPr>
          <w:rStyle w:val="Funotenanker"/>
        </w:rPr>
        <w:footnoteReference w:customMarkFollows="1" w:id="1312"/>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3"/>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4"/>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5"/>
        <w:t>e</w:t>
      </w:r>
      <w:r>
        <w:rPr/>
        <w:t xml:space="preserve"> zu dem Mann mit der verkümmerten </w:t>
      </w:r>
      <w:r>
        <w:rPr>
          <w:color w:val="808080"/>
        </w:rPr>
        <w:t>(gelähmten, verdorrten)</w:t>
      </w:r>
      <w:r>
        <w:rPr/>
        <w:t xml:space="preserve"> Hand </w:t>
      </w:r>
      <w:r>
        <w:rPr>
          <w:rStyle w:val="Funotenanker"/>
        </w:rPr>
        <w:footnoteReference w:customMarkFollows="1" w:id="1316"/>
        <w:t>f</w:t>
      </w:r>
      <w:r>
        <w:rPr/>
        <w:t xml:space="preserve">: „Komm </w:t>
      </w:r>
      <w:r>
        <w:rPr>
          <w:color w:val="808080"/>
        </w:rPr>
        <w:t>(Steh auf)</w:t>
      </w:r>
      <w:r>
        <w:rPr/>
        <w:t xml:space="preserve"> </w:t>
      </w:r>
      <w:r>
        <w:rPr>
          <w:rStyle w:val="Funotenanker"/>
        </w:rPr>
        <w:footnoteReference w:customMarkFollows="1" w:id="1317"/>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8"/>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9"/>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20"/>
        <w:t>j</w:t>
      </w:r>
      <w:r>
        <w:rPr/>
        <w:t xml:space="preserve"> alle der Reihe nach </w:t>
      </w:r>
      <w:r>
        <w:rPr>
          <w:color w:val="808080"/>
        </w:rPr>
        <w:t>(ringsum)</w:t>
      </w:r>
      <w:r>
        <w:rPr/>
        <w:t xml:space="preserve"> an. </w:t>
      </w:r>
      <w:r>
        <w:rPr>
          <w:rStyle w:val="Funotenanker"/>
        </w:rPr>
        <w:footnoteReference w:customMarkFollows="1" w:id="1321"/>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2"/>
        <w:t>l</w:t>
      </w:r>
      <w:r>
        <w:rPr/>
        <w:t xml:space="preserve"> ihrer Herzen </w:t>
      </w:r>
      <w:r>
        <w:rPr>
          <w:rStyle w:val="Funotenanker"/>
        </w:rPr>
        <w:footnoteReference w:customMarkFollows="1" w:id="1323"/>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4"/>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5"/>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6"/>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7"/>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8"/>
        <w:t>r</w:t>
      </w:r>
      <w:r>
        <w:rPr/>
        <w:t xml:space="preserve"> eine große Menge zu ihm, die </w:t>
      </w:r>
      <w:r>
        <w:rPr>
          <w:color w:val="808080"/>
        </w:rPr>
        <w:t>(weil/als sie)</w:t>
      </w:r>
      <w:r>
        <w:rPr/>
        <w:t xml:space="preserve"> hörten, </w:t>
      </w:r>
      <w:r>
        <w:rPr>
          <w:rStyle w:val="Funotenanker"/>
        </w:rPr>
        <w:footnoteReference w:customMarkFollows="1" w:id="1329"/>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30"/>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1"/>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2"/>
        <w:t>v</w:t>
      </w:r>
      <w:r>
        <w:rPr/>
        <w:t xml:space="preserve"> </w:t>
      </w:r>
      <w:r>
        <w:rPr>
          <w:strike/>
          <w:color w:val="808080"/>
        </w:rPr>
        <w:t>{dass}</w:t>
      </w:r>
      <w:r>
        <w:rPr/>
        <w:t xml:space="preserve"> </w:t>
      </w:r>
      <w:r>
        <w:rPr>
          <w:rStyle w:val="Funotenanker"/>
        </w:rPr>
        <w:footnoteReference w:customMarkFollows="1" w:id="1333"/>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4"/>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5"/>
        <w:t>y</w:t>
      </w:r>
      <w:r>
        <w:rPr/>
        <w:t xml:space="preserve"> diejenigen zu sich, die er selbst sich ausgesucht hatte </w:t>
      </w:r>
      <w:r>
        <w:rPr>
          <w:rStyle w:val="Funotenanker"/>
        </w:rPr>
        <w:footnoteReference w:customMarkFollows="1" w:id="1336"/>
        <w:t>z</w:t>
      </w:r>
      <w:r>
        <w:rPr/>
        <w:t xml:space="preserve">; und sie kamen zu ihm </w:t>
      </w:r>
      <w:r>
        <w:rPr>
          <w:rStyle w:val="Funotenanker"/>
        </w:rPr>
        <w:footnoteReference w:customMarkFollows="1" w:id="1337"/>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8"/>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9"/>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40"/>
        <w:t>ad</w:t>
      </w:r>
      <w:r>
        <w:rPr/>
        <w:t xml:space="preserve"> , das heißt </w:t>
      </w:r>
      <w:r>
        <w:rPr>
          <w:rStyle w:val="Funotenanker"/>
        </w:rPr>
        <w:footnoteReference w:customMarkFollows="1" w:id="1341"/>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2"/>
        <w:t>af</w:t>
      </w:r>
      <w:r>
        <w:rPr/>
        <w:t xml:space="preserve"> {{field-off:bible}} </w:t>
        <w:br/>
        <w:t>[[@BibleTOBIBLE:Mk 3:19]]</w:t>
      </w:r>
      <w:r>
        <w:rPr>
          <w:b/>
        </w:rPr>
        <w:t>19</w:t>
      </w:r>
      <w:r>
        <w:rPr/>
        <w:t xml:space="preserve"> {{field-on:bible}}und Judas Iskariot </w:t>
      </w:r>
      <w:r>
        <w:rPr>
          <w:rStyle w:val="Funotenanker"/>
        </w:rPr>
        <w:footnoteReference w:customMarkFollows="1" w:id="1343"/>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4"/>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5"/>
        <w:t>ai</w:t>
      </w:r>
      <w:r>
        <w:rPr/>
        <w:t xml:space="preserve"> Und wieder versammelte </w:t>
      </w:r>
      <w:r>
        <w:rPr>
          <w:rStyle w:val="Funotenanker"/>
        </w:rPr>
        <w:footnoteReference w:customMarkFollows="1" w:id="1346"/>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7"/>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8"/>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9"/>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50"/>
        <w:t>an</w:t>
      </w:r>
      <w:r>
        <w:rPr/>
        <w:t xml:space="preserve"> verbreiteten </w:t>
      </w:r>
      <w:r>
        <w:rPr>
          <w:color w:val="808080"/>
        </w:rPr>
        <w:t>(meinten, sagten)</w:t>
      </w:r>
      <w:r>
        <w:rPr/>
        <w:t xml:space="preserve"> </w:t>
      </w:r>
      <w:r>
        <w:rPr>
          <w:rStyle w:val="Funotenanker"/>
        </w:rPr>
        <w:footnoteReference w:customMarkFollows="1" w:id="1351"/>
        <w:t>ao</w:t>
      </w:r>
      <w:r>
        <w:rPr/>
        <w:t xml:space="preserve"> </w:t>
      </w:r>
      <w:r>
        <w:rPr>
          <w:strike/>
          <w:color w:val="808080"/>
        </w:rPr>
        <w:t>{dass}</w:t>
      </w:r>
      <w:r>
        <w:rPr/>
        <w:t xml:space="preserve">: „Er ist von Beelzebul besessen!“ </w:t>
      </w:r>
      <w:r>
        <w:rPr>
          <w:rStyle w:val="Funotenanker"/>
        </w:rPr>
        <w:footnoteReference w:customMarkFollows="1" w:id="1352"/>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3"/>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4"/>
        <w:t>ar</w:t>
      </w:r>
      <w:r>
        <w:rPr/>
        <w:t xml:space="preserve"> zu ihnen: „Wie kann Satan </w:t>
      </w:r>
      <w:r>
        <w:rPr>
          <w:rStyle w:val="Funotenanker"/>
        </w:rPr>
        <w:footnoteReference w:customMarkFollows="1" w:id="1355"/>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6"/>
        <w:t>at</w:t>
      </w:r>
      <w:r>
        <w:rPr/>
        <w:t xml:space="preserve"> ein Königreich </w:t>
      </w:r>
      <w:r>
        <w:rPr>
          <w:color w:val="808080"/>
        </w:rPr>
        <w:t>(Reich, Staat)</w:t>
      </w:r>
      <w:r>
        <w:rPr/>
        <w:t xml:space="preserve"> sich mit sich selbst verfeindet </w:t>
      </w:r>
      <w:r>
        <w:rPr>
          <w:rStyle w:val="Funotenanker"/>
        </w:rPr>
        <w:footnoteReference w:customMarkFollows="1" w:id="1357"/>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8"/>
        <w:t>av</w:t>
      </w:r>
      <w:r>
        <w:rPr/>
        <w:t xml:space="preserve">.{{field-off:bible}} </w:t>
        <w:br/>
        <w:t>[[@BibleTOBIBLE:Mk 3:27]]</w:t>
      </w:r>
      <w:r>
        <w:rPr>
          <w:b/>
        </w:rPr>
        <w:t>27</w:t>
      </w:r>
      <w:r>
        <w:rPr/>
        <w:t xml:space="preserve"> {{field-on:bible}}Doch niemand kann </w:t>
      </w:r>
      <w:r>
        <w:rPr>
          <w:rStyle w:val="Funotenanker"/>
        </w:rPr>
        <w:footnoteReference w:customMarkFollows="1" w:id="1359"/>
        <w:t>aw</w:t>
      </w:r>
      <w:r>
        <w:rPr/>
        <w:t xml:space="preserve"> in das Haus des Starken eindringen </w:t>
      </w:r>
      <w:r>
        <w:rPr>
          <w:color w:val="808080"/>
        </w:rPr>
        <w:t>(einbrechen, hineingehen)</w:t>
      </w:r>
      <w:r>
        <w:rPr/>
        <w:t xml:space="preserve"> und </w:t>
      </w:r>
      <w:r>
        <w:rPr>
          <w:rStyle w:val="Funotenanker"/>
        </w:rPr>
        <w:footnoteReference w:customMarkFollows="1" w:id="1360"/>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1"/>
        <w:t>ay</w:t>
      </w:r>
      <w:r>
        <w:rPr/>
        <w:t xml:space="preserve"> dann erst kann er sein Haus ausplündern </w:t>
      </w:r>
      <w:r>
        <w:rPr>
          <w:rStyle w:val="Funotenanker"/>
        </w:rPr>
        <w:footnoteReference w:customMarkFollows="1" w:id="1362"/>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3"/>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4"/>
        <w:t>bb</w:t>
      </w:r>
      <w:r>
        <w:rPr/>
        <w:t xml:space="preserve"> kann </w:t>
      </w:r>
      <w:r>
        <w:rPr>
          <w:color w:val="808080"/>
        </w:rPr>
        <w:t>(wird)</w:t>
      </w:r>
      <w:r>
        <w:rPr/>
        <w:t xml:space="preserve"> alles vergeben werden </w:t>
      </w:r>
      <w:r>
        <w:rPr>
          <w:rStyle w:val="Funotenanker"/>
        </w:rPr>
        <w:footnoteReference w:customMarkFollows="1" w:id="1365"/>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6"/>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7"/>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8"/>
        <w:t>bf</w:t>
      </w:r>
      <w:r>
        <w:rPr/>
        <w:t xml:space="preserve"> seine Mutter und seine Geschwister </w:t>
      </w:r>
      <w:r>
        <w:rPr>
          <w:color w:val="808080"/>
        </w:rPr>
        <w:t>(Brüder)</w:t>
      </w:r>
      <w:r>
        <w:rPr/>
        <w:t xml:space="preserve"> </w:t>
      </w:r>
      <w:r>
        <w:rPr>
          <w:rStyle w:val="Funotenanker"/>
        </w:rPr>
        <w:footnoteReference w:customMarkFollows="1" w:id="1369"/>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70"/>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1"/>
        <w:t>bi</w:t>
      </w:r>
      <w:r>
        <w:rPr/>
        <w:t xml:space="preserve"> um </w:t>
      </w:r>
      <w:r>
        <w:rPr>
          <w:color w:val="808080"/>
        </w:rPr>
        <w:t>(wobei sie)</w:t>
      </w:r>
      <w:r>
        <w:rPr/>
        <w:t xml:space="preserve"> ihn zu rufen. </w:t>
      </w:r>
      <w:r>
        <w:rPr>
          <w:rStyle w:val="Funotenanker"/>
        </w:rPr>
        <w:footnoteReference w:customMarkFollows="1" w:id="1372"/>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3"/>
        <w:t>bk</w:t>
      </w:r>
      <w:r>
        <w:rPr/>
        <w:t xml:space="preserve"> zu ihm: „Da draußen </w:t>
      </w:r>
      <w:r>
        <w:rPr>
          <w:rStyle w:val="Funotenanker"/>
        </w:rPr>
        <w:footnoteReference w:customMarkFollows="1" w:id="1374"/>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5"/>
        <w:t>bm</w:t>
      </w:r>
      <w:r>
        <w:rPr/>
        <w:t xml:space="preserve">: „Wer sind </w:t>
      </w:r>
      <w:r>
        <w:rPr>
          <w:rStyle w:val="Funotenanker"/>
        </w:rPr>
        <w:footnoteReference w:customMarkFollows="1" w:id="1376"/>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7"/>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8"/>
        <w:t>bp</w:t>
      </w:r>
      <w:r>
        <w:rPr/>
        <w:t xml:space="preserve"> um ihn saßen, </w:t>
      </w:r>
      <w:r>
        <w:rPr>
          <w:rStyle w:val="Funotenanker"/>
        </w:rPr>
        <w:footnoteReference w:customMarkFollows="1" w:id="1379"/>
        <w:t>bq</w:t>
      </w:r>
      <w:r>
        <w:rPr/>
        <w:t xml:space="preserve"> sagte er: „Siehe, </w:t>
      </w:r>
      <w:r>
        <w:rPr>
          <w:color w:val="808080"/>
        </w:rPr>
        <w:t>(Das hier sind, Ihr hier seid)</w:t>
      </w:r>
      <w:r>
        <w:rPr/>
        <w:t xml:space="preserve"> </w:t>
      </w:r>
      <w:r>
        <w:rPr>
          <w:rStyle w:val="Funotenanker"/>
        </w:rPr>
        <w:footnoteReference w:customMarkFollows="1" w:id="1380"/>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1"/>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2"/>
        <w:t>a</w:t>
      </w:r>
      <w:r>
        <w:rPr/>
        <w:t xml:space="preserve"> zu lehren. Und eine so gewaltige Menschenmenge versammelte sich bei ihm, dass er in ein Boot stieg und </w:t>
      </w:r>
      <w:r>
        <w:rPr>
          <w:rStyle w:val="Funotenanker"/>
        </w:rPr>
        <w:footnoteReference w:customMarkFollows="1" w:id="1383"/>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4"/>
        <w:t>c</w:t>
      </w:r>
      <w:r>
        <w:rPr/>
        <w:t xml:space="preserve"> , und die ganze Menschenmenge blieb </w:t>
      </w:r>
      <w:r>
        <w:rPr>
          <w:color w:val="808080"/>
        </w:rPr>
        <w:t>(war)</w:t>
      </w:r>
      <w:r>
        <w:rPr/>
        <w:t xml:space="preserve"> </w:t>
      </w:r>
      <w:r>
        <w:rPr>
          <w:rStyle w:val="Funotenanker"/>
        </w:rPr>
        <w:footnoteReference w:customMarkFollows="1" w:id="1385"/>
        <w:t>d</w:t>
      </w:r>
      <w:r>
        <w:rPr/>
        <w:t xml:space="preserve"> am Ufer </w:t>
      </w:r>
      <w:r>
        <w:rPr>
          <w:rStyle w:val="Funotenanker"/>
        </w:rPr>
        <w:footnoteReference w:customMarkFollows="1" w:id="1386"/>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7"/>
        <w:t>f</w:t>
      </w:r>
      <w:r>
        <w:rPr/>
        <w:t xml:space="preserve"> zu ihnen, während er lehrte </w:t>
      </w:r>
      <w:r>
        <w:rPr>
          <w:color w:val="808080"/>
        </w:rPr>
        <w:t>(bei/in/während seiner Lehre)</w:t>
      </w:r>
      <w:r>
        <w:rPr/>
        <w:t xml:space="preserve"> </w:t>
      </w:r>
      <w:r>
        <w:rPr>
          <w:rStyle w:val="Funotenanker"/>
        </w:rPr>
        <w:footnoteReference w:customMarkFollows="1" w:id="1388"/>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9"/>
        <w:t>h</w:t>
      </w:r>
      <w:r>
        <w:rPr/>
        <w:t xml:space="preserve"> an den Wegesrand </w:t>
      </w:r>
      <w:r>
        <w:rPr>
          <w:color w:val="808080"/>
        </w:rPr>
        <w:t>(auf den Weg)</w:t>
      </w:r>
      <w:r>
        <w:rPr/>
        <w:t xml:space="preserve"> </w:t>
      </w:r>
      <w:r>
        <w:rPr>
          <w:rStyle w:val="Funotenanker"/>
        </w:rPr>
        <w:footnoteReference w:customMarkFollows="1" w:id="1390"/>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1"/>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2"/>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3"/>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4"/>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5"/>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6"/>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7"/>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8"/>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9"/>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400"/>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1"/>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2"/>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3"/>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4"/>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5"/>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6"/>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7"/>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8"/>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9"/>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10"/>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1"/>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2"/>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3"/>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4"/>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5"/>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6"/>
        <w:t>ai</w:t>
      </w:r>
      <w:r>
        <w:rPr/>
        <w:t xml:space="preserve"> aller Samenkörner ist </w:t>
      </w:r>
      <w:r>
        <w:rPr>
          <w:rStyle w:val="Funotenanker"/>
        </w:rPr>
        <w:footnoteReference w:customMarkFollows="1" w:id="1417"/>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8"/>
        <w:t>ak</w:t>
      </w:r>
      <w:r>
        <w:rPr/>
        <w:t xml:space="preserve"> aller Gartenpflanzen, und es treibt so große Zweige, dass in seinem Schatten </w:t>
      </w:r>
      <w:r>
        <w:rPr>
          <w:rStyle w:val="Funotenanker"/>
        </w:rPr>
        <w:footnoteReference w:customMarkFollows="1" w:id="1419"/>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20"/>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1"/>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2"/>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3"/>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4"/>
        <w:t>aq</w:t>
      </w:r>
      <w:r>
        <w:rPr/>
        <w:t xml:space="preserve"> „Fahren wir doch </w:t>
      </w:r>
      <w:r>
        <w:rPr>
          <w:color w:val="808080"/>
        </w:rPr>
        <w:t>(lasst uns)</w:t>
      </w:r>
      <w:r>
        <w:rPr/>
        <w:t xml:space="preserve"> ans andere Ufer.“ </w:t>
      </w:r>
      <w:r>
        <w:rPr>
          <w:rStyle w:val="Funotenanker"/>
        </w:rPr>
        <w:footnoteReference w:customMarkFollows="1" w:id="1425"/>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6"/>
        <w:t>as</w:t>
      </w:r>
      <w:r>
        <w:rPr/>
        <w:t xml:space="preserve"> nahmen sie ihn im Boot mit </w:t>
      </w:r>
      <w:r>
        <w:rPr>
          <w:color w:val="808080"/>
        </w:rPr>
        <w:t>(zu sich ins Boot)</w:t>
      </w:r>
      <w:r>
        <w:rPr/>
        <w:t xml:space="preserve">, wie er war, </w:t>
      </w:r>
      <w:r>
        <w:rPr>
          <w:rStyle w:val="Funotenanker"/>
        </w:rPr>
        <w:footnoteReference w:customMarkFollows="1" w:id="1427"/>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8"/>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9"/>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30"/>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1"/>
        <w:t>ax</w:t>
      </w:r>
      <w:r>
        <w:rPr/>
        <w:t xml:space="preserve"> unterwarf </w:t>
      </w:r>
      <w:r>
        <w:rPr>
          <w:color w:val="808080"/>
        </w:rPr>
        <w:t>(fuhr an)</w:t>
      </w:r>
      <w:r>
        <w:rPr/>
        <w:t xml:space="preserve"> </w:t>
      </w:r>
      <w:r>
        <w:rPr>
          <w:rStyle w:val="Funotenanker"/>
        </w:rPr>
        <w:footnoteReference w:customMarkFollows="1" w:id="1432"/>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3"/>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4"/>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5"/>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6"/>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7"/>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8"/>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9"/>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40"/>
        <w:t>e</w:t>
      </w:r>
      <w:r>
        <w:rPr/>
        <w:t xml:space="preserve"> und die Fußfesseln zerrieben </w:t>
      </w:r>
      <w:r>
        <w:rPr>
          <w:color w:val="808080"/>
        </w:rPr>
        <w:t>(zerschmettert)</w:t>
      </w:r>
      <w:r>
        <w:rPr/>
        <w:t xml:space="preserve">, </w:t>
      </w:r>
      <w:r>
        <w:rPr>
          <w:rStyle w:val="Funotenanker"/>
        </w:rPr>
        <w:footnoteReference w:customMarkFollows="1" w:id="1441"/>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2"/>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3"/>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4"/>
        <w:t>i</w:t>
      </w:r>
      <w:r>
        <w:rPr/>
        <w:t xml:space="preserve"> kam er angerannt und warf sich vor ihm nieder </w:t>
      </w:r>
      <w:r>
        <w:rPr>
          <w:rStyle w:val="Funotenanker"/>
        </w:rPr>
        <w:footnoteReference w:customMarkFollows="1" w:id="1445"/>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6"/>
        <w:t>k</w:t>
      </w:r>
      <w:r>
        <w:rPr/>
        <w:t xml:space="preserve"> sagte: „Was willst du von mir </w:t>
      </w:r>
      <w:r>
        <w:rPr>
          <w:rStyle w:val="Funotenanker"/>
        </w:rPr>
        <w:footnoteReference w:customMarkFollows="1" w:id="1447"/>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8"/>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9"/>
        <w:t>n</w:t>
      </w:r>
      <w:r>
        <w:rPr/>
        <w:t xml:space="preserve">, </w:t>
      </w:r>
      <w:r>
        <w:rPr>
          <w:rStyle w:val="Funotenanker"/>
        </w:rPr>
        <w:footnoteReference w:customMarkFollows="1" w:id="1450"/>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1"/>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2"/>
        <w:t>q</w:t>
      </w:r>
      <w:r>
        <w:rPr/>
        <w:t xml:space="preserve"> gerade </w:t>
      </w:r>
      <w:r>
        <w:rPr>
          <w:rStyle w:val="Funotenanker"/>
        </w:rPr>
        <w:footnoteReference w:customMarkFollows="1" w:id="1453"/>
        <w:t>r</w:t>
      </w:r>
      <w:r>
        <w:rPr/>
        <w:t xml:space="preserve"> eine große Schweineherde </w:t>
      </w:r>
      <w:r>
        <w:rPr>
          <w:rStyle w:val="Funotenanker"/>
        </w:rPr>
        <w:footnoteReference w:customMarkFollows="1" w:id="1454"/>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5"/>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6"/>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7"/>
        <w:t>v</w:t>
      </w:r>
      <w:r>
        <w:rPr/>
        <w:t xml:space="preserve">.{{field-off:bible}} </w:t>
        <w:br/>
        <w:t>[[@BibleTOBIBLE:Mk 5:14]]</w:t>
      </w:r>
      <w:r>
        <w:rPr>
          <w:b/>
        </w:rPr>
        <w:t>14</w:t>
      </w:r>
      <w:r>
        <w:rPr/>
        <w:t xml:space="preserve"> {{field-on:bible}}Und ihre Hirten </w:t>
      </w:r>
      <w:r>
        <w:rPr>
          <w:rStyle w:val="Funotenanker"/>
        </w:rPr>
        <w:footnoteReference w:customMarkFollows="1" w:id="1458"/>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9"/>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60"/>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1"/>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2"/>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3"/>
        <w:t>ab</w:t>
      </w:r>
      <w:r>
        <w:rPr/>
        <w:t xml:space="preserve"> bat </w:t>
      </w:r>
      <w:r>
        <w:rPr>
          <w:color w:val="808080"/>
        </w:rPr>
        <w:t>(flehte)</w:t>
      </w:r>
      <w:r>
        <w:rPr/>
        <w:t xml:space="preserve"> ihn der, der besessen gewesen war, </w:t>
      </w:r>
      <w:r>
        <w:rPr>
          <w:rStyle w:val="Funotenanker"/>
        </w:rPr>
        <w:footnoteReference w:customMarkFollows="1" w:id="1464"/>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5"/>
        <w:t>ad</w:t>
      </w:r>
      <w:r>
        <w:rPr/>
        <w:t xml:space="preserve"> zu erzählen </w:t>
      </w:r>
      <w:r>
        <w:rPr>
          <w:color w:val="808080"/>
        </w:rPr>
        <w:t>(predigen, verkündigen)</w:t>
      </w:r>
      <w:r>
        <w:rPr/>
        <w:t xml:space="preserve">, was Jesus ihm getan hatte, </w:t>
      </w:r>
      <w:r>
        <w:rPr>
          <w:rStyle w:val="Funotenanker"/>
        </w:rPr>
        <w:footnoteReference w:customMarkFollows="1" w:id="1466"/>
        <w:t>ae</w:t>
      </w:r>
      <w:r>
        <w:rPr/>
        <w:t xml:space="preserve"> und alle staunten </w:t>
      </w:r>
      <w:r>
        <w:rPr>
          <w:color w:val="808080"/>
        </w:rPr>
        <w:t>(wunderten sich)</w:t>
      </w:r>
      <w:r>
        <w:rPr/>
        <w:t xml:space="preserve"> </w:t>
      </w:r>
      <w:r>
        <w:rPr>
          <w:rStyle w:val="Funotenanker"/>
        </w:rPr>
        <w:footnoteReference w:customMarkFollows="1" w:id="1467"/>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8"/>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9"/>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70"/>
        <w:t>ai</w:t>
      </w:r>
      <w:r>
        <w:rPr/>
        <w:t xml:space="preserve"> namens Jairus </w:t>
      </w:r>
      <w:r>
        <w:rPr>
          <w:rStyle w:val="Funotenanker"/>
        </w:rPr>
        <w:footnoteReference w:customMarkFollows="1" w:id="1471"/>
        <w:t>aj</w:t>
      </w:r>
      <w:r>
        <w:rPr/>
        <w:t xml:space="preserve"> kam, und als er ihn sah, </w:t>
      </w:r>
      <w:r>
        <w:rPr>
          <w:rStyle w:val="Funotenanker"/>
        </w:rPr>
        <w:footnoteReference w:customMarkFollows="1" w:id="1472"/>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3"/>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4"/>
        <w:t>am</w:t>
      </w:r>
      <w:r>
        <w:rPr/>
        <w:t xml:space="preserve"> – komm doch und </w:t>
      </w:r>
      <w:r>
        <w:rPr>
          <w:rStyle w:val="Funotenanker"/>
        </w:rPr>
        <w:footnoteReference w:customMarkFollows="1" w:id="1475"/>
        <w:t>an</w:t>
      </w:r>
      <w:r>
        <w:rPr/>
        <w:t xml:space="preserve"> lege ihr deine Hände auf, </w:t>
      </w:r>
      <w:r>
        <w:rPr>
          <w:rStyle w:val="Funotenanker"/>
        </w:rPr>
        <w:footnoteReference w:customMarkFollows="1" w:id="1476"/>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7"/>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8"/>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9"/>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80"/>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1"/>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2"/>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3"/>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4"/>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5"/>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6"/>
        <w:t>ay</w:t>
      </w:r>
      <w:r>
        <w:rPr/>
        <w:t xml:space="preserve"> drehte sich in der Menschenmenge um und fragte </w:t>
      </w:r>
      <w:r>
        <w:rPr>
          <w:color w:val="808080"/>
        </w:rPr>
        <w:t>(sagte, wiederholte)</w:t>
      </w:r>
      <w:r>
        <w:rPr/>
        <w:t xml:space="preserve"> </w:t>
      </w:r>
      <w:r>
        <w:rPr>
          <w:rStyle w:val="Funotenanker"/>
        </w:rPr>
        <w:footnoteReference w:customMarkFollows="1" w:id="1487"/>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8"/>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9"/>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90"/>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1"/>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2"/>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3"/>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4"/>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5"/>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6"/>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7"/>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8"/>
        <w:t>bk</w:t>
      </w:r>
      <w:r>
        <w:rPr/>
        <w:t xml:space="preserve"> und sagte zu ihr: „Talita kum!“ </w:t>
      </w:r>
      <w:r>
        <w:rPr>
          <w:rStyle w:val="Funotenanker"/>
        </w:rPr>
        <w:footnoteReference w:customMarkFollows="1" w:id="1499"/>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500"/>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1"/>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2"/>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3"/>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4"/>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5"/>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6"/>
        <w:t>b</w:t>
      </w:r>
      <w:r>
        <w:rPr/>
        <w:t xml:space="preserve"> begann er, in der Synagoge zu lehren </w:t>
      </w:r>
      <w:r>
        <w:rPr>
          <w:color w:val="808080"/>
        </w:rPr>
        <w:t>(lehrte er)</w:t>
      </w:r>
      <w:r>
        <w:rPr/>
        <w:t xml:space="preserve"> </w:t>
      </w:r>
      <w:r>
        <w:rPr>
          <w:rStyle w:val="Funotenanker"/>
        </w:rPr>
        <w:footnoteReference w:customMarkFollows="1" w:id="1507"/>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8"/>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9"/>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10"/>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1"/>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2"/>
        <w:t>h</w:t>
      </w:r>
      <w:r>
        <w:rPr/>
        <w:t xml:space="preserve"> aus, </w:t>
      </w:r>
      <w:r>
        <w:rPr>
          <w:rStyle w:val="Funotenanker"/>
        </w:rPr>
        <w:footnoteReference w:customMarkFollows="1" w:id="1513"/>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4"/>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5"/>
        <w:t>k</w:t>
      </w:r>
      <w:r>
        <w:rPr/>
        <w:t xml:space="preserve">, „und zieht keine zwei Unterhemden an!“ </w:t>
      </w:r>
      <w:r>
        <w:rPr>
          <w:rStyle w:val="Funotenanker"/>
        </w:rPr>
        <w:footnoteReference w:customMarkFollows="1" w:id="1516"/>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7"/>
        <w:t>m</w:t>
      </w:r>
      <w:r>
        <w:rPr/>
        <w:t xml:space="preserve"> dann schüttelt beim Aufbruch </w:t>
      </w:r>
      <w:r>
        <w:rPr>
          <w:color w:val="808080"/>
        </w:rPr>
        <w:t>(geht von dort weg und)</w:t>
      </w:r>
      <w:r>
        <w:rPr/>
        <w:t xml:space="preserve"> </w:t>
      </w:r>
      <w:r>
        <w:rPr>
          <w:rStyle w:val="Funotenanker"/>
        </w:rPr>
        <w:footnoteReference w:customMarkFollows="1" w:id="1518"/>
        <w:t>n</w:t>
      </w:r>
      <w:r>
        <w:rPr/>
        <w:t xml:space="preserve"> den Staub von euren Schuhsohlen </w:t>
      </w:r>
      <w:r>
        <w:rPr>
          <w:rStyle w:val="Funotenanker"/>
        </w:rPr>
        <w:footnoteReference w:customMarkFollows="1" w:id="1519"/>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20"/>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1"/>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2"/>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3"/>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4"/>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5"/>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6"/>
        <w:t>v</w:t>
      </w:r>
      <w:r>
        <w:rPr/>
        <w:t xml:space="preserve"> glaubte </w:t>
      </w:r>
      <w:r>
        <w:rPr>
          <w:color w:val="808080"/>
        </w:rPr>
        <w:t>(sagte, rief)</w:t>
      </w:r>
      <w:r>
        <w:rPr/>
        <w:t xml:space="preserve"> er </w:t>
      </w:r>
      <w:r>
        <w:rPr>
          <w:rStyle w:val="Funotenanker"/>
        </w:rPr>
        <w:footnoteReference w:customMarkFollows="1" w:id="1527"/>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8"/>
        <w:t>x</w:t>
      </w:r>
      <w:r>
        <w:rPr/>
        <w:t xml:space="preserve"> lassen </w:t>
      </w:r>
      <w:r>
        <w:rPr>
          <w:rStyle w:val="Funotenanker"/>
        </w:rPr>
        <w:footnoteReference w:customMarkFollows="1" w:id="1529"/>
        <w:t>y</w:t>
      </w:r>
      <w:r>
        <w:rPr/>
        <w:t xml:space="preserve">. </w:t>
      </w:r>
      <w:r>
        <w:rPr>
          <w:b/>
          <w:color w:val="808080"/>
        </w:rPr>
        <w:t>[</w:t>
      </w:r>
      <w:r>
        <w:rPr/>
        <w:t>Das tat er</w:t>
      </w:r>
      <w:r>
        <w:rPr>
          <w:b/>
          <w:color w:val="808080"/>
        </w:rPr>
        <w:t>]</w:t>
      </w:r>
      <w:r>
        <w:rPr/>
        <w:t xml:space="preserve"> </w:t>
      </w:r>
      <w:r>
        <w:rPr>
          <w:rStyle w:val="Funotenanker"/>
        </w:rPr>
        <w:footnoteReference w:customMarkFollows="1" w:id="1530"/>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1"/>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2"/>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3"/>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4"/>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5"/>
        <w:t>ae</w:t>
      </w:r>
      <w:r>
        <w:rPr/>
        <w:t xml:space="preserve">, und wenn er ihm zuhörte </w:t>
      </w:r>
      <w:r>
        <w:rPr>
          <w:color w:val="808080"/>
        </w:rPr>
        <w:t>(zugehört hatte)</w:t>
      </w:r>
      <w:r>
        <w:rPr/>
        <w:t xml:space="preserve">, </w:t>
      </w:r>
      <w:r>
        <w:rPr>
          <w:rStyle w:val="Funotenanker"/>
        </w:rPr>
        <w:footnoteReference w:customMarkFollows="1" w:id="1536"/>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7"/>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8"/>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9"/>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40"/>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1"/>
        <w:t>ak</w:t>
      </w:r>
      <w:r>
        <w:rPr/>
        <w:t xml:space="preserve"> hereinkam und tanzte, </w:t>
      </w:r>
      <w:r>
        <w:rPr>
          <w:rStyle w:val="Funotenanker"/>
        </w:rPr>
        <w:footnoteReference w:customMarkFollows="1" w:id="1542"/>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3"/>
        <w:t>am</w:t>
      </w:r>
      <w:r>
        <w:rPr/>
        <w:t xml:space="preserve">. Der König sagte zu dem Mädchen </w:t>
      </w:r>
      <w:r>
        <w:rPr>
          <w:rStyle w:val="Funotenanker"/>
        </w:rPr>
        <w:footnoteReference w:customMarkFollows="1" w:id="1544"/>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5"/>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6"/>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7"/>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8"/>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9"/>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50"/>
        <w:t>at</w:t>
      </w:r>
      <w:r>
        <w:rPr/>
        <w:t xml:space="preserve"> wollte er sie nicht abweisen.{{field-off:bible}} </w:t>
        <w:br/>
        <w:t>[[@BibleTOBIBLE:Mk 6:27]]</w:t>
      </w:r>
      <w:r>
        <w:rPr>
          <w:b/>
        </w:rPr>
        <w:t>27</w:t>
      </w:r>
      <w:r>
        <w:rPr/>
        <w:t xml:space="preserve"> {{field-on:bible}}Also </w:t>
      </w:r>
      <w:r>
        <w:rPr>
          <w:rStyle w:val="Funotenanker"/>
        </w:rPr>
        <w:footnoteReference w:customMarkFollows="1" w:id="1551"/>
        <w:t>au</w:t>
      </w:r>
      <w:r>
        <w:rPr/>
        <w:t xml:space="preserve"> schickte der König einen Henker und </w:t>
      </w:r>
      <w:r>
        <w:rPr>
          <w:rStyle w:val="Funotenanker"/>
        </w:rPr>
        <w:footnoteReference w:customMarkFollows="1" w:id="1552"/>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3"/>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4"/>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5"/>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6"/>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7"/>
        <w:t>ba</w:t>
      </w:r>
      <w:r>
        <w:rPr/>
        <w:t xml:space="preserve"> an.{{field-off:bible}} </w:t>
        <w:br/>
        <w:t>[[@BibleTOBIBLE:Mk 6:34]]</w:t>
      </w:r>
      <w:r>
        <w:rPr>
          <w:b/>
        </w:rPr>
        <w:t>34</w:t>
      </w:r>
      <w:r>
        <w:rPr/>
        <w:t xml:space="preserve"> {{field-on:bible}}Und als er ausstieg, </w:t>
      </w:r>
      <w:r>
        <w:rPr>
          <w:rStyle w:val="Funotenanker"/>
        </w:rPr>
        <w:footnoteReference w:customMarkFollows="1" w:id="1558"/>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9"/>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60"/>
        <w:t>bd</w:t>
      </w:r>
      <w:r>
        <w:rPr/>
        <w:t xml:space="preserve"> kamen seine Jünger zu ihm und </w:t>
      </w:r>
      <w:r>
        <w:rPr>
          <w:rStyle w:val="Funotenanker"/>
        </w:rPr>
        <w:footnoteReference w:customMarkFollows="1" w:id="1561"/>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2"/>
        <w:t>bf</w:t>
      </w:r>
      <w:r>
        <w:rPr/>
        <w:t xml:space="preserve"> und Dörfern gehen und </w:t>
      </w:r>
      <w:r>
        <w:rPr>
          <w:rStyle w:val="Funotenanker"/>
        </w:rPr>
        <w:footnoteReference w:customMarkFollows="1" w:id="1563"/>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4"/>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5"/>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6"/>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7"/>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8"/>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9"/>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70"/>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1"/>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2"/>
        <w:t>bp</w:t>
      </w:r>
      <w:r>
        <w:rPr/>
        <w:t xml:space="preserve"> auf, auch von den Fischen </w:t>
      </w:r>
      <w:r>
        <w:rPr>
          <w:rStyle w:val="Funotenanker"/>
        </w:rPr>
        <w:footnoteReference w:customMarkFollows="1" w:id="1573"/>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4"/>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5"/>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6"/>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7"/>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8"/>
        <w:t>bv</w:t>
      </w:r>
      <w:r>
        <w:rPr/>
        <w:t xml:space="preserve"> in ihre Richtung, indem er auf dem Meer lief. </w:t>
      </w:r>
      <w:r>
        <w:rPr>
          <w:rStyle w:val="Funotenanker"/>
        </w:rPr>
        <w:footnoteReference w:customMarkFollows="1" w:id="1579"/>
        <w:t>bw</w:t>
      </w:r>
      <w:r>
        <w:rPr/>
        <w:t xml:space="preserve"> Dabei </w:t>
      </w:r>
      <w:r>
        <w:rPr>
          <w:color w:val="808080"/>
        </w:rPr>
        <w:t>(und)</w:t>
      </w:r>
      <w:r>
        <w:rPr/>
        <w:t xml:space="preserve"> wollte </w:t>
      </w:r>
      <w:r>
        <w:rPr>
          <w:rStyle w:val="Funotenanker"/>
        </w:rPr>
        <w:footnoteReference w:customMarkFollows="1" w:id="1580"/>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1"/>
        <w:t>by</w:t>
      </w:r>
      <w:r>
        <w:rPr/>
        <w:t xml:space="preserve"> meinten sie, dass es ein Gespenst sei, und schrien auf </w:t>
      </w:r>
      <w:r>
        <w:rPr>
          <w:color w:val="808080"/>
        </w:rPr>
        <w:t>(fingen an zu schreien)</w:t>
      </w:r>
      <w:r>
        <w:rPr/>
        <w:t xml:space="preserve"> </w:t>
      </w:r>
      <w:r>
        <w:rPr>
          <w:rStyle w:val="Funotenanker"/>
        </w:rPr>
        <w:footnoteReference w:customMarkFollows="1" w:id="1582"/>
        <w:t>bz</w:t>
      </w:r>
      <w:r>
        <w:rPr/>
        <w:t xml:space="preserve">.{{field-off:bible}} </w:t>
        <w:br/>
        <w:t>[[@BibleTOBIBLE:Mk 6:50]]</w:t>
      </w:r>
      <w:r>
        <w:rPr>
          <w:b/>
        </w:rPr>
        <w:t>50</w:t>
      </w:r>
      <w:r>
        <w:rPr/>
        <w:t xml:space="preserve"> {{field-on:bible}}Denn alle sahen ihn und erschraken </w:t>
      </w:r>
      <w:r>
        <w:rPr>
          <w:rStyle w:val="Funotenanker"/>
        </w:rPr>
        <w:footnoteReference w:customMarkFollows="1" w:id="1583"/>
        <w:t>ca</w:t>
      </w:r>
      <w:r>
        <w:rPr/>
        <w:t xml:space="preserve">. Doch er begann sofort mit ihnen zu reden </w:t>
      </w:r>
      <w:r>
        <w:rPr>
          <w:rStyle w:val="Funotenanker"/>
        </w:rPr>
        <w:footnoteReference w:customMarkFollows="1" w:id="1584"/>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5"/>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6"/>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7"/>
        <w:t>ce</w:t>
      </w:r>
      <w:r>
        <w:rPr/>
        <w:t xml:space="preserve">, sondern ihr Herz war verstockt </w:t>
      </w:r>
      <w:r>
        <w:rPr>
          <w:color w:val="808080"/>
        </w:rPr>
        <w:t>(verhärtet)</w:t>
      </w:r>
      <w:r>
        <w:rPr/>
        <w:t xml:space="preserve"> </w:t>
      </w:r>
      <w:r>
        <w:rPr>
          <w:rStyle w:val="Funotenanker"/>
        </w:rPr>
        <w:footnoteReference w:customMarkFollows="1" w:id="1588"/>
        <w:t>cf</w:t>
      </w:r>
      <w:r>
        <w:rPr/>
        <w:t xml:space="preserve">.{{field-off:bible}} </w:t>
        <w:br/>
        <w:t>[[@BibleTOBIBLE:Mk 6:53]]</w:t>
      </w:r>
      <w:r>
        <w:rPr>
          <w:b/>
        </w:rPr>
        <w:t>53</w:t>
      </w:r>
      <w:r>
        <w:rPr/>
        <w:t xml:space="preserve"> {{field-on:bible}}Und nachdem sie übergesetzt hatten, </w:t>
      </w:r>
      <w:r>
        <w:rPr>
          <w:rStyle w:val="Funotenanker"/>
        </w:rPr>
        <w:footnoteReference w:customMarkFollows="1" w:id="1589"/>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90"/>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1"/>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2"/>
        <w:t>cj</w:t>
      </w:r>
      <w:r>
        <w:rPr/>
        <w:t xml:space="preserve"> gesamte Gegend, und sie trugen </w:t>
      </w:r>
      <w:r>
        <w:rPr>
          <w:color w:val="808080"/>
        </w:rPr>
        <w:t>(fingen an zu tragen)</w:t>
      </w:r>
      <w:r>
        <w:rPr/>
        <w:t xml:space="preserve"> </w:t>
      </w:r>
      <w:r>
        <w:rPr>
          <w:rStyle w:val="Funotenanker"/>
        </w:rPr>
        <w:footnoteReference w:customMarkFollows="1" w:id="1593"/>
        <w:t>ck</w:t>
      </w:r>
      <w:r>
        <w:rPr/>
        <w:t xml:space="preserve"> diejenigen, denen es schlecht ging </w:t>
      </w:r>
      <w:r>
        <w:rPr>
          <w:color w:val="808080"/>
        </w:rPr>
        <w:t>(die Kranken)</w:t>
      </w:r>
      <w:r>
        <w:rPr/>
        <w:t xml:space="preserve"> </w:t>
      </w:r>
      <w:r>
        <w:rPr>
          <w:rStyle w:val="Funotenanker"/>
        </w:rPr>
        <w:footnoteReference w:customMarkFollows="1" w:id="1594"/>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5"/>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6"/>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7"/>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8"/>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9"/>
        <w:t>c</w:t>
      </w:r>
      <w:r>
        <w:rPr/>
        <w:t xml:space="preserve"> die Brote </w:t>
      </w:r>
      <w:r>
        <w:rPr>
          <w:color w:val="808080"/>
        </w:rPr>
        <w:t>(ihr Essen)</w:t>
      </w:r>
      <w:r>
        <w:rPr/>
        <w:t xml:space="preserve"> aßen </w:t>
      </w:r>
      <w:r>
        <w:rPr>
          <w:rStyle w:val="Funotenanker"/>
        </w:rPr>
        <w:footnoteReference w:customMarkFollows="1" w:id="1600"/>
        <w:t>d</w:t>
      </w:r>
      <w:r>
        <w:rPr/>
        <w:t xml:space="preserve"> – </w:t>
      </w:r>
      <w:r>
        <w:rPr>
          <w:rStyle w:val="Funotenanker"/>
        </w:rPr>
        <w:footnoteReference w:customMarkFollows="1" w:id="1601"/>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2"/>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3"/>
        <w:t>g</w:t>
      </w:r>
      <w:r>
        <w:rPr/>
        <w:t xml:space="preserve"> festzuhalten, </w:t>
      </w:r>
      <w:r>
        <w:rPr>
          <w:rStyle w:val="Funotenanker"/>
        </w:rPr>
        <w:footnoteReference w:customMarkFollows="1" w:id="1604"/>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5"/>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6"/>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7"/>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8"/>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9"/>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10"/>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1"/>
        <w:t>o</w:t>
      </w:r>
      <w:r>
        <w:rPr/>
        <w:t xml:space="preserve"> außer Acht lasst, </w:t>
      </w:r>
      <w:r>
        <w:rPr>
          <w:rStyle w:val="Funotenanker"/>
        </w:rPr>
        <w:footnoteReference w:customMarkFollows="1" w:id="1612"/>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3"/>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4"/>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5"/>
        <w:t>s</w:t>
      </w:r>
      <w:r>
        <w:rPr/>
        <w:t xml:space="preserve">, das heißt »Opfergabe </w:t>
      </w:r>
      <w:r>
        <w:rPr>
          <w:color w:val="808080"/>
        </w:rPr>
        <w:t>(Geschenk)</w:t>
      </w:r>
      <w:r>
        <w:rPr/>
        <w:t>«,</w:t>
      </w:r>
      <w:r>
        <w:rPr>
          <w:rStyle w:val="Funotenanker"/>
        </w:rPr>
        <w:footnoteReference w:customMarkFollows="1" w:id="1616"/>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7"/>
        <w:t>u</w:t>
      </w:r>
      <w:r>
        <w:rPr/>
        <w:t xml:space="preserve"> ihr ihm nicht mehr, etwas </w:t>
      </w:r>
      <w:r>
        <w:rPr>
          <w:rStyle w:val="Funotenanker"/>
        </w:rPr>
        <w:footnoteReference w:customMarkFollows="1" w:id="1618"/>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9"/>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20"/>
        <w:t>x</w:t>
      </w:r>
      <w:r>
        <w:rPr/>
        <w:t xml:space="preserve"> auf </w:t>
      </w:r>
      <w:r>
        <w:rPr>
          <w:rStyle w:val="Funotenanker"/>
        </w:rPr>
        <w:footnoteReference w:customMarkFollows="1" w:id="1621"/>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2"/>
        <w:t>z</w:t>
      </w:r>
      <w:r>
        <w:rPr/>
        <w:t xml:space="preserve"> sprach nun </w:t>
      </w:r>
      <w:r>
        <w:rPr>
          <w:rStyle w:val="Funotenanker"/>
        </w:rPr>
        <w:footnoteReference w:customMarkFollows="1" w:id="1623"/>
        <w:t>aa</w:t>
      </w:r>
      <w:r>
        <w:rPr/>
        <w:t xml:space="preserve"> zu ihnen: „Hört mir alle zu und versteht </w:t>
      </w:r>
      <w:r>
        <w:rPr>
          <w:rStyle w:val="Funotenanker"/>
        </w:rPr>
        <w:footnoteReference w:customMarkFollows="1" w:id="1624"/>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5"/>
        <w:t>ac</w:t>
      </w:r>
      <w:r>
        <w:rPr/>
        <w:t xml:space="preserve"> Es ist vielmehr, was aus dem Menschen herauskommt, das den Menschen verunreinigt </w:t>
      </w:r>
      <w:r>
        <w:rPr>
          <w:rStyle w:val="Funotenanker"/>
        </w:rPr>
        <w:footnoteReference w:customMarkFollows="1" w:id="1626"/>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7"/>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8"/>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9"/>
        <w:t>ag</w:t>
      </w:r>
      <w:r>
        <w:rPr/>
        <w:t xml:space="preserve"> ausgeschieden wird </w:t>
      </w:r>
      <w:r>
        <w:rPr>
          <w:color w:val="808080"/>
        </w:rPr>
        <w:t>(hinausgelangt)</w:t>
      </w:r>
      <w:r>
        <w:rPr/>
        <w:t xml:space="preserve">?“ So erklärte [Jesus] alle Speisen für rein. </w:t>
      </w:r>
      <w:r>
        <w:rPr>
          <w:rStyle w:val="Funotenanker"/>
        </w:rPr>
        <w:footnoteReference w:customMarkFollows="1" w:id="1630"/>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1"/>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2"/>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3"/>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4"/>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5"/>
        <w:t>am</w:t>
      </w:r>
      <w:r>
        <w:rPr/>
        <w:t xml:space="preserve">. Und er begab sich in ein Haus und </w:t>
      </w:r>
      <w:r>
        <w:rPr>
          <w:rStyle w:val="Funotenanker"/>
        </w:rPr>
        <w:footnoteReference w:customMarkFollows="1" w:id="1636"/>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7"/>
        <w:t>ao</w:t>
      </w:r>
      <w:r>
        <w:rPr/>
        <w:t xml:space="preserve">, und </w:t>
      </w:r>
      <w:r>
        <w:rPr>
          <w:rStyle w:val="Funotenanker"/>
        </w:rPr>
        <w:footnoteReference w:customMarkFollows="1" w:id="1638"/>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9"/>
        <w:t>aq</w:t>
      </w:r>
      <w:r>
        <w:rPr/>
        <w:t xml:space="preserve"> – Und sie bat ihn hartnäckig </w:t>
      </w:r>
      <w:r>
        <w:rPr>
          <w:color w:val="808080"/>
        </w:rPr>
        <w:t>(immer wieder)</w:t>
      </w:r>
      <w:r>
        <w:rPr/>
        <w:t xml:space="preserve"> </w:t>
      </w:r>
      <w:r>
        <w:rPr>
          <w:rStyle w:val="Funotenanker"/>
        </w:rPr>
        <w:footnoteReference w:customMarkFollows="1" w:id="1640"/>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1"/>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2"/>
        <w:t>at</w:t>
      </w:r>
      <w:r>
        <w:rPr/>
        <w:t xml:space="preserve">, geh </w:t>
      </w:r>
      <w:r>
        <w:rPr>
          <w:rStyle w:val="Funotenanker"/>
        </w:rPr>
        <w:footnoteReference w:customMarkFollows="1" w:id="1643"/>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4"/>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5"/>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6"/>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7"/>
        <w:t>ay</w:t>
      </w:r>
      <w:r>
        <w:rPr/>
        <w:t xml:space="preserve"> zu ihm und baten </w:t>
      </w:r>
      <w:r>
        <w:rPr>
          <w:color w:val="808080"/>
        </w:rPr>
        <w:t>(forderten auf)</w:t>
      </w:r>
      <w:r>
        <w:rPr/>
        <w:t xml:space="preserve"> ihn, ihm die Hand aufzulegen </w:t>
      </w:r>
      <w:r>
        <w:rPr>
          <w:rStyle w:val="Funotenanker"/>
        </w:rPr>
        <w:footnoteReference w:customMarkFollows="1" w:id="1648"/>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9"/>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50"/>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1"/>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2"/>
        <w:t>bd</w:t>
      </w:r>
      <w:r>
        <w:rPr/>
        <w:t xml:space="preserve"> seiner Zunge löste sich, und er konnte richtig sprechen </w:t>
      </w:r>
      <w:r>
        <w:rPr>
          <w:rStyle w:val="Funotenanker"/>
        </w:rPr>
        <w:footnoteReference w:customMarkFollows="1" w:id="1653"/>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4"/>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5"/>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6"/>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7"/>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8"/>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9"/>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60"/>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1"/>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2"/>
        <w:t>g</w:t>
      </w:r>
      <w:r>
        <w:rPr/>
        <w:t xml:space="preserve"> gelangte </w:t>
      </w:r>
      <w:r>
        <w:rPr>
          <w:color w:val="808080"/>
        </w:rPr>
        <w:t>(kam)</w:t>
      </w:r>
      <w:r>
        <w:rPr/>
        <w:t xml:space="preserve"> in das Gebiet von Dalmanuta </w:t>
      </w:r>
      <w:r>
        <w:rPr>
          <w:rStyle w:val="Funotenanker"/>
        </w:rPr>
        <w:footnoteReference w:customMarkFollows="1" w:id="1663"/>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4"/>
        <w:t>i</w:t>
      </w:r>
      <w:r>
        <w:rPr/>
        <w:t xml:space="preserve"> und begannen mit ihm zu streiten, wobei sie von ihm ein Zeichen vom Himmel verlangten, </w:t>
      </w:r>
      <w:r>
        <w:rPr>
          <w:rStyle w:val="Funotenanker"/>
        </w:rPr>
        <w:footnoteReference w:customMarkFollows="1" w:id="1665"/>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6"/>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7"/>
        <w:t>l</w:t>
      </w:r>
      <w:r>
        <w:rPr/>
        <w:t xml:space="preserve"> auf und </w:t>
      </w:r>
      <w:r>
        <w:rPr>
          <w:rStyle w:val="Funotenanker"/>
        </w:rPr>
        <w:footnoteReference w:customMarkFollows="1" w:id="1668"/>
        <w:t>m</w:t>
      </w:r>
      <w:r>
        <w:rPr/>
        <w:t xml:space="preserve"> sagte: „Wie!? </w:t>
      </w:r>
      <w:r>
        <w:rPr>
          <w:rStyle w:val="Funotenanker"/>
        </w:rPr>
        <w:footnoteReference w:customMarkFollows="1" w:id="1669"/>
        <w:t>n</w:t>
      </w:r>
      <w:r>
        <w:rPr/>
        <w:t xml:space="preserve"> Diese Generation </w:t>
      </w:r>
      <w:r>
        <w:rPr>
          <w:color w:val="808080"/>
        </w:rPr>
        <w:t>(Dieses Pack)</w:t>
      </w:r>
      <w:r>
        <w:rPr/>
        <w:t xml:space="preserve"> </w:t>
      </w:r>
      <w:r>
        <w:rPr>
          <w:rStyle w:val="Funotenanker"/>
        </w:rPr>
        <w:footnoteReference w:customMarkFollows="1" w:id="1670"/>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1"/>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2"/>
        <w:t>q</w:t>
      </w:r>
      <w:r>
        <w:rPr/>
        <w:t xml:space="preserve"> hatten vergessen </w:t>
      </w:r>
      <w:r>
        <w:rPr>
          <w:color w:val="808080"/>
        </w:rPr>
        <w:t>(vergaßen)</w:t>
      </w:r>
      <w:r>
        <w:rPr/>
        <w:t xml:space="preserve">, </w:t>
      </w:r>
      <w:r>
        <w:rPr>
          <w:rStyle w:val="Funotenanker"/>
        </w:rPr>
        <w:footnoteReference w:customMarkFollows="1" w:id="1673"/>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4"/>
        <w:t>s</w:t>
      </w:r>
      <w:r>
        <w:rPr/>
        <w:t xml:space="preserve"> „Passt auf </w:t>
      </w:r>
      <w:r>
        <w:rPr>
          <w:color w:val="808080"/>
        </w:rPr>
        <w:t>(Seht zu)</w:t>
      </w:r>
      <w:r>
        <w:rPr/>
        <w:t xml:space="preserve">, hütet euch vor dem Sauerteig </w:t>
      </w:r>
      <w:r>
        <w:rPr>
          <w:rStyle w:val="Funotenanker"/>
        </w:rPr>
        <w:footnoteReference w:customMarkFollows="1" w:id="1675"/>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6"/>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7"/>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8"/>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9"/>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80"/>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1"/>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2"/>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3"/>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4"/>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5"/>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6"/>
        <w:t>ae</w:t>
      </w:r>
      <w:r>
        <w:rPr/>
        <w:t xml:space="preserve"> führte ihn aus dem Dorf hinaus, und nachdem er ihm in die Augen gespuckt </w:t>
      </w:r>
      <w:r>
        <w:rPr>
          <w:rStyle w:val="Funotenanker"/>
        </w:rPr>
        <w:footnoteReference w:customMarkFollows="1" w:id="1687"/>
        <w:t>af</w:t>
      </w:r>
      <w:r>
        <w:rPr/>
        <w:t xml:space="preserve"> und ihm die Hände aufgelegt hatte, </w:t>
      </w:r>
      <w:r>
        <w:rPr>
          <w:rStyle w:val="Funotenanker"/>
        </w:rPr>
        <w:footnoteReference w:customMarkFollows="1" w:id="1688"/>
        <w:t>ag</w:t>
      </w:r>
      <w:r>
        <w:rPr/>
        <w:t xml:space="preserve"> fragte er ihn: „Siehst du etwas?“</w:t>
      </w:r>
      <w:r>
        <w:rPr>
          <w:rStyle w:val="Funotenanker"/>
        </w:rPr>
        <w:footnoteReference w:customMarkFollows="1" w:id="1689"/>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90"/>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1"/>
        <w:t>aj</w:t>
      </w:r>
      <w:r>
        <w:rPr/>
        <w:t xml:space="preserve"> wie Bäume, ich sehe sie umhergehen.“ </w:t>
      </w:r>
      <w:r>
        <w:rPr>
          <w:rStyle w:val="Funotenanker"/>
        </w:rPr>
        <w:footnoteReference w:customMarkFollows="1" w:id="1692"/>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3"/>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4"/>
        <w:t>am</w:t>
      </w:r>
      <w:r>
        <w:rPr/>
        <w:t xml:space="preserve"> „Geh auch </w:t>
      </w:r>
      <w:r>
        <w:rPr>
          <w:color w:val="808080"/>
        </w:rPr>
        <w:t>(aber)</w:t>
      </w:r>
      <w:r>
        <w:rPr/>
        <w:t xml:space="preserve"> nicht ins Dorf! </w:t>
      </w:r>
      <w:r>
        <w:rPr>
          <w:rStyle w:val="Funotenanker"/>
        </w:rPr>
        <w:footnoteReference w:customMarkFollows="1" w:id="1695"/>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6"/>
        <w:t>ao</w:t>
      </w:r>
      <w:r>
        <w:rPr/>
        <w:t xml:space="preserve">; und auf dem Weg befragte er seine Jünger </w:t>
      </w:r>
      <w:r>
        <w:rPr>
          <w:strike/>
          <w:color w:val="808080"/>
        </w:rPr>
        <w:t>{und sagte zu ihnen}</w:t>
      </w:r>
      <w:r>
        <w:rPr/>
        <w:t xml:space="preserve"> </w:t>
      </w:r>
      <w:r>
        <w:rPr>
          <w:rStyle w:val="Funotenanker"/>
        </w:rPr>
        <w:footnoteReference w:customMarkFollows="1" w:id="1697"/>
        <w:t>ap</w:t>
      </w:r>
      <w:r>
        <w:rPr/>
        <w:t xml:space="preserve">: „Für wen halten mich die Leute?“ </w:t>
      </w:r>
      <w:r>
        <w:rPr>
          <w:rStyle w:val="Funotenanker"/>
        </w:rPr>
        <w:footnoteReference w:customMarkFollows="1" w:id="1698"/>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9"/>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700"/>
        <w:t>as</w:t>
      </w:r>
      <w:r>
        <w:rPr/>
        <w:t xml:space="preserve"> Und </w:t>
      </w:r>
      <w:r>
        <w:rPr>
          <w:strike/>
          <w:color w:val="808080"/>
        </w:rPr>
        <w:t>{antwortend}</w:t>
      </w:r>
      <w:r>
        <w:rPr/>
        <w:t xml:space="preserve"> </w:t>
      </w:r>
      <w:r>
        <w:rPr>
          <w:rStyle w:val="Funotenanker"/>
        </w:rPr>
        <w:footnoteReference w:customMarkFollows="1" w:id="1701"/>
        <w:t>at</w:t>
      </w:r>
      <w:r>
        <w:rPr/>
        <w:t xml:space="preserve"> sagte Petrus zu ihm: „Du bist der Messias </w:t>
      </w:r>
      <w:r>
        <w:rPr>
          <w:color w:val="808080"/>
        </w:rPr>
        <w:t>(Gesalbte; Christus)</w:t>
      </w:r>
      <w:r>
        <w:rPr/>
        <w:t xml:space="preserve">!“ </w:t>
      </w:r>
      <w:r>
        <w:rPr>
          <w:rStyle w:val="Funotenanker"/>
        </w:rPr>
        <w:footnoteReference w:customMarkFollows="1" w:id="1702"/>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3"/>
        <w:t>av</w:t>
      </w:r>
      <w:r>
        <w:rPr/>
        <w:t xml:space="preserve"> viel leiden, und von den Ältesten und den obersten </w:t>
      </w:r>
      <w:r>
        <w:rPr>
          <w:color w:val="808080"/>
        </w:rPr>
        <w:t>(führenden, Hohen)</w:t>
      </w:r>
      <w:r>
        <w:rPr/>
        <w:t xml:space="preserve"> Priestern </w:t>
      </w:r>
      <w:r>
        <w:rPr>
          <w:rStyle w:val="Funotenanker"/>
        </w:rPr>
        <w:footnoteReference w:customMarkFollows="1" w:id="1704"/>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5"/>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6"/>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7"/>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8"/>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9"/>
        <w:t>bb</w:t>
      </w:r>
      <w:r>
        <w:rPr/>
        <w:t xml:space="preserve">, Satan </w:t>
      </w:r>
      <w:r>
        <w:rPr>
          <w:color w:val="808080"/>
        </w:rPr>
        <w:t>(Widersacher)</w:t>
      </w:r>
      <w:r>
        <w:rPr/>
        <w:t xml:space="preserve"> </w:t>
      </w:r>
      <w:r>
        <w:rPr>
          <w:rStyle w:val="Funotenanker"/>
        </w:rPr>
        <w:footnoteReference w:customMarkFollows="1" w:id="1710"/>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1"/>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2"/>
        <w:t>be</w:t>
      </w:r>
      <w:r>
        <w:rPr/>
        <w:t xml:space="preserve"> sagte zu ihnen: „Wenn jemand mir nachfolgen </w:t>
      </w:r>
      <w:r>
        <w:rPr>
          <w:rStyle w:val="Funotenanker"/>
        </w:rPr>
        <w:footnoteReference w:customMarkFollows="1" w:id="1713"/>
        <w:t>bf</w:t>
      </w:r>
      <w:r>
        <w:rPr/>
        <w:t xml:space="preserve"> will, dann muss </w:t>
      </w:r>
      <w:r>
        <w:rPr>
          <w:color w:val="808080"/>
        </w:rPr>
        <w:t>(soll)</w:t>
      </w:r>
      <w:r>
        <w:rPr/>
        <w:t xml:space="preserve"> </w:t>
      </w:r>
      <w:r>
        <w:rPr>
          <w:rStyle w:val="Funotenanker"/>
        </w:rPr>
        <w:footnoteReference w:customMarkFollows="1" w:id="1714"/>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5"/>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6"/>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7"/>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8"/>
        <w:t>bk</w:t>
      </w:r>
      <w:r>
        <w:rPr/>
        <w:t xml:space="preserve"> über </w:t>
      </w:r>
      <w:r>
        <w:rPr>
          <w:color w:val="808080"/>
        </w:rPr>
        <w:t>(wegen)</w:t>
      </w:r>
      <w:r>
        <w:rPr/>
        <w:t xml:space="preserve"> mich und meine Worte schämt, </w:t>
      </w:r>
      <w:r>
        <w:rPr>
          <w:rStyle w:val="Funotenanker"/>
        </w:rPr>
        <w:footnoteReference w:customMarkFollows="1" w:id="1719"/>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20"/>
        <w:t>Status</w:t>
      </w:r>
      <w:r>
        <w:rPr/>
        <w:t xml:space="preserve"> Und weiter </w:t>
      </w:r>
      <w:r>
        <w:rPr>
          <w:rStyle w:val="Funotenanker"/>
        </w:rPr>
        <w:footnoteReference w:customMarkFollows="1" w:id="1721"/>
        <w:t>a</w:t>
      </w:r>
      <w:r>
        <w:rPr/>
        <w:t xml:space="preserve"> sagte er zu ihnen: „Amen </w:t>
      </w:r>
      <w:r>
        <w:rPr>
          <w:color w:val="808080"/>
        </w:rPr>
        <w:t>(Wahrlich, Ja)</w:t>
      </w:r>
      <w:r>
        <w:rPr/>
        <w:t xml:space="preserve">, ich sage euch: </w:t>
      </w:r>
      <w:r>
        <w:rPr>
          <w:rStyle w:val="Funotenanker"/>
        </w:rPr>
        <w:footnoteReference w:customMarkFollows="1" w:id="1722"/>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3"/>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4"/>
        <w:t>d</w:t>
      </w:r>
      <w:r>
        <w:rPr/>
        <w:t xml:space="preserve"> mit Macht </w:t>
      </w:r>
      <w:r>
        <w:rPr>
          <w:color w:val="808080"/>
        </w:rPr>
        <w:t>(Kraft)</w:t>
      </w:r>
      <w:r>
        <w:rPr/>
        <w:t xml:space="preserve"> gekommen ist. </w:t>
      </w:r>
      <w:r>
        <w:rPr>
          <w:rStyle w:val="Funotenanker"/>
        </w:rPr>
        <w:footnoteReference w:customMarkFollows="1" w:id="1725"/>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6"/>
        <w:t>f</w:t>
      </w:r>
      <w:r>
        <w:rPr/>
        <w:t xml:space="preserve"> für sich, allein, </w:t>
      </w:r>
      <w:r>
        <w:rPr>
          <w:rStyle w:val="Funotenanker"/>
        </w:rPr>
        <w:footnoteReference w:customMarkFollows="1" w:id="1727"/>
        <w:t>g</w:t>
      </w:r>
      <w:r>
        <w:rPr/>
        <w:t xml:space="preserve"> auf einen hohen Berg, und er wurde vor ihnen </w:t>
      </w:r>
      <w:r>
        <w:rPr>
          <w:color w:val="808080"/>
        </w:rPr>
        <w:t>(vor ihren Augen)</w:t>
      </w:r>
      <w:r>
        <w:rPr/>
        <w:t xml:space="preserve"> </w:t>
      </w:r>
      <w:r>
        <w:rPr>
          <w:rStyle w:val="Funotenanker"/>
        </w:rPr>
        <w:footnoteReference w:customMarkFollows="1" w:id="1728"/>
        <w:t>h</w:t>
      </w:r>
      <w:r>
        <w:rPr/>
        <w:t xml:space="preserve"> verwandelt </w:t>
      </w:r>
      <w:r>
        <w:rPr>
          <w:color w:val="808080"/>
        </w:rPr>
        <w:t>(verwandelte sich)</w:t>
      </w:r>
      <w:r>
        <w:rPr/>
        <w:t xml:space="preserve">: </w:t>
      </w:r>
      <w:r>
        <w:rPr>
          <w:rStyle w:val="Funotenanker"/>
        </w:rPr>
        <w:footnoteReference w:customMarkFollows="1" w:id="1729"/>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30"/>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1"/>
        <w:t>k</w:t>
      </w:r>
      <w:r>
        <w:rPr/>
        <w:t xml:space="preserve"> , wie sie kein Walker</w:t>
      </w:r>
      <w:r>
        <w:rPr>
          <w:rStyle w:val="Funotenanker"/>
        </w:rPr>
        <w:footnoteReference w:customMarkFollows="1" w:id="1732"/>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3"/>
        <w:t>m</w:t>
      </w:r>
      <w:r>
        <w:rPr/>
        <w:t xml:space="preserve"> </w:t>
      </w:r>
      <w:r>
        <w:rPr>
          <w:strike/>
          <w:color w:val="808080"/>
        </w:rPr>
        <w:t>{derart}</w:t>
      </w:r>
      <w:r>
        <w:rPr/>
        <w:t xml:space="preserve"> </w:t>
      </w:r>
      <w:r>
        <w:rPr>
          <w:rStyle w:val="Funotenanker"/>
        </w:rPr>
        <w:footnoteReference w:customMarkFollows="1" w:id="1734"/>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5"/>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6"/>
        <w:t>p</w:t>
      </w:r>
      <w:r>
        <w:rPr/>
        <w:t xml:space="preserve"> sprach Petrus zu Jesus: „Meister </w:t>
      </w:r>
      <w:r>
        <w:rPr>
          <w:color w:val="808080"/>
        </w:rPr>
        <w:t>(Rabbi)</w:t>
      </w:r>
      <w:r>
        <w:rPr/>
        <w:t xml:space="preserve"> </w:t>
      </w:r>
      <w:r>
        <w:rPr>
          <w:rStyle w:val="Funotenanker"/>
        </w:rPr>
        <w:footnoteReference w:customMarkFollows="1" w:id="1737"/>
        <w:t>q</w:t>
      </w:r>
      <w:r>
        <w:rPr/>
        <w:t xml:space="preserve"> , es ist gut, dass wir hier sind! Und lass uns </w:t>
      </w:r>
      <w:r>
        <w:rPr>
          <w:color w:val="808080"/>
        </w:rPr>
        <w:t>(so lass uns denn)</w:t>
      </w:r>
      <w:r>
        <w:rPr/>
        <w:t xml:space="preserve"> </w:t>
      </w:r>
      <w:r>
        <w:rPr>
          <w:rStyle w:val="Funotenanker"/>
        </w:rPr>
        <w:footnoteReference w:customMarkFollows="1" w:id="1738"/>
        <w:t>r</w:t>
      </w:r>
      <w:r>
        <w:rPr/>
        <w:t xml:space="preserve"> drei Hütten </w:t>
      </w:r>
      <w:r>
        <w:rPr>
          <w:color w:val="808080"/>
        </w:rPr>
        <w:t>(Zelte)</w:t>
      </w:r>
      <w:r>
        <w:rPr/>
        <w:t xml:space="preserve"> bauen - dir eine, Mose eine und Elija eine!“ </w:t>
      </w:r>
      <w:r>
        <w:rPr>
          <w:rStyle w:val="Funotenanker"/>
        </w:rPr>
        <w:footnoteReference w:customMarkFollows="1" w:id="1739"/>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40"/>
        <w:t>t</w:t>
      </w:r>
      <w:r>
        <w:rPr/>
        <w:t xml:space="preserve"> sie </w:t>
      </w:r>
      <w:r>
        <w:rPr>
          <w:rStyle w:val="Funotenanker"/>
        </w:rPr>
        <w:footnoteReference w:customMarkFollows="1" w:id="1741"/>
        <w:t>u</w:t>
      </w:r>
      <w:r>
        <w:rPr/>
        <w:t xml:space="preserve"> ein, und eine Stimme kam aus der Wolke: „Dies ist mein geliebter </w:t>
      </w:r>
      <w:r>
        <w:rPr>
          <w:color w:val="808080"/>
        </w:rPr>
        <w:t>(einziger)</w:t>
      </w:r>
      <w:r>
        <w:rPr/>
        <w:t xml:space="preserve"> </w:t>
      </w:r>
      <w:r>
        <w:rPr>
          <w:rStyle w:val="Funotenanker"/>
        </w:rPr>
        <w:footnoteReference w:customMarkFollows="1" w:id="1742"/>
        <w:t>v</w:t>
      </w:r>
      <w:r>
        <w:rPr/>
        <w:t xml:space="preserve"> Sohn, </w:t>
      </w:r>
      <w:r>
        <w:rPr>
          <w:b/>
          <w:color w:val="808080"/>
        </w:rPr>
        <w:t>[</w:t>
      </w:r>
      <w:r>
        <w:rPr/>
        <w:t>darum</w:t>
      </w:r>
      <w:r>
        <w:rPr>
          <w:b/>
          <w:color w:val="808080"/>
        </w:rPr>
        <w:t>]</w:t>
      </w:r>
      <w:r>
        <w:rPr/>
        <w:t xml:space="preserve"> </w:t>
      </w:r>
      <w:r>
        <w:rPr>
          <w:rStyle w:val="Funotenanker"/>
        </w:rPr>
        <w:footnoteReference w:customMarkFollows="1" w:id="1743"/>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4"/>
        <w:t>x</w:t>
      </w:r>
      <w:r>
        <w:rPr/>
        <w:t xml:space="preserve"> mehr bei sich </w:t>
      </w:r>
      <w:r>
        <w:rPr>
          <w:rStyle w:val="Funotenanker"/>
        </w:rPr>
        <w:footnoteReference w:customMarkFollows="1" w:id="1745"/>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6"/>
        <w:t>z</w:t>
      </w:r>
      <w:r>
        <w:rPr/>
        <w:t xml:space="preserve"> Berg herabstiegen, befahl er ihnen </w:t>
      </w:r>
      <w:r>
        <w:rPr>
          <w:strike/>
          <w:color w:val="808080"/>
        </w:rPr>
        <w:t>{damit}</w:t>
      </w:r>
      <w:r>
        <w:rPr/>
        <w:t xml:space="preserve">, </w:t>
      </w:r>
      <w:r>
        <w:rPr>
          <w:rStyle w:val="Funotenanker"/>
        </w:rPr>
        <w:footnoteReference w:customMarkFollows="1" w:id="1747"/>
        <w:t>aa</w:t>
      </w:r>
      <w:r>
        <w:rPr/>
        <w:t xml:space="preserve"> niemandem zu erzählen, was sie gesehen hatten - erst </w:t>
      </w:r>
      <w:r>
        <w:rPr>
          <w:color w:val="808080"/>
        </w:rPr>
        <w:t>(außer)</w:t>
      </w:r>
      <w:r>
        <w:rPr/>
        <w:t xml:space="preserve"> </w:t>
      </w:r>
      <w:r>
        <w:rPr>
          <w:rStyle w:val="Funotenanker"/>
        </w:rPr>
        <w:footnoteReference w:customMarkFollows="1" w:id="1748"/>
        <w:t>ab</w:t>
      </w:r>
      <w:r>
        <w:rPr/>
        <w:t xml:space="preserve"> , wenn der Menschensohn </w:t>
      </w:r>
      <w:r>
        <w:rPr>
          <w:rStyle w:val="Funotenanker"/>
        </w:rPr>
        <w:footnoteReference w:customMarkFollows="1" w:id="1749"/>
        <w:t>ac</w:t>
      </w:r>
      <w:r>
        <w:rPr/>
        <w:t xml:space="preserve"> von den Toten </w:t>
      </w:r>
      <w:r>
        <w:rPr>
          <w:rStyle w:val="Funotenanker"/>
        </w:rPr>
        <w:footnoteReference w:customMarkFollows="1" w:id="1750"/>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1"/>
        <w:t>ae</w:t>
      </w:r>
      <w:r>
        <w:rPr/>
        <w:t xml:space="preserve"> aber, was dies sei - „von den Toten Auferstehen“. </w:t>
      </w:r>
      <w:r>
        <w:rPr>
          <w:rStyle w:val="Funotenanker"/>
        </w:rPr>
        <w:footnoteReference w:customMarkFollows="1" w:id="1752"/>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3"/>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4"/>
        <w:t>ah</w:t>
      </w:r>
      <w:r>
        <w:rPr/>
        <w:t xml:space="preserve"> kommt </w:t>
      </w:r>
      <w:r>
        <w:rPr>
          <w:rStyle w:val="Funotenanker"/>
        </w:rPr>
        <w:footnoteReference w:customMarkFollows="1" w:id="1755"/>
        <w:t>ai</w:t>
      </w:r>
      <w:r>
        <w:rPr/>
        <w:t xml:space="preserve"> Elija zuerst und stellt alles wieder her. </w:t>
      </w:r>
      <w:r>
        <w:rPr>
          <w:rStyle w:val="Funotenanker"/>
        </w:rPr>
        <w:footnoteReference w:customMarkFollows="1" w:id="1756"/>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7"/>
        <w:t>ak</w:t>
      </w:r>
      <w:r>
        <w:rPr/>
        <w:t xml:space="preserve"> Elija ist auch </w:t>
      </w:r>
      <w:r>
        <w:rPr>
          <w:color w:val="808080"/>
        </w:rPr>
        <w:t>(sogar)</w:t>
      </w:r>
      <w:r>
        <w:rPr/>
        <w:t xml:space="preserve"> </w:t>
      </w:r>
      <w:r>
        <w:rPr>
          <w:rStyle w:val="Funotenanker"/>
        </w:rPr>
        <w:footnoteReference w:customMarkFollows="1" w:id="1758"/>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9"/>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60"/>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1"/>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2"/>
        <w:t>ap</w:t>
      </w:r>
      <w:r>
        <w:rPr/>
        <w:t xml:space="preserve"> aus </w:t>
      </w:r>
      <w:r>
        <w:rPr>
          <w:color w:val="808080"/>
        </w:rPr>
        <w:t>(aus heraus)</w:t>
      </w:r>
      <w:r>
        <w:rPr/>
        <w:t xml:space="preserve"> </w:t>
      </w:r>
      <w:r>
        <w:rPr>
          <w:rStyle w:val="Funotenanker"/>
        </w:rPr>
        <w:footnoteReference w:customMarkFollows="1" w:id="1763"/>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4"/>
        <w:t>ar</w:t>
      </w:r>
      <w:r>
        <w:rPr/>
        <w:t xml:space="preserve"> weil </w:t>
      </w:r>
      <w:r>
        <w:rPr>
          <w:rStyle w:val="Funotenanker"/>
        </w:rPr>
        <w:footnoteReference w:customMarkFollows="1" w:id="1765"/>
        <w:t>as</w:t>
      </w:r>
      <w:r>
        <w:rPr/>
        <w:t xml:space="preserve"> er einen stummen Geist </w:t>
      </w:r>
      <w:r>
        <w:rPr>
          <w:color w:val="808080"/>
        </w:rPr>
        <w:t>(einen Geist, der ihn stumm macht)</w:t>
      </w:r>
      <w:r>
        <w:rPr/>
        <w:t xml:space="preserve"> </w:t>
      </w:r>
      <w:r>
        <w:rPr>
          <w:rStyle w:val="Funotenanker"/>
        </w:rPr>
        <w:footnoteReference w:customMarkFollows="1" w:id="1766"/>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7"/>
        <w:t>au</w:t>
      </w:r>
      <w:r>
        <w:rPr/>
        <w:t xml:space="preserve"> er ihn anfällt </w:t>
      </w:r>
      <w:r>
        <w:rPr>
          <w:color w:val="808080"/>
        </w:rPr>
        <w:t>(packt)</w:t>
      </w:r>
      <w:r>
        <w:rPr/>
        <w:t xml:space="preserve">, </w:t>
      </w:r>
      <w:r>
        <w:rPr>
          <w:rStyle w:val="Funotenanker"/>
        </w:rPr>
        <w:footnoteReference w:customMarkFollows="1" w:id="1768"/>
        <w:t>av</w:t>
      </w:r>
      <w:r>
        <w:rPr/>
        <w:t xml:space="preserve"> zerrt er ihn hin und her </w:t>
      </w:r>
      <w:r>
        <w:rPr>
          <w:color w:val="808080"/>
        </w:rPr>
        <w:t>(wirft er ihn zu Boden)</w:t>
      </w:r>
      <w:r>
        <w:rPr/>
        <w:t xml:space="preserve"> </w:t>
      </w:r>
      <w:r>
        <w:rPr>
          <w:rStyle w:val="Funotenanker"/>
        </w:rPr>
        <w:footnoteReference w:customMarkFollows="1" w:id="1769"/>
        <w:t>aw</w:t>
      </w:r>
      <w:r>
        <w:rPr/>
        <w:t xml:space="preserve"> und ihm tritt Schaum vor den Mund </w:t>
      </w:r>
      <w:r>
        <w:rPr>
          <w:color w:val="808080"/>
        </w:rPr>
        <w:t>(er schäumt)</w:t>
      </w:r>
      <w:r>
        <w:rPr/>
        <w:t xml:space="preserve"> </w:t>
      </w:r>
      <w:r>
        <w:rPr>
          <w:rStyle w:val="Funotenanker"/>
        </w:rPr>
        <w:footnoteReference w:customMarkFollows="1" w:id="1770"/>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1"/>
        <w:t>ay</w:t>
      </w:r>
      <w:r>
        <w:rPr/>
        <w:t xml:space="preserve"> sie konnten es nicht </w:t>
      </w:r>
      <w:r>
        <w:rPr>
          <w:color w:val="808080"/>
        </w:rPr>
        <w:t>(sie waren zu schwach dafür)</w:t>
      </w:r>
      <w:r>
        <w:rPr/>
        <w:t xml:space="preserve">. </w:t>
      </w:r>
      <w:r>
        <w:rPr>
          <w:rStyle w:val="Funotenanker"/>
        </w:rPr>
        <w:footnoteReference w:customMarkFollows="1" w:id="1772"/>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3"/>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4"/>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5"/>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6"/>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7"/>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8"/>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9"/>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80"/>
        <w:t>bh</w:t>
      </w:r>
      <w:r>
        <w:rPr/>
        <w:t xml:space="preserve"> wenn du etwas vermagst </w:t>
      </w:r>
      <w:r>
        <w:rPr>
          <w:color w:val="808080"/>
        </w:rPr>
        <w:t>(wenn etwas in deiner Macht steht)</w:t>
      </w:r>
      <w:r>
        <w:rPr/>
        <w:t xml:space="preserve">, </w:t>
      </w:r>
      <w:r>
        <w:rPr>
          <w:rStyle w:val="Funotenanker"/>
        </w:rPr>
        <w:footnoteReference w:customMarkFollows="1" w:id="1781"/>
        <w:t>bi</w:t>
      </w:r>
      <w:r>
        <w:rPr/>
        <w:t xml:space="preserve"> dann hilf uns und hab Mitleid mit uns </w:t>
      </w:r>
      <w:r>
        <w:rPr>
          <w:color w:val="808080"/>
        </w:rPr>
        <w:t>(erbarme dich unser)</w:t>
      </w:r>
      <w:r>
        <w:rPr/>
        <w:t xml:space="preserve">! </w:t>
      </w:r>
      <w:r>
        <w:rPr>
          <w:rStyle w:val="Funotenanker"/>
        </w:rPr>
        <w:footnoteReference w:customMarkFollows="1" w:id="1782"/>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3"/>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4"/>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5"/>
        <w:t>bm</w:t>
      </w:r>
      <w:r>
        <w:rPr/>
        <w:t xml:space="preserve"> schrie </w:t>
      </w:r>
      <w:r>
        <w:rPr>
          <w:color w:val="808080"/>
        </w:rPr>
        <w:t>(schluchzte)</w:t>
      </w:r>
      <w:r>
        <w:rPr/>
        <w:t xml:space="preserve"> </w:t>
      </w:r>
      <w:r>
        <w:rPr>
          <w:rStyle w:val="Funotenanker"/>
        </w:rPr>
        <w:footnoteReference w:customMarkFollows="1" w:id="1786"/>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7"/>
        <w:t>bo</w:t>
      </w:r>
      <w:r>
        <w:rPr/>
        <w:t xml:space="preserve">, </w:t>
      </w:r>
      <w:r>
        <w:rPr>
          <w:rStyle w:val="Funotenanker"/>
        </w:rPr>
        <w:footnoteReference w:customMarkFollows="1" w:id="1788"/>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9"/>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90"/>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1"/>
        <w:t>bs</w:t>
      </w:r>
      <w:r>
        <w:rPr/>
        <w:t xml:space="preserve"> wie tot, daher </w:t>
      </w:r>
      <w:r>
        <w:rPr>
          <w:color w:val="808080"/>
        </w:rPr>
        <w:t>(sodass)</w:t>
      </w:r>
      <w:r>
        <w:rPr/>
        <w:t xml:space="preserve"> </w:t>
      </w:r>
      <w:r>
        <w:rPr>
          <w:rStyle w:val="Funotenanker"/>
        </w:rPr>
        <w:footnoteReference w:customMarkFollows="1" w:id="1792"/>
        <w:t>bt</w:t>
      </w:r>
      <w:r>
        <w:rPr/>
        <w:t xml:space="preserve"> die Meisten </w:t>
      </w:r>
      <w:r>
        <w:rPr>
          <w:color w:val="808080"/>
        </w:rPr>
        <w:t>(die Menge)</w:t>
      </w:r>
      <w:r>
        <w:rPr/>
        <w:t xml:space="preserve"> </w:t>
      </w:r>
      <w:r>
        <w:rPr>
          <w:rStyle w:val="Funotenanker"/>
        </w:rPr>
        <w:footnoteReference w:customMarkFollows="1" w:id="1793"/>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4"/>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5"/>
        <w:t>bw</w:t>
      </w:r>
      <w:r>
        <w:rPr/>
        <w:t xml:space="preserve"> „Dass wir ihn nicht austreiben konnten </w:t>
      </w:r>
      <w:r>
        <w:rPr>
          <w:color w:val="808080"/>
        </w:rPr>
        <w:t>(Warum konnten wir ihn nicht austreiben)</w:t>
      </w:r>
      <w:r>
        <w:rPr/>
        <w:t xml:space="preserve">?“ </w:t>
      </w:r>
      <w:r>
        <w:rPr>
          <w:rStyle w:val="Funotenanker"/>
        </w:rPr>
        <w:footnoteReference w:customMarkFollows="1" w:id="1796"/>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7"/>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8"/>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9"/>
        <w:t>ca</w:t>
      </w:r>
      <w:r>
        <w:rPr/>
        <w:t xml:space="preserve"> seine Jünger und sagte zu ihnen: „Der Menschensohn ist in die Hände der Menschen </w:t>
      </w:r>
      <w:r>
        <w:rPr>
          <w:rStyle w:val="Funotenanker"/>
        </w:rPr>
        <w:footnoteReference w:customMarkFollows="1" w:id="1800"/>
        <w:t>cb</w:t>
      </w:r>
      <w:r>
        <w:rPr/>
        <w:t xml:space="preserve"> ausgeliefert </w:t>
      </w:r>
      <w:r>
        <w:rPr>
          <w:color w:val="808080"/>
        </w:rPr>
        <w:t>(wird ausgeliefert werden)</w:t>
      </w:r>
      <w:r>
        <w:rPr/>
        <w:t xml:space="preserve">, </w:t>
      </w:r>
      <w:r>
        <w:rPr>
          <w:rStyle w:val="Funotenanker"/>
        </w:rPr>
        <w:footnoteReference w:customMarkFollows="1" w:id="1801"/>
        <w:t>cc</w:t>
      </w:r>
      <w:r>
        <w:rPr/>
        <w:t xml:space="preserve"> und sie werden ihn töten, und nachdem </w:t>
      </w:r>
      <w:r>
        <w:rPr>
          <w:color w:val="808080"/>
        </w:rPr>
        <w:t>(obwohl)</w:t>
      </w:r>
      <w:r>
        <w:rPr/>
        <w:t xml:space="preserve"> </w:t>
      </w:r>
      <w:r>
        <w:rPr>
          <w:rStyle w:val="Funotenanker"/>
        </w:rPr>
        <w:footnoteReference w:customMarkFollows="1" w:id="1802"/>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3"/>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4"/>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5"/>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6"/>
        <w:t>ch</w:t>
      </w:r>
      <w:r>
        <w:rPr/>
        <w:t xml:space="preserve"> „Wenn jemand der Erste sein will, wird </w:t>
      </w:r>
      <w:r>
        <w:rPr>
          <w:color w:val="808080"/>
        </w:rPr>
        <w:t>(muss)</w:t>
      </w:r>
      <w:r>
        <w:rPr/>
        <w:t xml:space="preserve"> </w:t>
      </w:r>
      <w:r>
        <w:rPr>
          <w:rStyle w:val="Funotenanker"/>
        </w:rPr>
        <w:footnoteReference w:customMarkFollows="1" w:id="1807"/>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8"/>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9"/>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10"/>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1"/>
        <w:t>cm</w:t>
      </w:r>
      <w:r>
        <w:rPr/>
        <w:t xml:space="preserve"> Wir hinderten ihn daran </w:t>
      </w:r>
      <w:r>
        <w:rPr>
          <w:color w:val="808080"/>
        </w:rPr>
        <w:t>(haben versucht, ihn daran hindern)</w:t>
      </w:r>
      <w:r>
        <w:rPr/>
        <w:t xml:space="preserve">, </w:t>
      </w:r>
      <w:r>
        <w:rPr>
          <w:rStyle w:val="Funotenanker"/>
        </w:rPr>
        <w:footnoteReference w:customMarkFollows="1" w:id="1812"/>
        <w:t>cn</w:t>
      </w:r>
      <w:r>
        <w:rPr/>
        <w:t xml:space="preserve"> weil er uns nicht folgt </w:t>
      </w:r>
      <w:r>
        <w:rPr>
          <w:color w:val="808080"/>
        </w:rPr>
        <w:t>(nicht zu uns gehört)</w:t>
      </w:r>
      <w:r>
        <w:rPr/>
        <w:t xml:space="preserve">. </w:t>
      </w:r>
      <w:r>
        <w:rPr>
          <w:rStyle w:val="Funotenanker"/>
        </w:rPr>
        <w:footnoteReference w:customMarkFollows="1" w:id="1813"/>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4"/>
        <w:t>cp</w:t>
      </w:r>
      <w:r>
        <w:rPr/>
        <w:t xml:space="preserve"> wirkt und schnell </w:t>
      </w:r>
      <w:r>
        <w:rPr>
          <w:rStyle w:val="Funotenanker"/>
        </w:rPr>
        <w:footnoteReference w:customMarkFollows="1" w:id="1815"/>
        <w:t>cq</w:t>
      </w:r>
      <w:r>
        <w:rPr/>
        <w:t xml:space="preserve"> schlecht von mir zu sprechen vermag </w:t>
      </w:r>
      <w:r>
        <w:rPr>
          <w:color w:val="808080"/>
        </w:rPr>
        <w:t>(von mir sprechen kann)</w:t>
      </w:r>
      <w:r>
        <w:rPr/>
        <w:t xml:space="preserve">. </w:t>
      </w:r>
      <w:r>
        <w:rPr>
          <w:rStyle w:val="Funotenanker"/>
        </w:rPr>
        <w:footnoteReference w:customMarkFollows="1" w:id="1816"/>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7"/>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8"/>
        <w:t>ct</w:t>
      </w:r>
      <w:r>
        <w:rPr/>
        <w:t xml:space="preserve"> „</w:t>
      </w:r>
      <w:r>
        <w:rPr>
          <w:strike/>
          <w:color w:val="808080"/>
        </w:rPr>
        <w:t>{Denn}</w:t>
      </w:r>
      <w:r>
        <w:rPr/>
        <w:t xml:space="preserve"> </w:t>
      </w:r>
      <w:r>
        <w:rPr>
          <w:rStyle w:val="Funotenanker"/>
        </w:rPr>
        <w:footnoteReference w:customMarkFollows="1" w:id="1819"/>
        <w:t>cu</w:t>
      </w:r>
      <w:r>
        <w:rPr/>
        <w:t xml:space="preserve"> Wer euch </w:t>
      </w:r>
      <w:r>
        <w:rPr>
          <w:b/>
          <w:color w:val="808080"/>
        </w:rPr>
        <w:t>[</w:t>
      </w:r>
      <w:r>
        <w:rPr/>
        <w:t>auch nur</w:t>
      </w:r>
      <w:r>
        <w:rPr>
          <w:b/>
          <w:color w:val="808080"/>
        </w:rPr>
        <w:t>]</w:t>
      </w:r>
      <w:r>
        <w:rPr/>
        <w:t xml:space="preserve"> </w:t>
      </w:r>
      <w:r>
        <w:rPr>
          <w:rStyle w:val="Funotenanker"/>
        </w:rPr>
        <w:footnoteReference w:customMarkFollows="1" w:id="1820"/>
        <w:t>cv</w:t>
      </w:r>
      <w:r>
        <w:rPr/>
        <w:t xml:space="preserve"> einen Becher Wasser zu trinken gibt, </w:t>
      </w:r>
      <w:r>
        <w:rPr>
          <w:rStyle w:val="Funotenanker"/>
        </w:rPr>
        <w:footnoteReference w:customMarkFollows="1" w:id="1821"/>
        <w:t>cw</w:t>
      </w:r>
      <w:r>
        <w:rPr/>
        <w:t xml:space="preserve"> weil </w:t>
      </w:r>
      <w:r>
        <w:rPr>
          <w:color w:val="808080"/>
        </w:rPr>
        <w:t>(im Namen, dass)</w:t>
      </w:r>
      <w:r>
        <w:rPr/>
        <w:t xml:space="preserve"> </w:t>
      </w:r>
      <w:r>
        <w:rPr>
          <w:rStyle w:val="Funotenanker"/>
        </w:rPr>
        <w:footnoteReference w:customMarkFollows="1" w:id="1822"/>
        <w:t>cx</w:t>
      </w:r>
      <w:r>
        <w:rPr/>
        <w:t xml:space="preserve"> ihr zu Christus gehört - Amen, ich sage euch </w:t>
      </w:r>
      <w:r>
        <w:rPr>
          <w:rStyle w:val="Funotenanker"/>
        </w:rPr>
        <w:footnoteReference w:customMarkFollows="1" w:id="1823"/>
        <w:t>cy</w:t>
      </w:r>
      <w:r>
        <w:rPr/>
        <w:t xml:space="preserve"> - der wird seinen Lohn nicht verlieren </w:t>
      </w:r>
      <w:r>
        <w:rPr>
          <w:color w:val="808080"/>
        </w:rPr>
        <w:t>(wird ihn bekommen)</w:t>
      </w:r>
      <w:r>
        <w:rPr/>
        <w:t xml:space="preserve">. </w:t>
      </w:r>
      <w:r>
        <w:rPr>
          <w:rStyle w:val="Funotenanker"/>
        </w:rPr>
        <w:footnoteReference w:customMarkFollows="1" w:id="1824"/>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5"/>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6"/>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7"/>
        <w:t>dc</w:t>
      </w:r>
      <w:r>
        <w:rPr/>
        <w:t xml:space="preserve"> - für den ist </w:t>
      </w:r>
      <w:r>
        <w:rPr>
          <w:color w:val="808080"/>
        </w:rPr>
        <w:t>(wäre)</w:t>
      </w:r>
      <w:r>
        <w:rPr/>
        <w:t xml:space="preserve"> </w:t>
      </w:r>
      <w:r>
        <w:rPr>
          <w:rStyle w:val="Funotenanker"/>
        </w:rPr>
        <w:footnoteReference w:customMarkFollows="1" w:id="1828"/>
        <w:t>dd</w:t>
      </w:r>
      <w:r>
        <w:rPr/>
        <w:t xml:space="preserve"> es gut </w:t>
      </w:r>
      <w:r>
        <w:rPr>
          <w:color w:val="808080"/>
        </w:rPr>
        <w:t>(besser)</w:t>
      </w:r>
      <w:r>
        <w:rPr/>
        <w:t xml:space="preserve">, </w:t>
      </w:r>
      <w:r>
        <w:rPr>
          <w:rStyle w:val="Funotenanker"/>
        </w:rPr>
        <w:footnoteReference w:customMarkFollows="1" w:id="1829"/>
        <w:t>de</w:t>
      </w:r>
      <w:r>
        <w:rPr/>
        <w:t xml:space="preserve"> wenn ein Eselsmühlstein um seinen Hals gehängt und er ins Meer geworfen würde. </w:t>
      </w:r>
      <w:r>
        <w:rPr>
          <w:rStyle w:val="Funotenanker"/>
        </w:rPr>
        <w:footnoteReference w:customMarkFollows="1" w:id="1830"/>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1"/>
        <w:t>dg</w:t>
      </w:r>
      <w:r>
        <w:rPr/>
        <w:t xml:space="preserve"> hau sie ab! </w:t>
      </w:r>
      <w:r>
        <w:rPr>
          <w:b/>
          <w:color w:val="808080"/>
        </w:rPr>
        <w:t>[</w:t>
      </w:r>
      <w:r>
        <w:rPr/>
        <w:t>Denn</w:t>
      </w:r>
      <w:r>
        <w:rPr>
          <w:b/>
          <w:color w:val="808080"/>
        </w:rPr>
        <w:t>]</w:t>
      </w:r>
      <w:r>
        <w:rPr/>
        <w:t xml:space="preserve"> </w:t>
      </w:r>
      <w:r>
        <w:rPr>
          <w:rStyle w:val="Funotenanker"/>
        </w:rPr>
        <w:footnoteReference w:customMarkFollows="1" w:id="1832"/>
        <w:t>dh</w:t>
      </w:r>
      <w:r>
        <w:rPr/>
        <w:t xml:space="preserve"> es ist gut </w:t>
      </w:r>
      <w:r>
        <w:rPr>
          <w:color w:val="808080"/>
        </w:rPr>
        <w:t>(besser)</w:t>
      </w:r>
      <w:r>
        <w:rPr/>
        <w:t xml:space="preserve">, dass du verstümmelt in das Leben </w:t>
      </w:r>
      <w:r>
        <w:rPr>
          <w:rStyle w:val="Funotenanker"/>
        </w:rPr>
        <w:footnoteReference w:customMarkFollows="1" w:id="1833"/>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4"/>
        <w:t>dj</w:t>
      </w:r>
      <w:r>
        <w:rPr/>
        <w:t xml:space="preserve"> einzugehen </w:t>
      </w:r>
      <w:r>
        <w:rPr>
          <w:color w:val="808080"/>
        </w:rPr>
        <w:t>(geworfen zu werden)</w:t>
      </w:r>
      <w:r>
        <w:rPr/>
        <w:t xml:space="preserve">: </w:t>
      </w:r>
      <w:r>
        <w:rPr>
          <w:rStyle w:val="Funotenanker"/>
        </w:rPr>
        <w:footnoteReference w:customMarkFollows="1" w:id="1835"/>
        <w:t>dk</w:t>
      </w:r>
      <w:r>
        <w:rPr/>
        <w:t xml:space="preserve"> in das unauslöschliche Feuer, </w:t>
      </w:r>
      <w:r>
        <w:rPr>
          <w:rStyle w:val="Funotenanker"/>
        </w:rPr>
        <w:footnoteReference w:customMarkFollows="1" w:id="1836"/>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7"/>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8"/>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9"/>
        <w:t>do</w:t>
      </w:r>
      <w:r>
        <w:rPr/>
        <w:t xml:space="preserve"> Jeder wird mit Feuer gesalzen werden. </w:t>
      </w:r>
      <w:r>
        <w:rPr>
          <w:rStyle w:val="Funotenanker"/>
        </w:rPr>
        <w:footnoteReference w:customMarkFollows="1" w:id="1840"/>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1"/>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2"/>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3"/>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4"/>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5"/>
        <w:t>Status</w:t>
      </w:r>
      <w:r>
        <w:rPr/>
        <w:t xml:space="preserve"> Und von dort brach </w:t>
      </w:r>
      <w:r>
        <w:rPr>
          <w:color w:val="808080"/>
        </w:rPr>
        <w:t>(stand)</w:t>
      </w:r>
      <w:r>
        <w:rPr/>
        <w:t xml:space="preserve"> er auf und </w:t>
      </w:r>
      <w:r>
        <w:rPr>
          <w:rStyle w:val="Funotenanker"/>
        </w:rPr>
        <w:footnoteReference w:customMarkFollows="1" w:id="1846"/>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7"/>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8"/>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9"/>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50"/>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1"/>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2"/>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3"/>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4"/>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5"/>
        <w:t>j</w:t>
      </w:r>
      <w:r>
        <w:rPr/>
        <w:t xml:space="preserve"> aber die Jünger wiesen sie unfreundlich ab </w:t>
      </w:r>
      <w:r>
        <w:rPr>
          <w:color w:val="808080"/>
        </w:rPr>
        <w:t>(schimpften sie)</w:t>
      </w:r>
      <w:r>
        <w:rPr/>
        <w:t xml:space="preserve"> </w:t>
      </w:r>
      <w:r>
        <w:rPr>
          <w:rStyle w:val="Funotenanker"/>
        </w:rPr>
        <w:footnoteReference w:customMarkFollows="1" w:id="1856"/>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7"/>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8"/>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9"/>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60"/>
        <w:t>o</w:t>
      </w:r>
      <w:r>
        <w:rPr/>
        <w:t xml:space="preserve"> segnete sie, indem er ihnen die Hände auflegte. </w:t>
      </w:r>
      <w:r>
        <w:rPr>
          <w:rStyle w:val="Funotenanker"/>
        </w:rPr>
        <w:footnoteReference w:customMarkFollows="1" w:id="1861"/>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2"/>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3"/>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4"/>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5"/>
        <w:t>t</w:t>
      </w:r>
      <w:r>
        <w:rPr/>
        <w:t xml:space="preserve"> gewann ihn lieb </w:t>
      </w:r>
      <w:r>
        <w:rPr>
          <w:rStyle w:val="Funotenanker"/>
        </w:rPr>
        <w:footnoteReference w:customMarkFollows="1" w:id="1866"/>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7"/>
        <w:t>v</w:t>
      </w:r>
      <w:r>
        <w:rPr/>
        <w:t xml:space="preserve"> über diese Forderung </w:t>
      </w:r>
      <w:r>
        <w:rPr>
          <w:color w:val="808080"/>
        </w:rPr>
        <w:t>(das Gesagte; Wort)</w:t>
      </w:r>
      <w:r>
        <w:rPr/>
        <w:t xml:space="preserve"> und </w:t>
      </w:r>
      <w:r>
        <w:rPr>
          <w:rStyle w:val="Funotenanker"/>
        </w:rPr>
        <w:footnoteReference w:customMarkFollows="1" w:id="1868"/>
        <w:t>w</w:t>
      </w:r>
      <w:r>
        <w:rPr/>
        <w:t xml:space="preserve"> ging traurig davon, denn er besaß </w:t>
      </w:r>
      <w:r>
        <w:rPr>
          <w:rStyle w:val="Funotenanker"/>
        </w:rPr>
        <w:footnoteReference w:customMarkFollows="1" w:id="1869"/>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70"/>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1"/>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2"/>
        <w:t>aa</w:t>
      </w:r>
      <w:r>
        <w:rPr/>
        <w:t xml:space="preserve">. Doch Jesus sagte noch einmal zu ihnen </w:t>
      </w:r>
      <w:r>
        <w:rPr>
          <w:rStyle w:val="Funotenanker"/>
        </w:rPr>
        <w:footnoteReference w:customMarkFollows="1" w:id="1873"/>
        <w:t>ab</w:t>
      </w:r>
      <w:r>
        <w:rPr/>
        <w:t xml:space="preserve">: »Kinder </w:t>
      </w:r>
      <w:r>
        <w:rPr>
          <w:rStyle w:val="Funotenanker"/>
        </w:rPr>
        <w:footnoteReference w:customMarkFollows="1" w:id="1874"/>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5"/>
        <w:t>ad</w:t>
      </w:r>
      <w:r>
        <w:rPr/>
        <w:t xml:space="preserve">, durch das Nadelöhr </w:t>
      </w:r>
      <w:r>
        <w:rPr>
          <w:rStyle w:val="Funotenanker"/>
        </w:rPr>
        <w:footnoteReference w:customMarkFollows="1" w:id="1876"/>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7"/>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8"/>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9"/>
        <w:t>ah</w:t>
      </w:r>
      <w:r>
        <w:rPr/>
        <w:t xml:space="preserve"> zu ihm: »Du weißt </w:t>
      </w:r>
      <w:r>
        <w:rPr>
          <w:color w:val="808080"/>
        </w:rPr>
        <w:t>(Siehe)</w:t>
      </w:r>
      <w:r>
        <w:rPr/>
        <w:t xml:space="preserve">, </w:t>
      </w:r>
      <w:r>
        <w:rPr>
          <w:rStyle w:val="Funotenanker"/>
        </w:rPr>
        <w:footnoteReference w:customMarkFollows="1" w:id="1880"/>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1"/>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2"/>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3"/>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4"/>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5"/>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6"/>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7"/>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8"/>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9"/>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90"/>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1"/>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2"/>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3"/>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4"/>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5"/>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6"/>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7"/>
        <w:t>az</w:t>
      </w:r>
      <w:r>
        <w:rPr/>
        <w:t xml:space="preserve"> waren sie wütend </w:t>
      </w:r>
      <w:r>
        <w:rPr>
          <w:color w:val="808080"/>
        </w:rPr>
        <w:t>(ärgerten sie sich)</w:t>
      </w:r>
      <w:r>
        <w:rPr/>
        <w:t xml:space="preserve"> </w:t>
      </w:r>
      <w:r>
        <w:rPr>
          <w:rStyle w:val="Funotenanker"/>
        </w:rPr>
        <w:footnoteReference w:customMarkFollows="1" w:id="1898"/>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9"/>
        <w:t>bb</w:t>
      </w:r>
      <w:r>
        <w:rPr/>
        <w:t xml:space="preserve"> die Menschen </w:t>
      </w:r>
      <w:r>
        <w:rPr>
          <w:rStyle w:val="Funotenanker"/>
        </w:rPr>
        <w:footnoteReference w:customMarkFollows="1" w:id="1900"/>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1"/>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2"/>
        <w:t>be</w:t>
      </w:r>
      <w:r>
        <w:rPr/>
        <w:t xml:space="preserve"> ein blinder Bettler, am Straßenrand </w:t>
      </w:r>
      <w:r>
        <w:rPr>
          <w:rStyle w:val="Funotenanker"/>
        </w:rPr>
        <w:footnoteReference w:customMarkFollows="1" w:id="1903"/>
        <w:t>bf</w:t>
      </w:r>
      <w:r>
        <w:rPr/>
        <w:t xml:space="preserve">,{{field-off:bible}} </w:t>
        <w:br/>
        <w:t>[[@BibleTOBIBLE:Mk 10:47]]</w:t>
      </w:r>
      <w:r>
        <w:rPr>
          <w:b/>
        </w:rPr>
        <w:t>47</w:t>
      </w:r>
      <w:r>
        <w:rPr/>
        <w:t xml:space="preserve"> {{field-on:bible}}Und als er hörte, </w:t>
      </w:r>
      <w:r>
        <w:rPr>
          <w:rStyle w:val="Funotenanker"/>
        </w:rPr>
        <w:footnoteReference w:customMarkFollows="1" w:id="1904"/>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5"/>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6"/>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7"/>
        <w:t>bj</w:t>
      </w:r>
      <w:r>
        <w:rPr/>
        <w:t xml:space="preserve"> kam zu Jesus.{{field-off:bible}} </w:t>
        <w:br/>
        <w:t>[[@BibleTOBIBLE:Mk 10:51]]</w:t>
      </w:r>
      <w:r>
        <w:rPr>
          <w:b/>
        </w:rPr>
        <w:t>51</w:t>
      </w:r>
      <w:r>
        <w:rPr/>
        <w:t xml:space="preserve"> {{field-on:bible}}Und Jesus fragte ihn </w:t>
      </w:r>
      <w:r>
        <w:rPr>
          <w:rStyle w:val="Funotenanker"/>
        </w:rPr>
        <w:footnoteReference w:customMarkFollows="1" w:id="1908"/>
        <w:t>bk</w:t>
      </w:r>
      <w:r>
        <w:rPr/>
        <w:t xml:space="preserve">: »Was willst du, dass ich für dich tue?« Da sagte der Blinde zu ihm: »Rabbuni </w:t>
      </w:r>
      <w:r>
        <w:rPr>
          <w:rStyle w:val="Funotenanker"/>
        </w:rPr>
        <w:footnoteReference w:customMarkFollows="1" w:id="1909"/>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10"/>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1"/>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2"/>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3"/>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4"/>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5"/>
        <w:t>c</w:t>
      </w:r>
      <w:r>
        <w:rPr/>
        <w:t xml:space="preserve"> werdet ihr ein Eselsfohlen </w:t>
      </w:r>
      <w:r>
        <w:rPr>
          <w:color w:val="808080"/>
        </w:rPr>
        <w:t>(Fohlen)</w:t>
      </w:r>
      <w:r>
        <w:rPr/>
        <w:t xml:space="preserve"> </w:t>
      </w:r>
      <w:r>
        <w:rPr>
          <w:rStyle w:val="Funotenanker"/>
        </w:rPr>
        <w:footnoteReference w:customMarkFollows="1" w:id="1916"/>
        <w:t>d</w:t>
      </w:r>
      <w:r>
        <w:rPr/>
        <w:t xml:space="preserve"> angebunden finden, auf dem noch nie ein Mensch </w:t>
      </w:r>
      <w:r>
        <w:rPr>
          <w:rStyle w:val="Funotenanker"/>
        </w:rPr>
        <w:footnoteReference w:customMarkFollows="1" w:id="1917"/>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8"/>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9"/>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20"/>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1"/>
        <w:t>i</w:t>
      </w:r>
      <w:r>
        <w:rPr/>
        <w:t xml:space="preserve">: „Hosanna! </w:t>
      </w:r>
      <w:r>
        <w:rPr>
          <w:rStyle w:val="Funotenanker"/>
        </w:rPr>
        <w:footnoteReference w:customMarkFollows="1" w:id="1922"/>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3"/>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4"/>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5"/>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6"/>
        <w:t>n</w:t>
      </w:r>
      <w:r>
        <w:rPr/>
        <w:t xml:space="preserve"> „Nie mehr, bis in Ewigkeit, soll jemand </w:t>
      </w:r>
      <w:r>
        <w:rPr>
          <w:rStyle w:val="Funotenanker"/>
        </w:rPr>
        <w:footnoteReference w:customMarkFollows="1" w:id="1927"/>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8"/>
        <w:t>p</w:t>
      </w:r>
      <w:r>
        <w:rPr/>
        <w:t xml:space="preserve"> ging er in den Tempel </w:t>
      </w:r>
      <w:r>
        <w:rPr>
          <w:color w:val="808080"/>
        </w:rPr>
        <w:t>(Tempelbezirk)</w:t>
      </w:r>
      <w:r>
        <w:rPr/>
        <w:t xml:space="preserve"> und </w:t>
      </w:r>
      <w:r>
        <w:rPr>
          <w:rStyle w:val="Funotenanker"/>
        </w:rPr>
        <w:footnoteReference w:customMarkFollows="1" w:id="1929"/>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30"/>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1"/>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2"/>
        <w:t>t</w:t>
      </w:r>
      <w:r>
        <w:rPr/>
        <w:t xml:space="preserve"> „Heißt es nicht </w:t>
      </w:r>
      <w:r>
        <w:rPr>
          <w:color w:val="808080"/>
        </w:rPr>
        <w:t>(Steht nicht geschrieben)</w:t>
      </w:r>
      <w:r>
        <w:rPr/>
        <w:t>: »Mein Haus wird ein Haus des Gebets für alle Völker</w:t>
      </w:r>
      <w:r>
        <w:rPr>
          <w:rStyle w:val="Funotenanker"/>
        </w:rPr>
        <w:footnoteReference w:customMarkFollows="1" w:id="1933"/>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4"/>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5"/>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6"/>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7"/>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8"/>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9"/>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40"/>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1"/>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2"/>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3"/>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4"/>
        <w:t>af</w:t>
      </w:r>
      <w:r>
        <w:rPr/>
        <w:t xml:space="preserve"> dann werden sie </w:t>
      </w:r>
      <w:r>
        <w:rPr>
          <w:strike/>
          <w:color w:val="808080"/>
        </w:rPr>
        <w:t>{für euch}</w:t>
      </w:r>
      <w:r>
        <w:rPr/>
        <w:t xml:space="preserve"> eintreffen. </w:t>
      </w:r>
      <w:r>
        <w:rPr>
          <w:rStyle w:val="Funotenanker"/>
        </w:rPr>
        <w:footnoteReference w:customMarkFollows="1" w:id="1945"/>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6"/>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7"/>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8"/>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9"/>
        <w:t>ak</w:t>
      </w:r>
      <w:r>
        <w:rPr/>
        <w:t xml:space="preserve"> </w:t>
      </w:r>
      <w:r>
        <w:rPr>
          <w:strike/>
          <w:color w:val="808080"/>
        </w:rPr>
        <w:t>{und}</w:t>
      </w:r>
      <w:r>
        <w:rPr/>
        <w:t xml:space="preserve"> Antwortet mir, </w:t>
      </w:r>
      <w:r>
        <w:rPr>
          <w:rStyle w:val="Funotenanker"/>
        </w:rPr>
        <w:footnoteReference w:customMarkFollows="1" w:id="1950"/>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1"/>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2"/>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3"/>
        <w:t>Status</w:t>
      </w:r>
      <w:r>
        <w:rPr/>
        <w:t xml:space="preserve"> </w:t>
      </w:r>
      <w:r>
        <w:rPr>
          <w:rStyle w:val="Funotenanker"/>
        </w:rPr>
        <w:footnoteReference w:customMarkFollows="1" w:id="1954"/>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5"/>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6"/>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7"/>
        <w:t>d</w:t>
      </w:r>
      <w:r>
        <w:rPr/>
        <w:t xml:space="preserve"> aus und baute einen Wachtturm </w:t>
      </w:r>
      <w:r>
        <w:rPr>
          <w:rStyle w:val="Funotenanker"/>
        </w:rPr>
        <w:footnoteReference w:customMarkFollows="1" w:id="1958"/>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9"/>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60"/>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1"/>
        <w:t>h</w:t>
      </w:r>
      <w:r>
        <w:rPr/>
        <w:t xml:space="preserve"> und entehrten ihn.{{field-off:bible}}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i</w:t>
      </w:r>
      <w:r>
        <w:rPr/>
        <w:t xml:space="preserve"> – manche verprügelten sie, andere brachten sie um</w:t>
      </w:r>
      <w:r>
        <w:rPr>
          <w:rStyle w:val="Funotenanker"/>
        </w:rPr>
        <w:footnoteReference w:customMarkFollows="1" w:id="1963"/>
        <w:t>j</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k</w:t>
      </w:r>
      <w:r>
        <w:rPr/>
        <w:t xml:space="preserve">. Er sandte ihn als letzten zu ihnen, weil er glaubte </w:t>
      </w:r>
      <w:r>
        <w:rPr>
          <w:color w:val="808080"/>
        </w:rPr>
        <w:t>(dachte, sich sagte)</w:t>
      </w:r>
      <w:r>
        <w:rPr/>
        <w:t xml:space="preserve">: </w:t>
      </w:r>
      <w:r>
        <w:rPr>
          <w:rStyle w:val="Funotenanker"/>
        </w:rPr>
        <w:footnoteReference w:customMarkFollows="1" w:id="1965"/>
        <w:t>l</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m</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n</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o</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p</w:t>
      </w:r>
      <w:r>
        <w:rPr/>
        <w:t xml:space="preserve">, den die Bauleute abgelehnt </w:t>
      </w:r>
      <w:r>
        <w:rPr>
          <w:color w:val="808080"/>
        </w:rPr>
        <w:t>(verworfen, zurückgewiesen)</w:t>
      </w:r>
      <w:r>
        <w:rPr/>
        <w:t xml:space="preserve"> haben,</w:t>
        <w:br/>
        <w:t>''der''</w:t>
      </w:r>
      <w:r>
        <w:rPr>
          <w:rStyle w:val="Funotenanker"/>
        </w:rPr>
        <w:footnoteReference w:customMarkFollows="1" w:id="1970"/>
        <w:t>q</w:t>
      </w:r>
      <w:r>
        <w:rPr/>
        <w:t xml:space="preserve"> ist zum Schlussstein </w:t>
      </w:r>
      <w:r>
        <w:rPr>
          <w:color w:val="808080"/>
        </w:rPr>
        <w:t>(Kopfstein, Eckstein)</w:t>
      </w:r>
      <w:r>
        <w:rPr/>
        <w:t xml:space="preserve"> </w:t>
      </w:r>
      <w:r>
        <w:rPr>
          <w:rStyle w:val="Funotenanker"/>
        </w:rPr>
        <w:footnoteReference w:customMarkFollows="1" w:id="1971"/>
        <w:t>r</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s</w:t>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t</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u</w:t>
      </w:r>
      <w:r>
        <w:rPr/>
        <w:t xml:space="preserve">, dass er das Gleichnis gegen sie gesprochen hatte </w:t>
      </w:r>
      <w:r>
        <w:rPr>
          <w:rStyle w:val="Funotenanker"/>
        </w:rPr>
        <w:footnoteReference w:customMarkFollows="1" w:id="1975"/>
        <w:t>v</w:t>
      </w:r>
      <w:r>
        <w:rPr/>
        <w:t xml:space="preserve">. Daher </w:t>
      </w:r>
      <w:r>
        <w:rPr>
          <w:color w:val="808080"/>
        </w:rPr>
        <w:t>(und)</w:t>
      </w:r>
      <w:r>
        <w:rPr/>
        <w:t xml:space="preserve"> sie ließen ihn zurück </w:t>
      </w:r>
      <w:r>
        <w:rPr>
          <w:color w:val="808080"/>
        </w:rPr>
        <w:t>(ihn unbehelligt; von ihm ab)</w:t>
      </w:r>
      <w:r>
        <w:rPr/>
        <w:t xml:space="preserve"> und gingen davon.{{field-off:bible}}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76"/>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77"/>
        <w:t>a</w:t>
      </w:r>
      <w:r>
        <w:rPr/>
        <w:t xml:space="preserve"> als er aus dem Tempel hinausging </w:t>
      </w:r>
      <w:r>
        <w:rPr>
          <w:color w:val="808080"/>
        </w:rPr>
        <w:t>(hinausgeht)</w:t>
      </w:r>
      <w:r>
        <w:rPr/>
        <w:t xml:space="preserve"> </w:t>
      </w:r>
      <w:r>
        <w:rPr>
          <w:rStyle w:val="Funotenanker"/>
        </w:rPr>
        <w:footnoteReference w:customMarkFollows="1" w:id="1978"/>
        <w:t>b</w:t>
      </w:r>
      <w:r>
        <w:rPr/>
        <w:t xml:space="preserve">, sagte </w:t>
      </w:r>
      <w:r>
        <w:rPr>
          <w:color w:val="808080"/>
        </w:rPr>
        <w:t>(sagt)</w:t>
      </w:r>
      <w:r>
        <w:rPr/>
        <w:t xml:space="preserve"> </w:t>
      </w:r>
      <w:r>
        <w:rPr>
          <w:rStyle w:val="Funotenanker"/>
        </w:rPr>
        <w:footnoteReference w:customMarkFollows="1" w:id="1979"/>
        <w:t>c</w:t>
      </w:r>
      <w:r>
        <w:rPr/>
        <w:t xml:space="preserve"> einer</w:t>
      </w:r>
      <w:r>
        <w:rPr>
          <w:rStyle w:val="Funotenanker"/>
        </w:rPr>
        <w:footnoteReference w:customMarkFollows="1" w:id="1980"/>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1981"/>
        <w:t>e</w:t>
      </w:r>
      <w:r>
        <w:rPr/>
        <w:t xml:space="preserve"> Was für Steine und was für Gebäude!</w:t>
      </w:r>
      <w:r>
        <w:rPr>
          <w:rStyle w:val="Funotenanker"/>
        </w:rPr>
        <w:footnoteReference w:customMarkFollows="1" w:id="1982"/>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1983"/>
        <w:t>g</w:t>
      </w:r>
      <w:r>
        <w:rPr/>
        <w:t xml:space="preserve"> Nicht </w:t>
      </w:r>
      <w:r>
        <w:rPr>
          <w:color w:val="808080"/>
        </w:rPr>
        <w:t>(Keinesfalls)</w:t>
      </w:r>
      <w:r>
        <w:rPr/>
        <w:t xml:space="preserve"> </w:t>
      </w:r>
      <w:r>
        <w:rPr>
          <w:rStyle w:val="Funotenanker"/>
        </w:rPr>
        <w:footnoteReference w:customMarkFollows="1" w:id="1984"/>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1985"/>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1986"/>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1987"/>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1988"/>
        <w:t>l</w:t>
      </w:r>
      <w:r>
        <w:rPr/>
        <w:t xml:space="preserve"> Wann wird dies</w:t>
      </w:r>
      <w:r>
        <w:rPr>
          <w:rStyle w:val="Funotenanker"/>
        </w:rPr>
        <w:footnoteReference w:customMarkFollows="1" w:id="1989"/>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1990"/>
        <w:t>n</w:t>
      </w:r>
      <w:r>
        <w:rPr/>
        <w:t xml:space="preserve">, zu geschehen </w:t>
      </w:r>
      <w:r>
        <w:rPr>
          <w:color w:val="808080"/>
        </w:rPr>
        <w:t>(vollendet zu werden, zu enden)</w:t>
      </w:r>
      <w:r>
        <w:rPr/>
        <w:t xml:space="preserve"> </w:t>
      </w:r>
      <w:r>
        <w:rPr>
          <w:rStyle w:val="Funotenanker"/>
        </w:rPr>
        <w:footnoteReference w:customMarkFollows="1" w:id="1991"/>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1992"/>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1993"/>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1994"/>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1995"/>
        <w:t>s</w:t>
      </w:r>
      <w:r>
        <w:rPr/>
        <w:t xml:space="preserve"> nämlich </w:t>
      </w:r>
      <w:r>
        <w:rPr>
          <w:color w:val="808080"/>
        </w:rPr>
        <w:t>(denn)</w:t>
      </w:r>
      <w:r>
        <w:rPr/>
        <w:t xml:space="preserve"> </w:t>
      </w:r>
      <w:r>
        <w:rPr>
          <w:rStyle w:val="Funotenanker"/>
        </w:rPr>
        <w:footnoteReference w:customMarkFollows="1" w:id="1996"/>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1997"/>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1998"/>
        <w:t>v</w:t>
      </w:r>
      <w:r>
        <w:rPr/>
        <w:t xml:space="preserve"> ausliefern</w:t>
      </w:r>
      <w:r>
        <w:rPr>
          <w:rStyle w:val="Funotenanker"/>
        </w:rPr>
        <w:footnoteReference w:customMarkFollows="1" w:id="1999"/>
        <w:t>w</w:t>
      </w:r>
      <w:r>
        <w:rPr/>
        <w:t xml:space="preserve"> an Synhedrien</w:t>
      </w:r>
      <w:r>
        <w:rPr>
          <w:rStyle w:val="Funotenanker"/>
        </w:rPr>
        <w:footnoteReference w:customMarkFollows="1" w:id="2000"/>
        <w:t>x</w:t>
      </w:r>
      <w:r>
        <w:rPr/>
        <w:t xml:space="preserve"> und Synagogen</w:t>
      </w:r>
      <w:r>
        <w:rPr>
          <w:rStyle w:val="Funotenanker"/>
        </w:rPr>
        <w:footnoteReference w:customMarkFollows="1" w:id="2001"/>
        <w:t>y</w:t>
      </w:r>
      <w:r>
        <w:rPr/>
        <w:t>, ihr werdet geprügelt werden und ihr werdet meinetwegen vor Statthalter und Könige gestellt werden, ihnen zum Zeugnis</w:t>
      </w:r>
      <w:r>
        <w:rPr>
          <w:rStyle w:val="Funotenanker"/>
        </w:rPr>
        <w:footnoteReference w:customMarkFollows="1" w:id="2002"/>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03"/>
        <w:t>aa</w:t>
      </w:r>
      <w:r>
        <w:rPr/>
        <w:t xml:space="preserve"> zuerst</w:t>
      </w:r>
      <w:r>
        <w:rPr>
          <w:rStyle w:val="Funotenanker"/>
        </w:rPr>
        <w:footnoteReference w:customMarkFollows="1" w:id="2004"/>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05"/>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06"/>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07"/>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08"/>
        <w:t>af</w:t>
      </w:r>
      <w:r>
        <w:rPr/>
        <w:t>. Der aber, der bis zum Ende</w:t>
      </w:r>
      <w:r>
        <w:rPr>
          <w:rStyle w:val="Funotenanker"/>
        </w:rPr>
        <w:footnoteReference w:customMarkFollows="1" w:id="2009"/>
        <w:t>ag</w:t>
      </w:r>
      <w:r>
        <w:rPr/>
        <w:t xml:space="preserve"> standhaft bleibt </w:t>
      </w:r>
      <w:r>
        <w:rPr>
          <w:color w:val="808080"/>
        </w:rPr>
        <w:t>(dies erduldet)</w:t>
      </w:r>
      <w:r>
        <w:rPr/>
        <w:t xml:space="preserve"> </w:t>
      </w:r>
      <w:r>
        <w:rPr>
          <w:rStyle w:val="Funotenanker"/>
        </w:rPr>
        <w:footnoteReference w:customMarkFollows="1" w:id="2010"/>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11"/>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12"/>
        <w:t>aj</w:t>
      </w:r>
      <w:r>
        <w:rPr/>
        <w:t xml:space="preserve"> –, dann sollen die in Judäa in die Berge fliehen</w:t>
      </w:r>
      <w:r>
        <w:rPr>
          <w:rStyle w:val="Funotenanker"/>
        </w:rPr>
        <w:footnoteReference w:customMarkFollows="1" w:id="2013"/>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14"/>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15"/>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16"/>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17"/>
        <w:t>ao</w:t>
      </w:r>
      <w:r>
        <w:rPr/>
        <w:t>, die in jenen Tagen</w:t>
      </w:r>
      <w:r>
        <w:rPr>
          <w:rStyle w:val="Funotenanker"/>
        </w:rPr>
        <w:footnoteReference w:customMarkFollows="1" w:id="2018"/>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19"/>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20"/>
        <w:t>ar</w:t>
      </w:r>
      <w:r>
        <w:rPr/>
        <w:t xml:space="preserve"> bis jetzt nicht geschehen ist und niemals geschehen wird</w:t>
      </w:r>
      <w:r>
        <w:rPr>
          <w:rStyle w:val="Funotenanker"/>
        </w:rPr>
        <w:footnoteReference w:customMarkFollows="1" w:id="2021"/>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22"/>
        <w:t>at</w:t>
      </w:r>
      <w:r>
        <w:rPr/>
        <w:t xml:space="preserve"> würde absolut niemand</w:t>
      </w:r>
      <w:r>
        <w:rPr>
          <w:rStyle w:val="Funotenanker"/>
        </w:rPr>
        <w:footnoteReference w:customMarkFollows="1" w:id="2023"/>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24"/>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25"/>
        <w:t>aw</w:t>
      </w:r>
      <w:r>
        <w:rPr/>
        <w:t xml:space="preserve"> werden sie Zeichen und Wunder,</w:t>
      </w:r>
      <w:r>
        <w:rPr>
          <w:rStyle w:val="Funotenanker"/>
        </w:rPr>
        <w:footnoteReference w:customMarkFollows="1" w:id="2026"/>
        <w:t>ax</w:t>
      </w:r>
      <w:r>
        <w:rPr/>
        <w:t xml:space="preserve"> um – wenn möglich – die Auserwählten zu verführen </w:t>
      </w:r>
      <w:r>
        <w:rPr>
          <w:color w:val="808080"/>
        </w:rPr>
        <w:t>(irrezuführen)</w:t>
      </w:r>
      <w:r>
        <w:rPr/>
        <w:t xml:space="preserve"> </w:t>
      </w:r>
      <w:r>
        <w:rPr>
          <w:rStyle w:val="Funotenanker"/>
        </w:rPr>
        <w:footnoteReference w:customMarkFollows="1" w:id="2027"/>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28"/>
        <w:t>az</w:t>
      </w:r>
      <w:r>
        <w:rPr/>
        <w:t xml:space="preserve"> seid achtsam! Ich habe euch alles vorausgesagt.</w:t>
      </w:r>
      <w:r>
        <w:rPr>
          <w:rStyle w:val="Funotenanker"/>
        </w:rPr>
        <w:footnoteReference w:customMarkFollows="1" w:id="2029"/>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30"/>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31"/>
        <w:t>bc</w:t>
      </w:r>
      <w:r>
        <w:rPr/>
        <w:t xml:space="preserve"> den in den Wolken kommenden Menschensohn</w:t>
      </w:r>
      <w:r>
        <w:rPr>
          <w:rStyle w:val="Funotenanker"/>
        </w:rPr>
        <w:footnoteReference w:customMarkFollows="1" w:id="2032"/>
        <w:t>bd</w:t>
      </w:r>
      <w:r>
        <w:rPr/>
        <w:t>, mit großer Macht</w:t>
      </w:r>
      <w:r>
        <w:rPr>
          <w:rStyle w:val="Funotenanker"/>
        </w:rPr>
        <w:footnoteReference w:customMarkFollows="1" w:id="2033"/>
        <w:t>be</w:t>
      </w:r>
      <w:r>
        <w:rPr/>
        <w:t xml:space="preserve"> und Herrlichkeit</w:t>
      </w:r>
      <w:r>
        <w:rPr>
          <w:rStyle w:val="Funotenanker"/>
        </w:rPr>
        <w:footnoteReference w:customMarkFollows="1" w:id="2034"/>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35"/>
        <w:t>bg</w:t>
      </w:r>
      <w:r>
        <w:rPr/>
        <w:t xml:space="preserve"> vom Ende der Erde bis zum Ende des Himmels</w:t>
      </w:r>
      <w:r>
        <w:rPr>
          <w:rStyle w:val="Funotenanker"/>
        </w:rPr>
        <w:footnoteReference w:customMarkFollows="1" w:id="2036"/>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37"/>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38"/>
        <w:t>bj</w:t>
      </w:r>
      <w:r>
        <w:rPr/>
        <w:t xml:space="preserve"> seine Zweige</w:t>
      </w:r>
      <w:r>
        <w:rPr>
          <w:rStyle w:val="Funotenanker"/>
        </w:rPr>
        <w:footnoteReference w:customMarkFollows="1" w:id="2039"/>
        <w:t>bk</w:t>
      </w:r>
      <w:r>
        <w:rPr/>
        <w:t xml:space="preserve"> weich werden </w:t>
      </w:r>
      <w:r>
        <w:rPr>
          <w:rStyle w:val="Funotenanker"/>
        </w:rPr>
        <w:footnoteReference w:customMarkFollows="1" w:id="2040"/>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41"/>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42"/>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43"/>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44"/>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45"/>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46"/>
        <w:t>br</w:t>
      </w:r>
      <w:r>
        <w:rPr/>
        <w:t xml:space="preserve"> weder die Engel </w:t>
      </w:r>
      <w:r>
        <w:rPr>
          <w:color w:val="808080"/>
        </w:rPr>
        <w:t>(Boten)</w:t>
      </w:r>
      <w:r>
        <w:rPr/>
        <w:t xml:space="preserve"> </w:t>
      </w:r>
      <w:r>
        <w:rPr>
          <w:rStyle w:val="Funotenanker"/>
        </w:rPr>
        <w:footnoteReference w:customMarkFollows="1" w:id="2047"/>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48"/>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49"/>
        <w:t>bu</w:t>
      </w:r>
      <w:r>
        <w:rPr/>
        <w:t xml:space="preserve"> </w:t>
      </w:r>
      <w:r>
        <w:rPr>
          <w:rStyle w:val="Funotenanker"/>
        </w:rPr>
        <w:footnoteReference w:customMarkFollows="1" w:id="2050"/>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51"/>
        <w:t>bw</w:t>
      </w:r>
      <w:r>
        <w:rPr/>
        <w:t xml:space="preserve"> dem Torhüter gebot, dass er wachsam sei </w:t>
      </w:r>
      <w:r>
        <w:rPr>
          <w:color w:val="808080"/>
        </w:rPr>
        <w:t>(Wache halte)</w:t>
      </w:r>
      <w:r>
        <w:rPr/>
        <w:t>.</w:t>
      </w:r>
      <w:r>
        <w:rPr>
          <w:rStyle w:val="Funotenanker"/>
        </w:rPr>
        <w:footnoteReference w:customMarkFollows="1" w:id="2052"/>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53"/>
        <w:t>by</w:t>
      </w:r>
      <w:r>
        <w:rPr/>
        <w:t xml:space="preserve"> - ob am Abend, zur Mitternacht, zum Hahnenschrei oder im Morgengrauen</w:t>
      </w:r>
      <w:r>
        <w:rPr>
          <w:rStyle w:val="Funotenanker"/>
        </w:rPr>
        <w:footnoteReference w:customMarkFollows="1" w:id="2054"/>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55"/>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56"/>
        <w:t>Status</w:t>
      </w:r>
      <w:r>
        <w:rPr/>
        <w:t xml:space="preserve"> Und als der Sabbat vorüber war</w:t>
      </w:r>
      <w:r>
        <w:rPr>
          <w:rStyle w:val="Funotenanker"/>
        </w:rPr>
        <w:footnoteReference w:customMarkFollows="1" w:id="2057"/>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58"/>
        <w:t>b</w:t>
      </w:r>
      <w:r>
        <w:rPr/>
        <w:t xml:space="preserve"> und Salome Spezereien </w:t>
      </w:r>
      <w:r>
        <w:rPr>
          <w:color w:val="808080"/>
        </w:rPr>
        <w:t>(wohlriechende Kräuter, Gewürze)</w:t>
      </w:r>
      <w:r>
        <w:rPr/>
        <w:t xml:space="preserve"> </w:t>
      </w:r>
      <w:r>
        <w:rPr>
          <w:rStyle w:val="Funotenanker"/>
        </w:rPr>
        <w:footnoteReference w:customMarkFollows="1" w:id="2059"/>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60"/>
        <w:t>d</w:t>
      </w:r>
      <w:r>
        <w:rPr/>
        <w:t xml:space="preserve"> gingen sie zum Grab, während </w:t>
      </w:r>
      <w:r>
        <w:rPr>
          <w:color w:val="808080"/>
        </w:rPr>
        <w:t>(als)</w:t>
      </w:r>
      <w:r>
        <w:rPr/>
        <w:t xml:space="preserve"> die Sonne aufging</w:t>
      </w:r>
      <w:r>
        <w:rPr>
          <w:rStyle w:val="Funotenanker"/>
        </w:rPr>
        <w:footnoteReference w:customMarkFollows="1" w:id="2061"/>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62"/>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63"/>
        <w:t>g</w:t>
      </w:r>
      <w:r>
        <w:rPr/>
        <w:t xml:space="preserve"> in das Grab, sahen</w:t>
      </w:r>
      <w:r>
        <w:rPr>
          <w:rStyle w:val="Funotenanker"/>
        </w:rPr>
        <w:footnoteReference w:customMarkFollows="1" w:id="2064"/>
        <w:t>h</w:t>
      </w:r>
      <w:r>
        <w:rPr/>
        <w:t xml:space="preserve"> sie einen Jüngling zur Rechten </w:t>
      </w:r>
      <w:r>
        <w:rPr>
          <w:color w:val="808080"/>
        </w:rPr>
        <w:t>(auf der rechten Seite)</w:t>
      </w:r>
      <w:r>
        <w:rPr/>
        <w:t xml:space="preserve"> </w:t>
      </w:r>
      <w:r>
        <w:rPr>
          <w:rStyle w:val="Funotenanker"/>
        </w:rPr>
        <w:footnoteReference w:customMarkFollows="1" w:id="2065"/>
        <w:t>i</w:t>
      </w:r>
      <w:r>
        <w:rPr/>
        <w:t xml:space="preserve"> sitzen, der ein weißes Gewand an</w:t>
      </w:r>
      <w:r>
        <w:rPr>
          <w:color w:val="808080"/>
        </w:rPr>
        <w:t>(gezogen)</w:t>
      </w:r>
      <w:r>
        <w:rPr/>
        <w:t xml:space="preserve"> </w:t>
      </w:r>
      <w:r>
        <w:rPr>
          <w:rStyle w:val="Funotenanker"/>
        </w:rPr>
        <w:footnoteReference w:customMarkFollows="1" w:id="2066"/>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67"/>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068"/>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069"/>
        <w:t>m</w:t>
      </w:r>
      <w:r>
        <w:rPr/>
        <w:t xml:space="preserve"> euch vorangeht nach Galiläa</w:t>
      </w:r>
      <w:r>
        <w:rPr>
          <w:rStyle w:val="Funotenanker"/>
        </w:rPr>
        <w:footnoteReference w:customMarkFollows="1" w:id="2070"/>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071"/>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072"/>
        <w:t>p</w:t>
      </w:r>
      <w:r>
        <w:rPr/>
        <w:t xml:space="preserve">. Und sie sagten keinem </w:t>
      </w:r>
      <w:r>
        <w:rPr>
          <w:color w:val="808080"/>
        </w:rPr>
        <w:t>(niemandem)</w:t>
      </w:r>
      <w:r>
        <w:rPr/>
        <w:t xml:space="preserve"> etwas; denn</w:t>
      </w:r>
      <w:r>
        <w:rPr>
          <w:rStyle w:val="Funotenanker"/>
        </w:rPr>
        <w:footnoteReference w:customMarkFollows="1" w:id="2073"/>
        <w:t>q</w:t>
      </w:r>
      <w:r>
        <w:rPr/>
        <w:t xml:space="preserve"> sie fürchteten sich. </w:t>
      </w:r>
      <w:r>
        <w:rPr>
          <w:rStyle w:val="Funotenanker"/>
        </w:rPr>
        <w:footnoteReference w:customMarkFollows="1" w:id="2074"/>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075"/>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076"/>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077"/>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078"/>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079"/>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080"/>
        <w:t>Status</w:t>
      </w:r>
      <w:r>
        <w:rPr/>
        <w:t xml:space="preserve"> Und Maria</w:t>
      </w:r>
      <w:r>
        <w:rPr>
          <w:rStyle w:val="Funotenanker"/>
        </w:rPr>
        <w:footnoteReference w:customMarkFollows="1" w:id="2081"/>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082"/>
        <w:t>b</w:t>
      </w:r>
      <w:r>
        <w:rPr/>
        <w:t xml:space="preserve"> preist </w:t>
      </w:r>
      <w:r>
        <w:rPr>
          <w:color w:val="808080"/>
        </w:rPr>
        <w:t>(macht groß</w:t>
      </w:r>
      <w:r>
        <w:rPr/>
        <w:t xml:space="preserve"> </w:t>
      </w:r>
      <w:r>
        <w:rPr>
          <w:rStyle w:val="Funotenanker"/>
        </w:rPr>
        <w:footnoteReference w:customMarkFollows="1" w:id="2083"/>
        <w:t>c</w:t>
      </w:r>
      <w:r>
        <w:rPr/>
        <w:t xml:space="preserve"> </w:t>
      </w:r>
      <w:r>
        <w:rPr>
          <w:color w:val="808080"/>
        </w:rPr>
        <w:t>, dankt)</w:t>
      </w:r>
      <w:r>
        <w:rPr/>
        <w:t xml:space="preserve"> </w:t>
      </w:r>
      <w:r>
        <w:rPr>
          <w:rStyle w:val="Funotenanker"/>
        </w:rPr>
        <w:footnoteReference w:customMarkFollows="1" w:id="2084"/>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085"/>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086"/>
        <w:t>f</w:t>
      </w:r>
      <w:r>
        <w:rPr/>
        <w:t xml:space="preserve"> seiner Sklavin </w:t>
      </w:r>
      <w:r>
        <w:rPr>
          <w:color w:val="808080"/>
        </w:rPr>
        <w:t>(Magd)</w:t>
      </w:r>
      <w:r>
        <w:rPr/>
        <w:t xml:space="preserve"> </w:t>
      </w:r>
      <w:r>
        <w:rPr>
          <w:rStyle w:val="Funotenanker"/>
        </w:rPr>
        <w:footnoteReference w:customMarkFollows="1" w:id="2087"/>
        <w:t>g</w:t>
      </w:r>
      <w:r>
        <w:rPr/>
        <w:t xml:space="preserve"> hat er geschaut </w:t>
      </w:r>
      <w:r>
        <w:rPr>
          <w:color w:val="808080"/>
        </w:rPr>
        <w:t>(sich angenommen)</w:t>
      </w:r>
      <w:r>
        <w:rPr/>
        <w:t xml:space="preserve"> </w:t>
      </w:r>
      <w:r>
        <w:rPr>
          <w:rStyle w:val="Funotenanker"/>
        </w:rPr>
        <w:footnoteReference w:customMarkFollows="1" w:id="2088"/>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089"/>
        <w:t>i</w:t>
      </w:r>
      <w:r>
        <w:rPr/>
        <w:t xml:space="preserve"> von nun an halten für glücklich </w:t>
      </w:r>
      <w:r>
        <w:rPr>
          <w:color w:val="808080"/>
        </w:rPr>
        <w:t>(werden mich für glücklich halten)</w:t>
      </w:r>
      <w:r>
        <w:rPr/>
        <w:t xml:space="preserve"> </w:t>
      </w:r>
      <w:r>
        <w:rPr>
          <w:rStyle w:val="Funotenanker"/>
        </w:rPr>
        <w:footnoteReference w:customMarkFollows="1" w:id="2090"/>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091"/>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092"/>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093"/>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094"/>
        <w:t>n</w:t>
      </w:r>
      <w:r>
        <w:rPr/>
        <w:t xml:space="preserve"> seine Huld </w:t>
      </w:r>
      <w:r>
        <w:rPr>
          <w:color w:val="808080"/>
        </w:rPr>
        <w:t>(Gnade, Erbarmen, Barmherzigkeit)</w:t>
      </w:r>
      <w:r>
        <w:rPr/>
        <w:t xml:space="preserve"> </w:t>
      </w:r>
      <w:r>
        <w:rPr>
          <w:rStyle w:val="Funotenanker"/>
        </w:rPr>
        <w:footnoteReference w:customMarkFollows="1" w:id="2095"/>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096"/>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097"/>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098"/>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099"/>
        <w:t>s</w:t>
      </w:r>
      <w:r>
        <w:rPr/>
        <w:t xml:space="preserve"> mit seinem Arm </w:t>
      </w:r>
      <w:r>
        <w:rPr>
          <w:color w:val="808080"/>
        </w:rPr>
        <w:t>(Macht)</w:t>
      </w:r>
      <w:r>
        <w:rPr/>
        <w:t>:</w:t>
      </w:r>
      <w:r>
        <w:rPr>
          <w:rStyle w:val="Funotenanker"/>
        </w:rPr>
        <w:footnoteReference w:customMarkFollows="1" w:id="2100"/>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01"/>
        <w:t>u</w:t>
      </w:r>
      <w:r>
        <w:rPr/>
        <w:t xml:space="preserve"> Hochmütige </w:t>
      </w:r>
      <w:r>
        <w:rPr>
          <w:color w:val="808080"/>
        </w:rPr>
        <w:t>(Stolze)</w:t>
      </w:r>
      <w:r>
        <w:rPr/>
        <w:t xml:space="preserve"> </w:t>
      </w:r>
      <w:r>
        <w:rPr>
          <w:rStyle w:val="Funotenanker"/>
        </w:rPr>
        <w:footnoteReference w:customMarkFollows="1" w:id="2102"/>
        <w:t>v</w:t>
      </w:r>
      <w:r>
        <w:rPr/>
        <w:t xml:space="preserve"> an der Gesinnung ihres Gemüts </w:t>
      </w:r>
      <w:r>
        <w:rPr>
          <w:color w:val="808080"/>
        </w:rPr>
        <w:t>(Hochmütige)</w:t>
      </w:r>
      <w:r>
        <w:rPr/>
        <w:t xml:space="preserve"> </w:t>
      </w:r>
      <w:r>
        <w:rPr>
          <w:rStyle w:val="Funotenanker"/>
        </w:rPr>
        <w:footnoteReference w:customMarkFollows="1" w:id="2103"/>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04"/>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05"/>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06"/>
        <w:t>z</w:t>
      </w:r>
      <w:r>
        <w:rPr/>
        <w:t xml:space="preserve"> bereichert </w:t>
      </w:r>
      <w:r>
        <w:rPr>
          <w:color w:val="808080"/>
        </w:rPr>
        <w:t>(füllt, sättigt)</w:t>
      </w:r>
      <w:r>
        <w:rPr/>
        <w:t xml:space="preserve"> </w:t>
      </w:r>
      <w:r>
        <w:rPr>
          <w:rStyle w:val="Funotenanker"/>
        </w:rPr>
        <w:footnoteReference w:customMarkFollows="1" w:id="2107"/>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08"/>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09"/>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10"/>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11"/>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12"/>
        <w:t>Status</w:t>
      </w:r>
      <w:r>
        <w:rPr/>
        <w:t xml:space="preserve"> Im fünfzehnten Herrschaftsjahr </w:t>
      </w:r>
      <w:r>
        <w:rPr>
          <w:strike/>
          <w:color w:val="808080"/>
        </w:rPr>
        <w:t>{aber}</w:t>
      </w:r>
      <w:r>
        <w:rPr/>
        <w:t xml:space="preserve"> des Kaisers Tiberius, als</w:t>
      </w:r>
      <w:r>
        <w:rPr>
          <w:rStyle w:val="Funotenanker"/>
        </w:rPr>
        <w:footnoteReference w:customMarkFollows="1" w:id="2113"/>
        <w:t>a</w:t>
      </w:r>
      <w:r>
        <w:rPr/>
        <w:t xml:space="preserve"> Pontius Pilatus über Judäa herrschte und als Herodes Vierfürst </w:t>
      </w:r>
      <w:r>
        <w:rPr>
          <w:color w:val="808080"/>
        </w:rPr>
        <w:t>(Tetrarch)</w:t>
      </w:r>
      <w:r>
        <w:rPr/>
        <w:t xml:space="preserve"> </w:t>
      </w:r>
      <w:r>
        <w:rPr>
          <w:rStyle w:val="Funotenanker"/>
        </w:rPr>
        <w:footnoteReference w:customMarkFollows="1" w:id="2114"/>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15"/>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16"/>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17"/>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18"/>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19"/>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2120"/>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21"/>
        <w:t>i</w:t>
      </w:r>
      <w:r>
        <w:rPr/>
        <w:t xml:space="preserve"> stärker ist als ich; ich bin unwürdig, diesem</w:t>
      </w:r>
      <w:r>
        <w:rPr>
          <w:rStyle w:val="Funotenanker"/>
        </w:rPr>
        <w:footnoteReference w:customMarkFollows="1" w:id="2122"/>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23"/>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24"/>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25"/>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26"/>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27"/>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28"/>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29"/>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30"/>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31"/>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32"/>
        <w:t>e</w:t>
      </w:r>
      <w:r>
        <w:rPr/>
        <w:t xml:space="preserve"> er ihnen zu: „Männer </w:t>
      </w:r>
      <w:r>
        <w:rPr>
          <w:color w:val="808080"/>
        </w:rPr>
        <w:t>(Kinder)</w:t>
      </w:r>
      <w:r>
        <w:rPr/>
        <w:t xml:space="preserve"> </w:t>
      </w:r>
      <w:r>
        <w:rPr>
          <w:rStyle w:val="Funotenanker"/>
        </w:rPr>
        <w:footnoteReference w:customMarkFollows="1" w:id="2133"/>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34"/>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35"/>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36"/>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37"/>
        <w:t>j</w:t>
      </w:r>
      <w:r>
        <w:rPr/>
        <w:t xml:space="preserve"> und stürzte sich ins Meer </w:t>
      </w:r>
      <w:r>
        <w:rPr>
          <w:color w:val="808080"/>
        </w:rPr>
        <w:t>(in den See)</w:t>
      </w:r>
      <w:r>
        <w:rPr/>
        <w:t xml:space="preserve"> </w:t>
      </w:r>
      <w:r>
        <w:rPr>
          <w:rStyle w:val="Funotenanker"/>
        </w:rPr>
        <w:footnoteReference w:customMarkFollows="1" w:id="2138"/>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39"/>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40"/>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41"/>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42"/>
        <w:t>o</w:t>
      </w:r>
      <w:r>
        <w:rPr/>
        <w:t>, und obwohl es so viele waren,</w:t>
      </w:r>
      <w:r>
        <w:rPr>
          <w:rStyle w:val="Funotenanker"/>
        </w:rPr>
        <w:footnoteReference w:customMarkFollows="1" w:id="2143"/>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44"/>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45"/>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46"/>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47"/>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48"/>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49"/>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50"/>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51"/>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52"/>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53"/>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154"/>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155"/>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156"/>
        <w:t>b</w:t>
      </w:r>
      <w:r>
        <w:rPr/>
        <w:t xml:space="preserve"> bekannt macht</w:t>
      </w:r>
      <w:r>
        <w:rPr>
          <w:rStyle w:val="Funotenanker"/>
        </w:rPr>
        <w:footnoteReference w:customMarkFollows="1" w:id="2157"/>
        <w:t>c</w:t>
      </w:r>
      <w:r>
        <w:rPr/>
        <w:t xml:space="preserve"> </w:t>
      </w:r>
      <w:r>
        <w:rPr>
          <w:color w:val="808080"/>
        </w:rPr>
        <w:t>(sichtbar macht; sehen lässt; zeigt)</w:t>
      </w:r>
      <w:r>
        <w:rPr/>
        <w:t xml:space="preserve"> </w:t>
      </w:r>
      <w:r>
        <w:rPr>
          <w:rStyle w:val="Funotenanker"/>
        </w:rPr>
        <w:footnoteReference w:customMarkFollows="1" w:id="2158"/>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159"/>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160"/>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161"/>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162"/>
        <w:t>h</w:t>
      </w:r>
      <w:r>
        <w:rPr/>
        <w:t xml:space="preserve"> vor Gott</w:t>
      </w:r>
      <w:r>
        <w:rPr>
          <w:rStyle w:val="Funotenanker"/>
        </w:rPr>
        <w:footnoteReference w:customMarkFollows="1" w:id="2163"/>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164"/>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165"/>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166"/>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167"/>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168"/>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169"/>
        <w:t>d</w:t>
      </w:r>
      <w:r>
        <w:rPr/>
        <w:t xml:space="preserve"> in Christus </w:t>
      </w:r>
      <w:r>
        <w:rPr>
          <w:color w:val="808080"/>
        </w:rPr>
        <w:t>(an Christus Glaubenden)</w:t>
      </w:r>
      <w:r>
        <w:rPr/>
        <w:t xml:space="preserve"> </w:t>
      </w:r>
      <w:r>
        <w:rPr>
          <w:rStyle w:val="Funotenanker"/>
        </w:rPr>
        <w:footnoteReference w:customMarkFollows="1" w:id="2170"/>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171"/>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172"/>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173"/>
        <w:t>h</w:t>
      </w:r>
      <w:r>
        <w:rPr/>
        <w:t xml:space="preserve"> gehört haben</w:t>
      </w:r>
      <w:r>
        <w:rPr>
          <w:rStyle w:val="Funotenanker"/>
        </w:rPr>
        <w:footnoteReference w:customMarkFollows="1" w:id="2174"/>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175"/>
        <w:t>j</w:t>
      </w:r>
      <w:r>
        <w:rPr/>
        <w:t xml:space="preserve"> der </w:t>
      </w:r>
      <w:r>
        <w:rPr>
          <w:color w:val="808080"/>
        </w:rPr>
        <w:t>(durch die)</w:t>
      </w:r>
      <w:r>
        <w:rPr/>
        <w:t xml:space="preserve"> Hoffnung, die im Himmel</w:t>
      </w:r>
      <w:r>
        <w:rPr>
          <w:rStyle w:val="Funotenanker"/>
        </w:rPr>
        <w:footnoteReference w:customMarkFollows="1" w:id="2176"/>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177"/>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178"/>
        <w:t>m</w:t>
      </w:r>
      <w:r>
        <w:rPr/>
        <w:t xml:space="preserve"> gehört habt,{{field-off:bible}} </w:t>
        <w:br/>
        <w:t>[[@BibleTOBIBLE:Col 1:6]]</w:t>
      </w:r>
      <w:r>
        <w:rPr>
          <w:b/>
        </w:rPr>
        <w:t>6</w:t>
      </w:r>
      <w:r>
        <w:rPr/>
        <w:t xml:space="preserve"> {{field-on:bible}}das zu euch gekommen ist,</w:t>
      </w:r>
      <w:r>
        <w:rPr>
          <w:rStyle w:val="Funotenanker"/>
        </w:rPr>
        <w:footnoteReference w:customMarkFollows="1" w:id="2179"/>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180"/>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181"/>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182"/>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183"/>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184"/>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185"/>
        <w:t>t</w:t>
      </w:r>
      <w:r>
        <w:rPr/>
        <w:t xml:space="preserve"> gelernt habt, der ein treuer Diener Christi an unserer Stelle </w:t>
      </w:r>
      <w:r>
        <w:rPr>
          <w:color w:val="808080"/>
        </w:rPr>
        <w:t>(für euch)</w:t>
      </w:r>
      <w:r>
        <w:rPr/>
        <w:t xml:space="preserve"> </w:t>
      </w:r>
      <w:r>
        <w:rPr>
          <w:rStyle w:val="Funotenanker"/>
        </w:rPr>
        <w:footnoteReference w:customMarkFollows="1" w:id="2186"/>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187"/>
        <w:t>v</w:t>
      </w:r>
      <w:r>
        <w:rPr/>
        <w:t xml:space="preserve"> deutlich gemacht </w:t>
      </w:r>
      <w:r>
        <w:rPr>
          <w:color w:val="808080"/>
        </w:rPr>
        <w:t>(aufgezeigt, offenbart)</w:t>
      </w:r>
      <w:r>
        <w:rPr/>
        <w:t xml:space="preserve"> hat.</w:t>
      </w:r>
      <w:r>
        <w:rPr>
          <w:rStyle w:val="Funotenanker"/>
        </w:rPr>
        <w:footnoteReference w:customMarkFollows="1" w:id="2188"/>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189"/>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190"/>
        <w:t>y</w:t>
      </w:r>
      <w:r>
        <w:rPr/>
        <w:t xml:space="preserve"> und innerlich </w:t>
      </w:r>
      <w:r>
        <w:rPr>
          <w:color w:val="808080"/>
        </w:rPr>
        <w:t>(in eurer Gesinnung, Denkweise, Geisteshaltung)</w:t>
      </w:r>
      <w:r>
        <w:rPr/>
        <w:t xml:space="preserve"> </w:t>
      </w:r>
      <w:r>
        <w:rPr>
          <w:rStyle w:val="Funotenanker"/>
        </w:rPr>
        <w:footnoteReference w:customMarkFollows="1" w:id="2191"/>
        <w:t>z</w:t>
      </w:r>
      <w:r>
        <w:rPr/>
        <w:t xml:space="preserve"> Feinde aufgrund </w:t>
      </w:r>
      <w:r>
        <w:rPr>
          <w:color w:val="808080"/>
        </w:rPr>
        <w:t>(in)</w:t>
      </w:r>
      <w:r>
        <w:rPr/>
        <w:t xml:space="preserve"> </w:t>
      </w:r>
      <w:r>
        <w:rPr>
          <w:rStyle w:val="Funotenanker"/>
        </w:rPr>
        <w:footnoteReference w:customMarkFollows="1" w:id="2192"/>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193"/>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194"/>
        <w:t>ac</w:t>
      </w:r>
      <w:r>
        <w:rPr/>
        <w:t xml:space="preserve"> seines fleischlichen Körpers</w:t>
      </w:r>
      <w:r>
        <w:rPr>
          <w:rStyle w:val="Funotenanker"/>
        </w:rPr>
        <w:footnoteReference w:customMarkFollows="1" w:id="2195"/>
        <w:t>ad</w:t>
      </w:r>
      <w:r>
        <w:rPr/>
        <w:t xml:space="preserve"> durch den Tod versöhnt</w:t>
      </w:r>
      <w:r>
        <w:rPr>
          <w:rStyle w:val="Funotenanker"/>
        </w:rPr>
        <w:footnoteReference w:customMarkFollows="1" w:id="2196"/>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197"/>
        <w:t>af</w:t>
      </w:r>
      <w:r>
        <w:rPr/>
        <w:t xml:space="preserve"> zu präsentieren </w:t>
      </w:r>
      <w:r>
        <w:rPr>
          <w:color w:val="808080"/>
        </w:rPr>
        <w:t>(zu machen, vor sich hinzustellen)</w:t>
      </w:r>
      <w:r>
        <w:rPr/>
        <w:t xml:space="preserve"> </w:t>
      </w:r>
      <w:r>
        <w:rPr>
          <w:rStyle w:val="Funotenanker"/>
        </w:rPr>
        <w:footnoteReference w:customMarkFollows="1" w:id="2198"/>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199"/>
        <w:t>ah</w:t>
      </w:r>
      <w:r>
        <w:rPr/>
        <w:t xml:space="preserve"> und sicher, und nicht von der Hoffnung des Evangeliums abgebracht werdet,</w:t>
      </w:r>
      <w:r>
        <w:rPr>
          <w:rStyle w:val="Funotenanker"/>
        </w:rPr>
        <w:footnoteReference w:customMarkFollows="1" w:id="2200"/>
        <w:t>ai</w:t>
      </w:r>
      <w:r>
        <w:rPr/>
        <w:t xml:space="preserve"> das ihr gehört habt, </w:t>
      </w:r>
      <w:r>
        <w:rPr>
          <w:b/>
          <w:color w:val="808080"/>
        </w:rPr>
        <w:t>[</w:t>
      </w:r>
      <w:r>
        <w:rPr/>
        <w:t>des Evangeliums</w:t>
      </w:r>
      <w:r>
        <w:rPr>
          <w:b/>
          <w:color w:val="808080"/>
        </w:rPr>
        <w:t>]</w:t>
      </w:r>
      <w:r>
        <w:rPr/>
        <w:t>,</w:t>
      </w:r>
      <w:r>
        <w:rPr>
          <w:rStyle w:val="Funotenanker"/>
        </w:rPr>
        <w:footnoteReference w:customMarkFollows="1" w:id="2201"/>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202"/>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203"/>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204"/>
        <w:t>a</w:t>
      </w:r>
      <w:r>
        <w:rPr/>
        <w:t xml:space="preserve"> Grüße! </w:t>
      </w:r>
      <w:r>
        <w:rPr>
          <w:rStyle w:val="Funotenanker"/>
        </w:rPr>
        <w:footnoteReference w:customMarkFollows="1" w:id="2205"/>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206"/>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207"/>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208"/>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209"/>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210"/>
        <w:t>g</w:t>
      </w:r>
      <w:r>
        <w:rPr/>
        <w:t xml:space="preserve"> soll ein vollkommenes Werk </w:t>
      </w:r>
      <w:r>
        <w:rPr>
          <w:color w:val="808080"/>
        </w:rPr>
        <w:t>(vollkommenes Handeln)</w:t>
      </w:r>
      <w:r>
        <w:rPr/>
        <w:t xml:space="preserve"> </w:t>
      </w:r>
      <w:r>
        <w:rPr>
          <w:rStyle w:val="Funotenanker"/>
        </w:rPr>
        <w:footnoteReference w:customMarkFollows="1" w:id="2211"/>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212"/>
        <w:t>i</w:t>
      </w:r>
      <w:r>
        <w:rPr/>
        <w:t xml:space="preserve"> , damit </w:t>
      </w:r>
      <w:r>
        <w:rPr>
          <w:color w:val="808080"/>
        </w:rPr>
        <w:t>(:)</w:t>
      </w:r>
      <w:r>
        <w:rPr/>
        <w:t xml:space="preserve"> </w:t>
      </w:r>
      <w:r>
        <w:rPr>
          <w:rStyle w:val="Funotenanker"/>
        </w:rPr>
        <w:footnoteReference w:customMarkFollows="1" w:id="2213"/>
        <w:t>j</w:t>
      </w:r>
      <w:r>
        <w:rPr/>
        <w:t xml:space="preserve"> ihr vollkommen und vollständig und </w:t>
      </w:r>
      <w:r>
        <w:rPr>
          <w:color w:val="808080"/>
        </w:rPr>
        <w:t>(indem, wenn, weil ihr)</w:t>
      </w:r>
      <w:r>
        <w:rPr/>
        <w:t xml:space="preserve"> </w:t>
      </w:r>
      <w:r>
        <w:rPr>
          <w:rStyle w:val="Funotenanker"/>
        </w:rPr>
        <w:footnoteReference w:customMarkFollows="1" w:id="2214"/>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215"/>
        <w:t>l</w:t>
      </w:r>
      <w:r>
        <w:rPr/>
        <w:t xml:space="preserve"> einem </w:t>
      </w:r>
      <w:r>
        <w:rPr>
          <w:color w:val="808080"/>
        </w:rPr>
        <w:t>(jemandem)</w:t>
      </w:r>
      <w:r>
        <w:rPr/>
        <w:t xml:space="preserve"> </w:t>
      </w:r>
      <w:r>
        <w:rPr>
          <w:rStyle w:val="Funotenanker"/>
        </w:rPr>
        <w:footnoteReference w:customMarkFollows="1" w:id="2216"/>
        <w:t>m</w:t>
      </w:r>
      <w:r>
        <w:rPr/>
        <w:t xml:space="preserve"> von euch an Weisheit </w:t>
      </w:r>
      <w:r>
        <w:rPr>
          <w:rStyle w:val="Funotenanker"/>
        </w:rPr>
        <w:footnoteReference w:customMarkFollows="1" w:id="2217"/>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218"/>
        <w:t>o</w:t>
      </w:r>
      <w:r>
        <w:rPr/>
        <w:t xml:space="preserve"> und ohne Vorwürfe </w:t>
      </w:r>
      <w:r>
        <w:rPr>
          <w:rStyle w:val="Funotenanker"/>
        </w:rPr>
        <w:footnoteReference w:customMarkFollows="1" w:id="2219"/>
        <w:t>p</w:t>
      </w:r>
      <w:r>
        <w:rPr/>
        <w:t xml:space="preserve"> gibt, </w:t>
      </w:r>
      <w:r>
        <w:rPr>
          <w:rStyle w:val="Funotenanker"/>
        </w:rPr>
        <w:footnoteReference w:customMarkFollows="1" w:id="2220"/>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221"/>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222"/>
        <w:t>s</w:t>
      </w:r>
      <w:r>
        <w:rPr/>
        <w:t xml:space="preserve"> </w:t>
      </w:r>
      <w:r>
        <w:rPr>
          <w:color w:val="808080"/>
        </w:rPr>
        <w:t>(keinerlei Bedenken haben)</w:t>
      </w:r>
      <w:r>
        <w:rPr/>
        <w:t xml:space="preserve">: Denn wer zweifelt </w:t>
      </w:r>
      <w:r>
        <w:rPr>
          <w:rStyle w:val="Funotenanker"/>
        </w:rPr>
        <w:footnoteReference w:customMarkFollows="1" w:id="2223"/>
        <w:t>t</w:t>
      </w:r>
      <w:r>
        <w:rPr/>
        <w:t xml:space="preserve"> , gleicht einer Meereswoge, die vom Wind bewegt und hin- und hergetrieben wird. </w:t>
      </w:r>
      <w:r>
        <w:rPr>
          <w:rStyle w:val="Funotenanker"/>
        </w:rPr>
        <w:footnoteReference w:customMarkFollows="1" w:id="2224"/>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225"/>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226"/>
        <w:t>w</w:t>
      </w:r>
      <w:r>
        <w:rPr/>
        <w:t>,</w:t>
      </w:r>
      <w:r>
        <w:rPr>
          <w:position w:val="8"/>
          <w:sz w:val="19"/>
        </w:rPr>
        <w:t>[[ ℘ &gt;&gt; BibleTOBIBLE:Jas 4:8]]</w:t>
      </w:r>
      <w:r>
        <w:rPr/>
        <w:t xml:space="preserve"> wankelmütig auf allen seinen Wegen </w:t>
      </w:r>
      <w:r>
        <w:rPr>
          <w:rStyle w:val="Funotenanker"/>
        </w:rPr>
        <w:footnoteReference w:customMarkFollows="1" w:id="2227"/>
        <w:t>x</w:t>
      </w:r>
      <w:r>
        <w:rPr/>
        <w:t xml:space="preserve"> {{field-off:bible}} </w:t>
        <w:br/>
        <w:t>[[@BibleTOBIBLE:Jas 1:9]]</w:t>
      </w:r>
      <w:r>
        <w:rPr>
          <w:b/>
        </w:rPr>
        <w:t>9</w:t>
      </w:r>
      <w:r>
        <w:rPr/>
        <w:t xml:space="preserve"> {{field-on:bible}}Stattdessen</w:t>
      </w:r>
      <w:r>
        <w:rPr>
          <w:rStyle w:val="Funotenanker"/>
        </w:rPr>
        <w:footnoteReference w:customMarkFollows="1" w:id="2228"/>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229"/>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230"/>
        <w:t>aa</w:t>
      </w:r>
      <w:r>
        <w:rPr/>
        <w:t xml:space="preserve"> aber seiner Erniedrigung, denn er wird wie eine Grasblüte</w:t>
      </w:r>
      <w:r>
        <w:rPr>
          <w:rStyle w:val="Funotenanker"/>
        </w:rPr>
        <w:footnoteReference w:customMarkFollows="1" w:id="2231"/>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232"/>
        <w:t>ac</w:t>
      </w:r>
      <w:r>
        <w:rPr/>
        <w:t xml:space="preserve"> mit dem heißen Wind </w:t>
      </w:r>
      <w:r>
        <w:rPr>
          <w:rStyle w:val="Funotenanker"/>
        </w:rPr>
        <w:footnoteReference w:customMarkFollows="1" w:id="2233"/>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234"/>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235"/>
        <w:t>af</w:t>
      </w:r>
      <w:r>
        <w:rPr/>
        <w:t xml:space="preserve">, der eine Bewährungsprobe </w:t>
      </w:r>
      <w:r>
        <w:rPr>
          <w:color w:val="808080"/>
        </w:rPr>
        <w:t>(Prüfung, Versuchung)</w:t>
      </w:r>
      <w:r>
        <w:rPr/>
        <w:t xml:space="preserve"> </w:t>
      </w:r>
      <w:r>
        <w:rPr>
          <w:rStyle w:val="Funotenanker"/>
        </w:rPr>
        <w:footnoteReference w:customMarkFollows="1" w:id="2236"/>
        <w:t>ag</w:t>
      </w:r>
      <w:r>
        <w:rPr/>
        <w:t xml:space="preserve"> </w:t>
      </w:r>
      <w:r>
        <w:rPr>
          <w:b/>
          <w:color w:val="808080"/>
        </w:rPr>
        <w:t>[</w:t>
      </w:r>
      <w:r>
        <w:rPr/>
        <w:t>standhaft</w:t>
      </w:r>
      <w:r>
        <w:rPr>
          <w:b/>
          <w:color w:val="808080"/>
        </w:rPr>
        <w:t>]</w:t>
      </w:r>
      <w:r>
        <w:rPr/>
        <w:t xml:space="preserve"> </w:t>
      </w:r>
      <w:r>
        <w:rPr>
          <w:rStyle w:val="Funotenanker"/>
        </w:rPr>
        <w:footnoteReference w:customMarkFollows="1" w:id="2237"/>
        <w:t>ah</w:t>
      </w:r>
      <w:r>
        <w:rPr/>
        <w:t xml:space="preserve"> erträgt, denn wenn </w:t>
      </w:r>
      <w:r>
        <w:rPr>
          <w:color w:val="808080"/>
        </w:rPr>
        <w:t>(weil, indem)</w:t>
      </w:r>
      <w:r>
        <w:rPr/>
        <w:t xml:space="preserve"> </w:t>
      </w:r>
      <w:r>
        <w:rPr>
          <w:rStyle w:val="Funotenanker"/>
        </w:rPr>
        <w:footnoteReference w:customMarkFollows="1" w:id="2238"/>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239"/>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240"/>
        <w:t>ak</w:t>
      </w:r>
      <w:r>
        <w:rPr/>
        <w:t xml:space="preserve"> denen verheißen hat, die ihn lieben</w:t>
      </w:r>
      <w:r>
        <w:rPr>
          <w:rStyle w:val="Funotenanker"/>
        </w:rPr>
        <w:footnoteReference w:customMarkFollows="1" w:id="2241"/>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242"/>
        <w:t>am</w:t>
      </w:r>
      <w:r>
        <w:rPr/>
        <w:t xml:space="preserve"> sagen</w:t>
      </w:r>
      <w:r>
        <w:rPr>
          <w:rStyle w:val="Funotenanker"/>
        </w:rPr>
        <w:footnoteReference w:customMarkFollows="1" w:id="2243"/>
        <w:t>an</w:t>
      </w:r>
      <w:r>
        <w:rPr/>
        <w:t xml:space="preserve">, </w:t>
      </w:r>
      <w:r>
        <w:rPr>
          <w:strike/>
          <w:color w:val="808080"/>
        </w:rPr>
        <w:t>{dass}</w:t>
      </w:r>
      <w:r>
        <w:rPr/>
        <w:t xml:space="preserve"> </w:t>
      </w:r>
      <w:r>
        <w:rPr>
          <w:rStyle w:val="Funotenanker"/>
        </w:rPr>
        <w:footnoteReference w:customMarkFollows="1" w:id="2244"/>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245"/>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246"/>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247"/>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248"/>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249"/>
        <w:t>at</w:t>
      </w:r>
      <w:r>
        <w:rPr/>
        <w:t xml:space="preserve">, gebiert Tod.{{field-off:bible}} </w:t>
        <w:br/>
        <w:t>[[@BibleTOBIBLE:Jas 1:16]]</w:t>
      </w:r>
      <w:r>
        <w:rPr>
          <w:b/>
        </w:rPr>
        <w:t>16</w:t>
      </w:r>
      <w:r>
        <w:rPr/>
        <w:t xml:space="preserve"> {{field-on:bible}}Lasst euch nicht täuschen</w:t>
      </w:r>
      <w:r>
        <w:rPr>
          <w:rStyle w:val="Funotenanker"/>
        </w:rPr>
        <w:footnoteReference w:customMarkFollows="1" w:id="2250"/>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251"/>
        <w:t>av</w:t>
      </w:r>
      <w:r>
        <w:rPr/>
        <w:t xml:space="preserve"> vom Vater der Lichter</w:t>
      </w:r>
      <w:r>
        <w:rPr>
          <w:rStyle w:val="Funotenanker"/>
        </w:rPr>
        <w:footnoteReference w:customMarkFollows="1" w:id="2252"/>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253"/>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254"/>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255"/>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256"/>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257"/>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258"/>
        <w:t>bc</w:t>
      </w:r>
      <w:r>
        <w:rPr/>
        <w:t>.</w:t>
      </w:r>
      <w:r>
        <w:rPr>
          <w:rStyle w:val="Funotenanker"/>
        </w:rPr>
        <w:footnoteReference w:customMarkFollows="1" w:id="2259"/>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260"/>
        <w:t>be</w:t>
      </w:r>
      <w:r>
        <w:rPr/>
        <w:t xml:space="preserve"> ab </w:t>
      </w:r>
      <w:r>
        <w:rPr>
          <w:b/>
          <w:color w:val="808080"/>
        </w:rPr>
        <w:t>[</w:t>
      </w:r>
      <w:r>
        <w:rPr/>
        <w:t>und</w:t>
      </w:r>
      <w:r>
        <w:rPr>
          <w:b/>
          <w:color w:val="808080"/>
        </w:rPr>
        <w:t>]</w:t>
      </w:r>
      <w:r>
        <w:rPr/>
        <w:t xml:space="preserve"> </w:t>
      </w:r>
      <w:r>
        <w:rPr>
          <w:rStyle w:val="Funotenanker"/>
        </w:rPr>
        <w:footnoteReference w:customMarkFollows="1" w:id="2261"/>
        <w:t>bf</w:t>
      </w:r>
      <w:r>
        <w:rPr/>
        <w:t xml:space="preserve"> nehmt das eingepflanzte Wort, das eure Seelen zu retten vermag, in Bescheidenheit</w:t>
      </w:r>
      <w:r>
        <w:rPr>
          <w:rStyle w:val="Funotenanker"/>
        </w:rPr>
        <w:footnoteReference w:customMarkFollows="1" w:id="2262"/>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263"/>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264"/>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265"/>
        <w:t>bj</w:t>
      </w:r>
      <w:r>
        <w:rPr/>
        <w:t xml:space="preserve"> in einem Spiegel betrachtet</w:t>
      </w:r>
      <w:r>
        <w:rPr>
          <w:rStyle w:val="Funotenanker"/>
        </w:rPr>
        <w:footnoteReference w:customMarkFollows="1" w:id="2266"/>
        <w:t>bk</w:t>
      </w:r>
      <w:r>
        <w:rPr/>
        <w:t xml:space="preserve"> –</w:t>
      </w:r>
      <w:r>
        <w:rPr>
          <w:rStyle w:val="Funotenanker"/>
        </w:rPr>
        <w:footnoteReference w:customMarkFollows="1" w:id="2267"/>
        <w:t>bl</w:t>
      </w:r>
      <w:r>
        <w:rPr/>
        <w:t xml:space="preserve"> {{field-off:bible}} </w:t>
        <w:br/>
        <w:t>[[@BibleTOBIBLE:Jas 1:24]]</w:t>
      </w:r>
      <w:r>
        <w:rPr>
          <w:b/>
        </w:rPr>
        <w:t>24</w:t>
      </w:r>
      <w:r>
        <w:rPr/>
        <w:t xml:space="preserve"> {{field-on:bible}}denn er betrachtet sich</w:t>
      </w:r>
      <w:r>
        <w:rPr>
          <w:rStyle w:val="Funotenanker"/>
        </w:rPr>
        <w:footnoteReference w:customMarkFollows="1" w:id="2268"/>
        <w:t>bm</w:t>
      </w:r>
      <w:r>
        <w:rPr/>
        <w:t xml:space="preserve"> und geht weg und vergisst sofort, wie er aussah</w:t>
      </w:r>
      <w:r>
        <w:rPr>
          <w:rStyle w:val="Funotenanker"/>
        </w:rPr>
        <w:footnoteReference w:customMarkFollows="1" w:id="2269"/>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270"/>
        <w:t>bo</w:t>
      </w:r>
      <w:r>
        <w:rPr/>
        <w:t xml:space="preserve"> und dabei bleibt</w:t>
      </w:r>
      <w:r>
        <w:rPr>
          <w:rStyle w:val="Funotenanker"/>
        </w:rPr>
        <w:footnoteReference w:customMarkFollows="1" w:id="2271"/>
        <w:t>bp</w:t>
      </w:r>
      <w:r>
        <w:rPr/>
        <w:t>, indem er kein vergesslicher Hörer</w:t>
      </w:r>
      <w:r>
        <w:rPr>
          <w:rStyle w:val="Funotenanker"/>
        </w:rPr>
        <w:footnoteReference w:customMarkFollows="1" w:id="2272"/>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273"/>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274"/>
        <w:t>bs</w:t>
      </w:r>
      <w:r>
        <w:rPr/>
        <w:t xml:space="preserve"> seine Zunge nicht im Zaum hält, sondern sein Herz betrügt</w:t>
      </w:r>
      <w:r>
        <w:rPr>
          <w:rStyle w:val="Funotenanker"/>
        </w:rPr>
        <w:footnoteReference w:customMarkFollows="1" w:id="2275"/>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276"/>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277"/>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278"/>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279"/>
        <w:t>a</w:t>
      </w:r>
      <w:r>
        <w:rPr/>
        <w:t xml:space="preserve"> der Herrlichkeit</w:t>
      </w:r>
      <w:r>
        <w:rPr>
          <w:rStyle w:val="Funotenanker"/>
        </w:rPr>
        <w:footnoteReference w:customMarkFollows="1" w:id="2280"/>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281"/>
        <w:t>c</w:t>
      </w:r>
      <w:r>
        <w:rPr/>
        <w:t xml:space="preserve"> ein Mann mit goldenen Ringen an den Fingern</w:t>
      </w:r>
      <w:r>
        <w:rPr>
          <w:rStyle w:val="Funotenanker"/>
        </w:rPr>
        <w:footnoteReference w:customMarkFollows="1" w:id="2282"/>
        <w:t>d</w:t>
      </w:r>
      <w:r>
        <w:rPr/>
        <w:t xml:space="preserve"> in prächtiger</w:t>
      </w:r>
      <w:r>
        <w:rPr>
          <w:rStyle w:val="Funotenanker"/>
        </w:rPr>
        <w:footnoteReference w:customMarkFollows="1" w:id="2283"/>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284"/>
        <w:t>f</w:t>
      </w:r>
      <w:r>
        <w:rPr/>
        <w:t>, und sagt: Setze du dich hier auf den guten Platz</w:t>
      </w:r>
      <w:r>
        <w:rPr>
          <w:rStyle w:val="Funotenanker"/>
        </w:rPr>
        <w:footnoteReference w:customMarkFollows="1" w:id="2285"/>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286"/>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287"/>
        <w:t>i</w:t>
      </w:r>
      <w:r>
        <w:rPr/>
        <w:t xml:space="preserve"> unterschieden</w:t>
      </w:r>
      <w:r>
        <w:rPr>
          <w:rStyle w:val="Funotenanker"/>
        </w:rPr>
        <w:footnoteReference w:customMarkFollows="1" w:id="2288"/>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289"/>
        <w:t>k</w:t>
      </w:r>
      <w:r>
        <w:rPr/>
        <w:t xml:space="preserve"> geworden?</w:t>
      </w:r>
      <w:r>
        <w:rPr>
          <w:rStyle w:val="Funotenanker"/>
        </w:rPr>
        <w:footnoteReference w:customMarkFollows="1" w:id="2290"/>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291"/>
        <w:t>m</w:t>
      </w:r>
      <w:r>
        <w:rPr/>
        <w:t xml:space="preserve"> Armen </w:t>
      </w:r>
      <w:r>
        <w:rPr>
          <w:b/>
          <w:color w:val="808080"/>
        </w:rPr>
        <w:t>[</w:t>
      </w:r>
      <w:r>
        <w:rPr/>
        <w:t>dazu</w:t>
      </w:r>
      <w:r>
        <w:rPr>
          <w:b/>
          <w:color w:val="808080"/>
        </w:rPr>
        <w:t>]</w:t>
      </w:r>
      <w:r>
        <w:rPr/>
        <w:t xml:space="preserve"> erwählt</w:t>
      </w:r>
      <w:r>
        <w:rPr>
          <w:rStyle w:val="Funotenanker"/>
        </w:rPr>
        <w:footnoteReference w:customMarkFollows="1" w:id="2292"/>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293"/>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294"/>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295"/>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296"/>
        <w:t>r</w:t>
      </w:r>
      <w:r>
        <w:rPr/>
        <w:t>.</w:t>
      </w:r>
      <w:r>
        <w:rPr>
          <w:rStyle w:val="Funotenanker"/>
        </w:rPr>
        <w:footnoteReference w:customMarkFollows="1" w:id="2297"/>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298"/>
        <w:t>t</w:t>
      </w:r>
      <w:r>
        <w:rPr/>
        <w:t xml:space="preserve"> </w:t>
      </w:r>
      <w:r>
        <w:rPr>
          <w:color w:val="808080"/>
        </w:rPr>
        <w:t>)</w:t>
      </w:r>
      <w:r>
        <w:rPr/>
        <w:t>, begeht ihr Sünde, indem ihr vom Gesetz als Übertreter</w:t>
      </w:r>
      <w:r>
        <w:rPr>
          <w:rStyle w:val="Funotenanker"/>
        </w:rPr>
        <w:footnoteReference w:customMarkFollows="1" w:id="2299"/>
        <w:t>u</w:t>
      </w:r>
      <w:r>
        <w:rPr/>
        <w:t xml:space="preserve"> überführt werdet</w:t>
      </w:r>
      <w:r>
        <w:rPr>
          <w:rStyle w:val="Funotenanker"/>
        </w:rPr>
        <w:footnoteReference w:customMarkFollows="1" w:id="2300"/>
        <w:t>v</w:t>
      </w:r>
      <w:r>
        <w:rPr/>
        <w:t>.</w:t>
      </w:r>
      <w:r>
        <w:rPr>
          <w:rStyle w:val="Funotenanker"/>
        </w:rPr>
        <w:footnoteReference w:customMarkFollows="1" w:id="2301"/>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302"/>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303"/>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304"/>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305"/>
        <w:t>aa</w:t>
      </w:r>
      <w:r>
        <w:rPr/>
        <w:t>.</w:t>
      </w:r>
      <w:r>
        <w:rPr>
          <w:rStyle w:val="Funotenanker"/>
        </w:rPr>
        <w:footnoteReference w:customMarkFollows="1" w:id="2306"/>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307"/>
        <w:t>ac</w:t>
      </w:r>
      <w:r>
        <w:rPr/>
        <w:t xml:space="preserve"> dem Gesetz der Freiheit gerichtet </w:t>
      </w:r>
      <w:r>
        <w:rPr>
          <w:color w:val="808080"/>
        </w:rPr>
        <w:t>(werden wollen)</w:t>
      </w:r>
      <w:r>
        <w:rPr/>
        <w:t xml:space="preserve"> </w:t>
      </w:r>
      <w:r>
        <w:rPr>
          <w:rStyle w:val="Funotenanker"/>
        </w:rPr>
        <w:footnoteReference w:customMarkFollows="1" w:id="2308"/>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309"/>
        <w:t>ae</w:t>
      </w:r>
      <w:r>
        <w:rPr/>
        <w:t xml:space="preserve"> meine Geschwister, wenn jemand Glauben zu haben behauptet, aber keine Werke hat?</w:t>
      </w:r>
      <w:r>
        <w:rPr>
          <w:rStyle w:val="Funotenanker"/>
        </w:rPr>
        <w:footnoteReference w:customMarkFollows="1" w:id="2310"/>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311"/>
        <w:t>ag</w:t>
      </w:r>
      <w:r>
        <w:rPr/>
        <w:t>, wärmt euch und esst euch satt!“, aber ihr gebt ihnen nicht, was für den Leib erforderlich ist</w:t>
      </w:r>
      <w:r>
        <w:rPr>
          <w:rStyle w:val="Funotenanker"/>
        </w:rPr>
        <w:footnoteReference w:customMarkFollows="1" w:id="2312"/>
        <w:t>ah</w:t>
      </w:r>
      <w:r>
        <w:rPr/>
        <w:t>, was nützt das</w:t>
      </w:r>
      <w:r>
        <w:rPr>
          <w:rStyle w:val="Funotenanker"/>
        </w:rPr>
        <w:footnoteReference w:customMarkFollows="1" w:id="2313"/>
        <w:t>ai</w:t>
      </w:r>
      <w:r>
        <w:rPr/>
        <w:t>?</w:t>
      </w:r>
      <w:r>
        <w:rPr>
          <w:rStyle w:val="Funotenanker"/>
        </w:rPr>
        <w:footnoteReference w:customMarkFollows="1" w:id="2314"/>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315"/>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316"/>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317"/>
        <w:t>am</w:t>
      </w:r>
      <w:r>
        <w:rPr/>
        <w:t xml:space="preserve"> – Du hast recht!</w:t>
      </w:r>
      <w:r>
        <w:rPr>
          <w:rStyle w:val="Funotenanker"/>
        </w:rPr>
        <w:footnoteReference w:customMarkFollows="1" w:id="2318"/>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319"/>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320"/>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321"/>
        <w:t>aq</w:t>
      </w:r>
      <w:r>
        <w:rPr/>
        <w:t xml:space="preserve">?{{field-off:bible}} </w:t>
        <w:br/>
        <w:t>[[@BibleTOBIBLE:Jas 2:22]]</w:t>
      </w:r>
      <w:r>
        <w:rPr>
          <w:b/>
        </w:rPr>
        <w:t>22</w:t>
      </w:r>
      <w:r>
        <w:rPr/>
        <w:t xml:space="preserve"> {{field-on:bible}}Du siehst, dass der Glaube mit seinen</w:t>
      </w:r>
      <w:r>
        <w:rPr>
          <w:rStyle w:val="Funotenanker"/>
        </w:rPr>
        <w:footnoteReference w:customMarkFollows="1" w:id="2322"/>
        <w:t>ar</w:t>
      </w:r>
      <w:r>
        <w:rPr/>
        <w:t xml:space="preserve"> Werken zusammenwirkte</w:t>
      </w:r>
      <w:r>
        <w:rPr>
          <w:rStyle w:val="Funotenanker"/>
        </w:rPr>
        <w:footnoteReference w:customMarkFollows="1" w:id="2323"/>
        <w:t>as</w:t>
      </w:r>
      <w:r>
        <w:rPr/>
        <w:t xml:space="preserve"> und durch die</w:t>
      </w:r>
      <w:r>
        <w:rPr>
          <w:rStyle w:val="Funotenanker"/>
        </w:rPr>
        <w:footnoteReference w:customMarkFollows="1" w:id="2324"/>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325"/>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326"/>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327"/>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328"/>
        <w:t>ax</w:t>
      </w:r>
      <w:r>
        <w:rPr/>
        <w:t xml:space="preserve"> hinausführte?</w:t>
      </w:r>
      <w:r>
        <w:rPr>
          <w:rStyle w:val="Funotenanker"/>
        </w:rPr>
        <w:footnoteReference w:customMarkFollows="1" w:id="2329"/>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330"/>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331"/>
        <w:t>a</w:t>
      </w:r>
      <w:r>
        <w:rPr/>
        <w:t xml:space="preserve"> meine Geschwister, denn ihr wisst,</w:t>
      </w:r>
      <w:r>
        <w:rPr>
          <w:rStyle w:val="Funotenanker"/>
        </w:rPr>
        <w:footnoteReference w:customMarkFollows="1" w:id="2332"/>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333"/>
        <w:t>c</w:t>
      </w:r>
      <w:r>
        <w:rPr/>
        <w:t xml:space="preserve"> vielfach </w:t>
      </w:r>
      <w:r>
        <w:rPr>
          <w:color w:val="808080"/>
        </w:rPr>
        <w:t>(in vieler Hinsicht)</w:t>
      </w:r>
      <w:r>
        <w:rPr/>
        <w:t>. Wenn jemand beim Reden</w:t>
      </w:r>
      <w:r>
        <w:rPr>
          <w:rStyle w:val="Funotenanker"/>
        </w:rPr>
        <w:footnoteReference w:customMarkFollows="1" w:id="2334"/>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335"/>
        <w:t>e</w:t>
      </w:r>
      <w:r>
        <w:rPr/>
        <w:t xml:space="preserve">, fähig, auch den ganzen Körper zu zügeln </w:t>
      </w:r>
      <w:r>
        <w:rPr>
          <w:color w:val="808080"/>
        </w:rPr>
        <w:t>(in Zaum zu halten)</w:t>
      </w:r>
      <w:r>
        <w:rPr/>
        <w:t>.</w:t>
      </w:r>
      <w:r>
        <w:rPr>
          <w:rStyle w:val="Funotenanker"/>
        </w:rPr>
        <w:footnoteReference w:customMarkFollows="1" w:id="2336"/>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337"/>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338"/>
        <w:t>h</w:t>
      </w:r>
      <w:r>
        <w:rPr/>
        <w:t xml:space="preserve"> legen, damit sie uns gehorchen,</w:t>
      </w:r>
      <w:r>
        <w:rPr>
          <w:rStyle w:val="Funotenanker"/>
        </w:rPr>
        <w:footnoteReference w:customMarkFollows="1" w:id="2339"/>
        <w:t>i</w:t>
      </w:r>
      <w:r>
        <w:rPr/>
        <w:t xml:space="preserve"> dann</w:t>
      </w:r>
      <w:r>
        <w:rPr>
          <w:rStyle w:val="Funotenanker"/>
        </w:rPr>
        <w:footnoteReference w:customMarkFollows="1" w:id="2340"/>
        <w:t>j</w:t>
      </w:r>
      <w:r>
        <w:rPr/>
        <w:t xml:space="preserve"> lenken wir ihren ganzen Körper.</w:t>
      </w:r>
      <w:r>
        <w:rPr>
          <w:rStyle w:val="Funotenanker"/>
        </w:rPr>
        <w:footnoteReference w:customMarkFollows="1" w:id="2341"/>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342"/>
        <w:t>l</w:t>
      </w:r>
      <w:r>
        <w:rPr/>
        <w:t xml:space="preserve"> werden sie von einem winzigen</w:t>
      </w:r>
      <w:r>
        <w:rPr>
          <w:rStyle w:val="Funotenanker"/>
        </w:rPr>
        <w:footnoteReference w:customMarkFollows="1" w:id="2343"/>
        <w:t>m</w:t>
      </w:r>
      <w:r>
        <w:rPr/>
        <w:t xml:space="preserve"> Steuerruder gelenkt, wohin die Absicht </w:t>
      </w:r>
      <w:r>
        <w:rPr>
          <w:color w:val="808080"/>
        </w:rPr>
        <w:t>(Drang, Eifer, Trachten)</w:t>
      </w:r>
      <w:r>
        <w:rPr/>
        <w:t xml:space="preserve"> </w:t>
      </w:r>
      <w:r>
        <w:rPr>
          <w:rStyle w:val="Funotenanker"/>
        </w:rPr>
        <w:footnoteReference w:customMarkFollows="1" w:id="2344"/>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345"/>
        <w:t>o</w:t>
      </w:r>
      <w:r>
        <w:rPr/>
        <w:t xml:space="preserve"> steht</w:t>
      </w:r>
      <w:r>
        <w:rPr>
          <w:rStyle w:val="Funotenanker"/>
        </w:rPr>
        <w:footnoteReference w:customMarkFollows="1" w:id="2346"/>
        <w:t>p</w:t>
      </w:r>
      <w:r>
        <w:rPr/>
        <w:t xml:space="preserve"> die Zunge unter unseren Gliedern da;</w:t>
      </w:r>
      <w:r>
        <w:rPr>
          <w:rStyle w:val="Funotenanker"/>
        </w:rPr>
        <w:footnoteReference w:customMarkFollows="1" w:id="2347"/>
        <w:t>q</w:t>
      </w:r>
      <w:r>
        <w:rPr/>
        <w:t xml:space="preserve"> sie, die den ganzen Körper beschmutzt und das Rad</w:t>
      </w:r>
      <w:r>
        <w:rPr>
          <w:rStyle w:val="Funotenanker"/>
        </w:rPr>
        <w:footnoteReference w:customMarkFollows="1" w:id="2348"/>
        <w:t>r</w:t>
      </w:r>
      <w:r>
        <w:rPr/>
        <w:t xml:space="preserve"> des Werdens</w:t>
      </w:r>
      <w:r>
        <w:rPr>
          <w:rStyle w:val="Funotenanker"/>
        </w:rPr>
        <w:footnoteReference w:customMarkFollows="1" w:id="2349"/>
        <w:t>s</w:t>
      </w:r>
      <w:r>
        <w:rPr/>
        <w:t xml:space="preserve"> in Brand setzt,</w:t>
      </w:r>
      <w:r>
        <w:rPr>
          <w:rStyle w:val="Funotenanker"/>
        </w:rPr>
        <w:footnoteReference w:customMarkFollows="1" w:id="2350"/>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351"/>
        <w:t>u</w:t>
      </w:r>
      <w:r>
        <w:rPr/>
        <w:t xml:space="preserve"> in Brand gesetzt.</w:t>
      </w:r>
      <w:r>
        <w:rPr>
          <w:rStyle w:val="Funotenanker"/>
        </w:rPr>
        <w:footnoteReference w:customMarkFollows="1" w:id="2352"/>
        <w:t>v</w:t>
      </w:r>
      <w:r>
        <w:rPr/>
        <w:t xml:space="preserve"> {{field-off:bible}} </w:t>
        <w:br/>
        <w:t>[[@BibleTOBIBLE:Jas 3:7]]</w:t>
      </w:r>
      <w:r>
        <w:rPr>
          <w:b/>
        </w:rPr>
        <w:t>7</w:t>
      </w:r>
      <w:r>
        <w:rPr/>
        <w:t xml:space="preserve"> {{field-on:bible}}Jede</w:t>
      </w:r>
      <w:r>
        <w:rPr>
          <w:rStyle w:val="Funotenanker"/>
        </w:rPr>
        <w:footnoteReference w:customMarkFollows="1" w:id="2353"/>
        <w:t>w</w:t>
      </w:r>
      <w:r>
        <w:rPr/>
        <w:t xml:space="preserve"> Art </w:t>
      </w:r>
      <w:r>
        <w:rPr>
          <w:b/>
          <w:color w:val="808080"/>
        </w:rPr>
        <w:t>[</w:t>
      </w:r>
      <w:r>
        <w:rPr/>
        <w:t>der</w:t>
      </w:r>
      <w:r>
        <w:rPr>
          <w:b/>
          <w:color w:val="808080"/>
        </w:rPr>
        <w:t>]</w:t>
      </w:r>
      <w:r>
        <w:rPr/>
        <w:t xml:space="preserve"> Säugetiere</w:t>
      </w:r>
      <w:r>
        <w:rPr>
          <w:rStyle w:val="Funotenanker"/>
        </w:rPr>
        <w:footnoteReference w:customMarkFollows="1" w:id="2354"/>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355"/>
        <w:t>y</w:t>
      </w:r>
      <w:r>
        <w:rPr/>
        <w:t xml:space="preserve"> gezähmt worden</w:t>
      </w:r>
      <w:r>
        <w:rPr>
          <w:rStyle w:val="Funotenanker"/>
        </w:rPr>
        <w:footnoteReference w:customMarkFollows="1" w:id="2356"/>
        <w:t>z</w:t>
      </w:r>
      <w:r>
        <w:rPr/>
        <w:t xml:space="preserve">,{{field-off:bible}} </w:t>
        <w:br/>
        <w:t>[[@BibleTOBIBLE:Jas 3:8]]</w:t>
      </w:r>
      <w:r>
        <w:rPr>
          <w:b/>
        </w:rPr>
        <w:t>8</w:t>
      </w:r>
      <w:r>
        <w:rPr/>
        <w:t xml:space="preserve"> {{field-on:bible}}aber die Zunge vermag kein Mensch</w:t>
      </w:r>
      <w:r>
        <w:rPr>
          <w:rStyle w:val="Funotenanker"/>
        </w:rPr>
        <w:footnoteReference w:customMarkFollows="1" w:id="2357"/>
        <w:t>aa</w:t>
      </w:r>
      <w:r>
        <w:rPr/>
        <w:t xml:space="preserve"> zu bändigen, </w:t>
      </w:r>
      <w:r>
        <w:rPr>
          <w:b/>
          <w:color w:val="808080"/>
        </w:rPr>
        <w:t>[</w:t>
      </w:r>
      <w:r>
        <w:rPr/>
        <w:t>das</w:t>
      </w:r>
      <w:r>
        <w:rPr>
          <w:b/>
          <w:color w:val="808080"/>
        </w:rPr>
        <w:t>]</w:t>
      </w:r>
      <w:r>
        <w:rPr/>
        <w:t xml:space="preserve"> </w:t>
      </w:r>
      <w:r>
        <w:rPr>
          <w:rStyle w:val="Funotenanker"/>
        </w:rPr>
        <w:footnoteReference w:customMarkFollows="1" w:id="2358"/>
        <w:t>ab</w:t>
      </w:r>
      <w:r>
        <w:rPr/>
        <w:t xml:space="preserve"> ruhelose </w:t>
      </w:r>
      <w:r>
        <w:rPr>
          <w:color w:val="808080"/>
        </w:rPr>
        <w:t>(unruhige</w:t>
      </w:r>
      <w:r>
        <w:rPr/>
        <w:t xml:space="preserve"> </w:t>
      </w:r>
      <w:r>
        <w:rPr>
          <w:rStyle w:val="Funotenanker"/>
        </w:rPr>
        <w:footnoteReference w:customMarkFollows="1" w:id="2359"/>
        <w:t>ac</w:t>
      </w:r>
      <w:r>
        <w:rPr/>
        <w:t xml:space="preserve"> </w:t>
      </w:r>
      <w:r>
        <w:rPr>
          <w:color w:val="808080"/>
        </w:rPr>
        <w:t>, unkontrollierte</w:t>
      </w:r>
      <w:r>
        <w:rPr/>
        <w:t xml:space="preserve"> </w:t>
      </w:r>
      <w:r>
        <w:rPr>
          <w:rStyle w:val="Funotenanker"/>
        </w:rPr>
        <w:footnoteReference w:customMarkFollows="1" w:id="2360"/>
        <w:t>ad</w:t>
      </w:r>
      <w:r>
        <w:rPr/>
        <w:t xml:space="preserve"> </w:t>
      </w:r>
      <w:r>
        <w:rPr>
          <w:color w:val="808080"/>
        </w:rPr>
        <w:t>, wankelmütige</w:t>
      </w:r>
      <w:r>
        <w:rPr/>
        <w:t xml:space="preserve"> </w:t>
      </w:r>
      <w:r>
        <w:rPr>
          <w:rStyle w:val="Funotenanker"/>
        </w:rPr>
        <w:footnoteReference w:customMarkFollows="1" w:id="2361"/>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362"/>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363"/>
        <w:t>ag</w:t>
      </w:r>
      <w:r>
        <w:rPr/>
        <w:t>:</w:t>
      </w:r>
      <w:r>
        <w:rPr>
          <w:rStyle w:val="Funotenanker"/>
        </w:rPr>
        <w:footnoteReference w:customMarkFollows="1" w:id="2364"/>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365"/>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366"/>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367"/>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368"/>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369"/>
        <w:t>am</w:t>
      </w:r>
      <w:r>
        <w:rPr/>
        <w:t xml:space="preserve"> unter euch? Er soll durch</w:t>
      </w:r>
      <w:r>
        <w:rPr>
          <w:rStyle w:val="Funotenanker"/>
        </w:rPr>
        <w:footnoteReference w:customMarkFollows="1" w:id="2370"/>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371"/>
        <w:t>ao</w:t>
      </w:r>
      <w:r>
        <w:rPr/>
        <w:t xml:space="preserve"> </w:t>
      </w:r>
      <w:r>
        <w:rPr>
          <w:b/>
          <w:color w:val="808080"/>
        </w:rPr>
        <w:t>[</w:t>
      </w:r>
      <w:r>
        <w:rPr/>
        <w:t>aus</w:t>
      </w:r>
      <w:r>
        <w:rPr>
          <w:b/>
          <w:color w:val="808080"/>
        </w:rPr>
        <w:t>]</w:t>
      </w:r>
      <w:r>
        <w:rPr/>
        <w:t xml:space="preserve"> Weisheit</w:t>
      </w:r>
      <w:r>
        <w:rPr>
          <w:rStyle w:val="Funotenanker"/>
        </w:rPr>
        <w:footnoteReference w:customMarkFollows="1" w:id="2372"/>
        <w:t>ap</w:t>
      </w:r>
      <w:r>
        <w:rPr/>
        <w:t xml:space="preserve"> erweisen </w:t>
      </w:r>
      <w:r>
        <w:rPr>
          <w:color w:val="808080"/>
        </w:rPr>
        <w:t>(muss erweisen</w:t>
      </w:r>
      <w:r>
        <w:rPr/>
        <w:t xml:space="preserve"> </w:t>
      </w:r>
      <w:r>
        <w:rPr>
          <w:rStyle w:val="Funotenanker"/>
        </w:rPr>
        <w:footnoteReference w:customMarkFollows="1" w:id="2373"/>
        <w:t>aq</w:t>
      </w:r>
      <w:r>
        <w:rPr/>
        <w:t xml:space="preserve"> </w:t>
      </w:r>
      <w:r>
        <w:rPr>
          <w:color w:val="808080"/>
        </w:rPr>
        <w:t>)</w:t>
      </w:r>
      <w:r>
        <w:rPr/>
        <w:t xml:space="preserve"> </w:t>
      </w:r>
      <w:r>
        <w:rPr>
          <w:rStyle w:val="Funotenanker"/>
        </w:rPr>
        <w:footnoteReference w:customMarkFollows="1" w:id="2374"/>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375"/>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376"/>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377"/>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378"/>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379"/>
        <w:t>aw</w:t>
      </w:r>
      <w:r>
        <w:rPr/>
        <w:t xml:space="preserve"> gemeinem </w:t>
      </w:r>
      <w:r>
        <w:rPr>
          <w:color w:val="808080"/>
        </w:rPr>
        <w:t>(niederem, schlimmem)</w:t>
      </w:r>
      <w:r>
        <w:rPr/>
        <w:t xml:space="preserve"> </w:t>
      </w:r>
      <w:r>
        <w:rPr>
          <w:rStyle w:val="Funotenanker"/>
        </w:rPr>
        <w:footnoteReference w:customMarkFollows="1" w:id="2380"/>
        <w:t>ax</w:t>
      </w:r>
      <w:r>
        <w:rPr/>
        <w:t xml:space="preserve"> Tun </w:t>
      </w:r>
      <w:r>
        <w:rPr>
          <w:color w:val="808080"/>
        </w:rPr>
        <w:t>(Sache, Tat; Rechtsstreit</w:t>
      </w:r>
      <w:r>
        <w:rPr/>
        <w:t xml:space="preserve"> </w:t>
      </w:r>
      <w:r>
        <w:rPr>
          <w:rStyle w:val="Funotenanker"/>
        </w:rPr>
        <w:footnoteReference w:customMarkFollows="1" w:id="2381"/>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382"/>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383"/>
        <w:t>ba</w:t>
      </w:r>
      <w:r>
        <w:rPr/>
        <w:t xml:space="preserve"> </w:t>
      </w:r>
      <w:r>
        <w:rPr>
          <w:b/>
          <w:color w:val="808080"/>
        </w:rPr>
        <w:t>[</w:t>
      </w:r>
      <w:r>
        <w:rPr/>
        <w:t>die</w:t>
      </w:r>
      <w:r>
        <w:rPr>
          <w:b/>
          <w:color w:val="808080"/>
        </w:rPr>
        <w:t>]</w:t>
      </w:r>
      <w:r>
        <w:rPr/>
        <w:t xml:space="preserve"> Ernte</w:t>
      </w:r>
      <w:r>
        <w:rPr>
          <w:rStyle w:val="Funotenanker"/>
        </w:rPr>
        <w:footnoteReference w:customMarkFollows="1" w:id="2384"/>
        <w:t>bb</w:t>
      </w:r>
      <w:r>
        <w:rPr/>
        <w:t xml:space="preserve"> </w:t>
      </w:r>
      <w:r>
        <w:rPr>
          <w:b/>
          <w:color w:val="808080"/>
        </w:rPr>
        <w:t>[</w:t>
      </w:r>
      <w:r>
        <w:rPr/>
        <w:t>der</w:t>
      </w:r>
      <w:r>
        <w:rPr>
          <w:b/>
          <w:color w:val="808080"/>
        </w:rPr>
        <w:t>]</w:t>
      </w:r>
      <w:r>
        <w:rPr/>
        <w:t xml:space="preserve"> Gerechtigkeit</w:t>
      </w:r>
      <w:r>
        <w:rPr>
          <w:rStyle w:val="Funotenanker"/>
        </w:rPr>
        <w:footnoteReference w:customMarkFollows="1" w:id="2385"/>
        <w:t>bc</w:t>
      </w:r>
      <w:r>
        <w:rPr/>
        <w:t xml:space="preserve"> wird in Frieden gesät für</w:t>
      </w:r>
      <w:r>
        <w:rPr>
          <w:rStyle w:val="Funotenanker"/>
        </w:rPr>
        <w:footnoteReference w:customMarkFollows="1" w:id="2386"/>
        <w:t>bd</w:t>
      </w:r>
      <w:r>
        <w:rPr/>
        <w:t xml:space="preserve"> jene, die Frieden stiften</w:t>
      </w:r>
      <w:r>
        <w:rPr>
          <w:rStyle w:val="Funotenanker"/>
        </w:rPr>
        <w:footnoteReference w:customMarkFollows="1" w:id="2387"/>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388"/>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389"/>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390"/>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391"/>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392"/>
        <w:t>d</w:t>
      </w:r>
      <w:r>
        <w:rPr/>
        <w:t xml:space="preserve"> nicht, ihr mordet </w:t>
      </w:r>
      <w:r>
        <w:rPr>
          <w:color w:val="808080"/>
        </w:rPr>
        <w:t>(tötet; beneidet)</w:t>
      </w:r>
      <w:r>
        <w:rPr/>
        <w:t xml:space="preserve"> </w:t>
      </w:r>
      <w:r>
        <w:rPr>
          <w:rStyle w:val="Funotenanker"/>
        </w:rPr>
        <w:footnoteReference w:customMarkFollows="1" w:id="2393"/>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394"/>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395"/>
        <w:t>g</w:t>
      </w:r>
      <w:r>
        <w:rPr/>
        <w:t>;</w:t>
      </w:r>
      <w:r>
        <w:rPr>
          <w:rStyle w:val="Funotenanker"/>
        </w:rPr>
        <w:footnoteReference w:customMarkFollows="1" w:id="2396"/>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397"/>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398"/>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399"/>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400"/>
        <w:t>l</w:t>
      </w:r>
      <w:r>
        <w:rPr/>
        <w:t xml:space="preserve"> jeder, der</w:t>
      </w:r>
      <w:r>
        <w:rPr>
          <w:rStyle w:val="Funotenanker"/>
        </w:rPr>
        <w:footnoteReference w:customMarkFollows="1" w:id="2401"/>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402"/>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403"/>
        <w:t>o</w:t>
      </w:r>
      <w:r>
        <w:rPr/>
        <w:t xml:space="preserve"> den er in uns wohnen ließ,</w:t>
      </w:r>
      <w:r>
        <w:rPr>
          <w:rStyle w:val="Funotenanker"/>
        </w:rPr>
        <w:footnoteReference w:customMarkFollows="1" w:id="2404"/>
        <w:t>p</w:t>
      </w:r>
      <w:r>
        <w:rPr/>
        <w:t xml:space="preserve"> {{field-off:bible}} </w:t>
        <w:br/>
        <w:t>[[@BibleTOBIBLE:Jas 4:6]]</w:t>
      </w:r>
      <w:r>
        <w:rPr>
          <w:b/>
        </w:rPr>
        <w:t>6</w:t>
      </w:r>
      <w:r>
        <w:rPr/>
        <w:t xml:space="preserve"> {{field-on:bible}}aber er gibt umso größere Gnade?</w:t>
      </w:r>
      <w:r>
        <w:rPr>
          <w:rStyle w:val="Funotenanker"/>
        </w:rPr>
        <w:footnoteReference w:customMarkFollows="1" w:id="2405"/>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406"/>
        <w:t>r</w:t>
      </w:r>
      <w:r>
        <w:rPr/>
        <w:t xml:space="preserve"> </w:t>
      </w:r>
      <w:r>
        <w:rPr>
          <w:color w:val="808080"/>
        </w:rPr>
        <w:t>)</w:t>
      </w:r>
      <w:r>
        <w:rPr/>
        <w:t xml:space="preserve"> aber gibt er Gnade.“</w:t>
      </w:r>
      <w:r>
        <w:rPr>
          <w:rStyle w:val="Funotenanker"/>
        </w:rPr>
        <w:footnoteReference w:customMarkFollows="1" w:id="2407"/>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408"/>
        <w:t>t</w:t>
      </w:r>
      <w:r>
        <w:rPr/>
        <w:t xml:space="preserve">;{{field-off:bible}} </w:t>
        <w:br/>
        <w:t>[[@BibleTOBIBLE:Jas 4:8]]</w:t>
      </w:r>
      <w:r>
        <w:rPr>
          <w:b/>
        </w:rPr>
        <w:t>8</w:t>
      </w:r>
      <w:r>
        <w:rPr/>
        <w:t xml:space="preserve"> {{field-on:bible}}nähert euch</w:t>
      </w:r>
      <w:r>
        <w:rPr>
          <w:rStyle w:val="Funotenanker"/>
        </w:rPr>
        <w:footnoteReference w:customMarkFollows="1" w:id="2409"/>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410"/>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411"/>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412"/>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413"/>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414"/>
        <w:t>z</w:t>
      </w:r>
      <w:r>
        <w:rPr/>
        <w:t xml:space="preserve"> verleumdet oder seinen Bruder verurteilt</w:t>
      </w:r>
      <w:r>
        <w:rPr>
          <w:rStyle w:val="Funotenanker"/>
        </w:rPr>
        <w:footnoteReference w:customMarkFollows="1" w:id="2415"/>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416"/>
        <w:t>ab</w:t>
      </w:r>
      <w:r>
        <w:rPr/>
        <w:t xml:space="preserve"> {{field-off:bible}} </w:t>
        <w:br/>
        <w:t>[[@BibleTOBIBLE:Jas 4:12]]</w:t>
      </w:r>
      <w:r>
        <w:rPr>
          <w:b/>
        </w:rPr>
        <w:t>12</w:t>
      </w:r>
      <w:r>
        <w:rPr/>
        <w:t xml:space="preserve"> {{field-on:bible}}Einer ist</w:t>
      </w:r>
      <w:r>
        <w:rPr>
          <w:rStyle w:val="Funotenanker"/>
        </w:rPr>
        <w:footnoteReference w:customMarkFollows="1" w:id="2417"/>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418"/>
        <w:t>ad</w:t>
      </w:r>
      <w:r>
        <w:rPr/>
        <w:t xml:space="preserve">?{{field-off:bible}} </w:t>
        <w:br/>
        <w:t>[[@BibleTOBIBLE:Jas 4:13]]</w:t>
      </w:r>
      <w:r>
        <w:rPr>
          <w:b/>
        </w:rPr>
        <w:t>13</w:t>
      </w:r>
      <w:r>
        <w:rPr/>
        <w:t xml:space="preserve"> {{field-on:bible}}Jetzt zu euch</w:t>
      </w:r>
      <w:r>
        <w:rPr>
          <w:rStyle w:val="Funotenanker"/>
        </w:rPr>
        <w:footnoteReference w:customMarkFollows="1" w:id="2419"/>
        <w:t>ae</w:t>
      </w:r>
      <w:r>
        <w:rPr/>
        <w:t>, die ihr sagt</w:t>
      </w:r>
      <w:r>
        <w:rPr>
          <w:rStyle w:val="Funotenanker"/>
        </w:rPr>
        <w:footnoteReference w:customMarkFollows="1" w:id="2420"/>
        <w:t>af</w:t>
      </w:r>
      <w:r>
        <w:rPr/>
        <w:t>: „Heute oder morgen wollen</w:t>
      </w:r>
      <w:r>
        <w:rPr>
          <w:rStyle w:val="Funotenanker"/>
        </w:rPr>
        <w:footnoteReference w:customMarkFollows="1" w:id="2421"/>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422"/>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423"/>
        <w:t>ai</w:t>
      </w:r>
      <w:r>
        <w:rPr/>
        <w:t xml:space="preserve"> — ihr seid nämlich</w:t>
      </w:r>
      <w:r>
        <w:rPr>
          <w:rStyle w:val="Funotenanker"/>
        </w:rPr>
        <w:footnoteReference w:customMarkFollows="1" w:id="2424"/>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425"/>
        <w:t>ak</w:t>
      </w:r>
      <w:r>
        <w:rPr/>
        <w:t xml:space="preserve"> </w:t>
      </w:r>
      <w:r>
        <w:rPr>
          <w:color w:val="808080"/>
        </w:rPr>
        <w:t>)</w:t>
      </w:r>
      <w:r>
        <w:rPr/>
        <w:t xml:space="preserve"> </w:t>
      </w:r>
      <w:r>
        <w:rPr>
          <w:rStyle w:val="Funotenanker"/>
        </w:rPr>
        <w:footnoteReference w:customMarkFollows="1" w:id="2426"/>
        <w:t>al</w:t>
      </w:r>
      <w:r>
        <w:rPr/>
        <w:t xml:space="preserve"> und dann </w:t>
      </w:r>
      <w:r>
        <w:rPr>
          <w:color w:val="808080"/>
        </w:rPr>
        <w:t>(danach)</w:t>
      </w:r>
      <w:r>
        <w:rPr/>
        <w:t xml:space="preserve"> verschwindet</w:t>
      </w:r>
      <w:r>
        <w:rPr>
          <w:rStyle w:val="Funotenanker"/>
        </w:rPr>
        <w:footnoteReference w:customMarkFollows="1" w:id="2427"/>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428"/>
        <w:t>an</w:t>
      </w:r>
      <w:r>
        <w:rPr/>
        <w:t xml:space="preserve"> ihr sagen: „Wenn der Herr will, dann werden wir leben und dieses oder jenes tun.“</w:t>
      </w:r>
      <w:r>
        <w:rPr>
          <w:rStyle w:val="Funotenanker"/>
        </w:rPr>
        <w:footnoteReference w:customMarkFollows="1" w:id="2429"/>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430"/>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431"/>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432"/>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433"/>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434"/>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435"/>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436"/>
        <w:t>b</w:t>
      </w:r>
      <w:r>
        <w:rPr/>
        <w:t xml:space="preserve">.{{field-off:bible}} </w:t>
        <w:br/>
        <w:t>[[@BibleTOBIBLE:Jas 5:2]]</w:t>
      </w:r>
      <w:r>
        <w:rPr>
          <w:b/>
        </w:rPr>
        <w:t>2</w:t>
      </w:r>
      <w:r>
        <w:rPr/>
        <w:t xml:space="preserve"> {{field-on:bible}}Euer Reichtum ist vermodert</w:t>
      </w:r>
      <w:r>
        <w:rPr>
          <w:rStyle w:val="Funotenanker"/>
        </w:rPr>
        <w:footnoteReference w:customMarkFollows="1" w:id="2437"/>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438"/>
        <w:t>d</w:t>
      </w:r>
      <w:r>
        <w:rPr/>
        <w:t xml:space="preserve">.{{field-off:bible}} </w:t>
        <w:br/>
        <w:t>[[@BibleTOBIBLE:Jas 5:3]]</w:t>
      </w:r>
      <w:r>
        <w:rPr>
          <w:b/>
        </w:rPr>
        <w:t>3</w:t>
      </w:r>
      <w:r>
        <w:rPr/>
        <w:t xml:space="preserve"> {{field-on:bible}}Euer Gold und Silber sind verrostet</w:t>
      </w:r>
      <w:r>
        <w:rPr>
          <w:rStyle w:val="Funotenanker"/>
        </w:rPr>
        <w:footnoteReference w:customMarkFollows="1" w:id="2439"/>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440"/>
        <w:t>f</w:t>
      </w:r>
      <w:r>
        <w:rPr/>
        <w:t xml:space="preserve"> und euer Fleisch</w:t>
      </w:r>
      <w:r>
        <w:rPr>
          <w:rStyle w:val="Funotenanker"/>
        </w:rPr>
        <w:footnoteReference w:customMarkFollows="1" w:id="2441"/>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442"/>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443"/>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444"/>
        <w:t>j</w:t>
      </w:r>
      <w:r>
        <w:rPr/>
        <w:t>, schreit,</w:t>
      </w:r>
      <w:r>
        <w:rPr>
          <w:rStyle w:val="Funotenanker"/>
        </w:rPr>
        <w:footnoteReference w:customMarkFollows="1" w:id="2445"/>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446"/>
        <w:t>l</w:t>
      </w:r>
      <w:r>
        <w:rPr/>
        <w:t xml:space="preserve"> hingekommen.{{field-off:bible}} </w:t>
        <w:br/>
        <w:t>[[@BibleTOBIBLE:Jas 5:5]]</w:t>
      </w:r>
      <w:r>
        <w:rPr>
          <w:b/>
        </w:rPr>
        <w:t>5</w:t>
      </w:r>
      <w:r>
        <w:rPr/>
        <w:t xml:space="preserve"> {{field-on:bible}}Ihr habt geschwelgt</w:t>
      </w:r>
      <w:r>
        <w:rPr>
          <w:rStyle w:val="Funotenanker"/>
        </w:rPr>
        <w:footnoteReference w:customMarkFollows="1" w:id="2447"/>
        <w:t>m</w:t>
      </w:r>
      <w:r>
        <w:rPr/>
        <w:t xml:space="preserve"> auf der Erde und üppig gelebt</w:t>
      </w:r>
      <w:r>
        <w:rPr>
          <w:rStyle w:val="Funotenanker"/>
        </w:rPr>
        <w:footnoteReference w:customMarkFollows="1" w:id="2448"/>
        <w:t>n</w:t>
      </w:r>
      <w:r>
        <w:rPr/>
        <w:t>, ihr habt eure Herzen am</w:t>
      </w:r>
      <w:r>
        <w:rPr>
          <w:rStyle w:val="Funotenanker"/>
        </w:rPr>
        <w:footnoteReference w:customMarkFollows="1" w:id="2449"/>
        <w:t>o</w:t>
      </w:r>
      <w:r>
        <w:rPr/>
        <w:t xml:space="preserve"> Schlachttag</w:t>
      </w:r>
      <w:r>
        <w:rPr>
          <w:rStyle w:val="Funotenanker"/>
        </w:rPr>
        <w:footnoteReference w:customMarkFollows="1" w:id="2450"/>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451"/>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452"/>
        <w:t>r</w:t>
      </w:r>
      <w:r>
        <w:rPr/>
        <w:t xml:space="preserve"> er leistet euch keinen Widerstand.</w:t>
      </w:r>
      <w:r>
        <w:rPr>
          <w:rStyle w:val="Funotenanker"/>
        </w:rPr>
        <w:footnoteReference w:customMarkFollows="1" w:id="2453"/>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454"/>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455"/>
        <w:t>u</w:t>
      </w:r>
      <w:r>
        <w:rPr/>
        <w:t xml:space="preserve"> bis sie den Früh- und den Spätregen empfangen hat.</w:t>
      </w:r>
      <w:r>
        <w:rPr>
          <w:rStyle w:val="Funotenanker"/>
        </w:rPr>
        <w:footnoteReference w:customMarkFollows="1" w:id="2456"/>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457"/>
        <w:t>w</w:t>
      </w:r>
      <w:r>
        <w:rPr/>
        <w:t xml:space="preserve">!{{field-off:bible}} </w:t>
        <w:br/>
        <w:t>[[@BibleTOBIBLE:Jas 5:9]]</w:t>
      </w:r>
      <w:r>
        <w:rPr>
          <w:b/>
        </w:rPr>
        <w:t>9</w:t>
      </w:r>
      <w:r>
        <w:rPr/>
        <w:t xml:space="preserve"> {{field-on:bible}}Murrt nicht gegen einander,</w:t>
      </w:r>
      <w:r>
        <w:rPr>
          <w:rStyle w:val="Funotenanker"/>
        </w:rPr>
        <w:footnoteReference w:customMarkFollows="1" w:id="2458"/>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459"/>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460"/>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461"/>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462"/>
        <w:t>ab</w:t>
      </w:r>
      <w:r>
        <w:rPr/>
        <w:t xml:space="preserve"> weder beim Himmel, noch bei der Erde, oder bei irgendeinem anderen Eid. Vielmehr soll euer Ja ein Ja und euer Nein ein Nein sein</w:t>
      </w:r>
      <w:r>
        <w:rPr>
          <w:rStyle w:val="Funotenanker"/>
        </w:rPr>
        <w:footnoteReference w:customMarkFollows="1" w:id="2463"/>
        <w:t>ac</w:t>
      </w:r>
      <w:r>
        <w:rPr/>
        <w:t>, damit ihr nicht dem Gericht verfallt</w:t>
      </w:r>
      <w:r>
        <w:rPr>
          <w:rStyle w:val="Funotenanker"/>
        </w:rPr>
        <w:footnoteReference w:customMarkFollows="1" w:id="2464"/>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465"/>
        <w:t>ae</w:t>
      </w:r>
      <w:r>
        <w:rPr/>
        <w:t>; ist einer guten Mutes, soll er Loblieder singen</w:t>
      </w:r>
      <w:r>
        <w:rPr>
          <w:rStyle w:val="Funotenanker"/>
        </w:rPr>
        <w:footnoteReference w:customMarkFollows="1" w:id="2466"/>
        <w:t>af</w:t>
      </w:r>
      <w:r>
        <w:rPr/>
        <w:t>;</w:t>
      </w:r>
      <w:r>
        <w:rPr>
          <w:rStyle w:val="Funotenanker"/>
        </w:rPr>
        <w:footnoteReference w:customMarkFollows="1" w:id="2467"/>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468"/>
        <w:t>ah</w:t>
      </w:r>
      <w:r>
        <w:rPr/>
        <w:t>, soll er die Ältesten der Gemeinde herbeirufen</w:t>
      </w:r>
      <w:r>
        <w:rPr>
          <w:rStyle w:val="Funotenanker"/>
        </w:rPr>
        <w:footnoteReference w:customMarkFollows="1" w:id="2469"/>
        <w:t>ai</w:t>
      </w:r>
      <w:r>
        <w:rPr/>
        <w:t xml:space="preserve"> und sie sollen über ihn </w:t>
      </w:r>
      <w:r>
        <w:rPr>
          <w:color w:val="808080"/>
        </w:rPr>
        <w:t>(für ihn)</w:t>
      </w:r>
      <w:r>
        <w:rPr/>
        <w:t xml:space="preserve"> beten</w:t>
      </w:r>
      <w:r>
        <w:rPr>
          <w:rStyle w:val="Funotenanker"/>
        </w:rPr>
        <w:footnoteReference w:customMarkFollows="1" w:id="2470"/>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471"/>
        <w:t>ak</w:t>
      </w:r>
      <w:r>
        <w:rPr/>
        <w:t xml:space="preserve"> im Namen des Herrn salben</w:t>
      </w:r>
      <w:r>
        <w:rPr>
          <w:rStyle w:val="Funotenanker"/>
        </w:rPr>
        <w:footnoteReference w:customMarkFollows="1" w:id="2472"/>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473"/>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474"/>
        <w:t>an</w:t>
      </w:r>
      <w:r>
        <w:rPr/>
        <w:t>, wird ihm vergeben werden.</w:t>
      </w:r>
      <w:r>
        <w:rPr>
          <w:rStyle w:val="Funotenanker"/>
        </w:rPr>
        <w:footnoteReference w:customMarkFollows="1" w:id="2475"/>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476"/>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477"/>
        <w:t>aq</w:t>
      </w:r>
      <w:r>
        <w:rPr/>
        <w:t>, dass es nicht regnen würde</w:t>
      </w:r>
      <w:r>
        <w:rPr>
          <w:rStyle w:val="Funotenanker"/>
        </w:rPr>
        <w:footnoteReference w:customMarkFollows="1" w:id="2478"/>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479"/>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480"/>
        <w:t>at</w:t>
      </w:r>
      <w:r>
        <w:rPr/>
        <w:t>, dass derjenige, der einen Sünder von seinem Irrweg</w:t>
      </w:r>
      <w:r>
        <w:rPr>
          <w:rStyle w:val="Funotenanker"/>
        </w:rPr>
        <w:footnoteReference w:customMarkFollows="1" w:id="2481"/>
        <w:t>au</w:t>
      </w:r>
      <w:r>
        <w:rPr/>
        <w:t xml:space="preserve"> auf den rechten Weg zurückgeführt hat,</w:t>
      </w:r>
      <w:r>
        <w:rPr>
          <w:rStyle w:val="Funotenanker"/>
        </w:rPr>
        <w:footnoteReference w:customMarkFollows="1" w:id="2482"/>
        <w:t>av</w:t>
      </w:r>
      <w:r>
        <w:rPr/>
        <w:t xml:space="preserve"> seine Seele </w:t>
      </w:r>
      <w:r>
        <w:rPr>
          <w:color w:val="808080"/>
        </w:rPr>
        <w:t>(Leben)</w:t>
      </w:r>
      <w:r>
        <w:rPr/>
        <w:t xml:space="preserve"> vom Tod erretten und eine Menge Sünden zudecken wird.</w:t>
      </w:r>
      <w:r>
        <w:rPr>
          <w:rStyle w:val="Funotenanker"/>
        </w:rPr>
        <w:footnoteReference w:customMarkFollows="1" w:id="2483"/>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 xml:space="preserve">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 </w:t>
      </w:r>
    </w:p>
  </w:footnote>
  <w:footnote w:id="9">
    <w:p>
      <w:pPr>
        <w:pStyle w:val="Funote"/>
        <w:rPr/>
      </w:pPr>
      <w:r>
        <w:rPr/>
        <w:footnoteRef/>
        <w:tab/>
        <w:t xml:space="preserve">D.h. „lichterloh“. Im Deutschen wird die zusätzliche Information, dass </w:t>
      </w:r>
      <w:r>
        <w:rPr>
          <w:i/>
        </w:rPr>
        <w:t>Feuer</w:t>
      </w:r>
      <w:r>
        <w:rPr/>
        <w:t xml:space="preserve"> in dem Busch brannte, als überflüssig empfunden. </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 xml:space="preserve">Zwei verbundene Kohortative, von denen der zweite den Zweck angibt. </w:t>
      </w:r>
    </w:p>
  </w:footnote>
  <w:footnote w:id="13">
    <w:p>
      <w:pPr>
        <w:pStyle w:val="Funote"/>
        <w:rPr/>
      </w:pPr>
      <w:r>
        <w:rPr/>
        <w:footnoteRef/>
        <w:tab/>
        <w:t>Duratives Ipf., das (wie das Ptz. in V. 2) ein fortwährendes Geschehen andeutet.</w:t>
      </w:r>
    </w:p>
  </w:footnote>
  <w:footnote w:id="14">
    <w:p>
      <w:pPr>
        <w:pStyle w:val="Funote"/>
        <w:rPr/>
      </w:pPr>
      <w:r>
        <w:rPr/>
        <w:footnoteRef/>
        <w:tab/>
        <w:t xml:space="preserve">Oder: „,[und herausfinden], warum der Busch nicht verbrennt!“ Die gewählte Lösung ist wohl eine genauere Übersetzung des Wortbestands, weil kein Verb ergänzt werden muss. </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w:t>
      </w:r>
      <w:r>
        <w:rPr/>
        <w:t xml:space="preserve">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 </w:t>
      </w:r>
    </w:p>
  </w:footnote>
  <w:footnote w:id="18">
    <w:p>
      <w:pPr>
        <w:pStyle w:val="Funote"/>
        <w:rPr/>
      </w:pPr>
      <w:r>
        <w:rPr/>
        <w:footnoteRef/>
        <w:tab/>
        <w:t xml:space="preserve">Hier heißt es im Hebräischen „ihrer“ mit Bezug auf die Menschen, die das Volk bilden (Constructio ad sensum). Im Deutschen muss entsprechend aber „seiner“ verwendet werden. </w:t>
      </w:r>
    </w:p>
  </w:footnote>
  <w:footnote w:id="19">
    <w:p>
      <w:pPr>
        <w:pStyle w:val="Funote"/>
        <w:rPr/>
      </w:pPr>
      <w:r>
        <w:rPr/>
        <w:footnoteRef/>
        <w:tab/>
        <w:t xml:space="preserve">Perfekt, das mit einem „Verb der Beziehung“ („wissen“) präsentisch gebraucht wird. </w:t>
      </w:r>
    </w:p>
  </w:footnote>
  <w:footnote w:id="20">
    <w:p>
      <w:pPr>
        <w:pStyle w:val="Funote"/>
        <w:rPr/>
      </w:pPr>
      <w:r>
        <w:rPr/>
        <w:footnoteRef/>
        <w:tab/>
        <w:t>Oder, etwas freier: „in dem Milch und Honig fließen.“</w:t>
      </w:r>
    </w:p>
  </w:footnote>
  <w:footnote w:id="21">
    <w:p>
      <w:pPr>
        <w:pStyle w:val="Funote"/>
        <w:rPr/>
      </w:pPr>
      <w:r>
        <w:rPr/>
        <w:footnoteRef/>
        <w:tab/>
        <w:t>„</w:t>
      </w:r>
      <w:r>
        <w:rPr/>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 xml:space="preserve">Die nur sinngemäß übersetzbare Partikel „siehe“ wirkt als Verstärkung der gemachten Aussage. Hier wurde sie in den Kontext eingearbeitet, indem der Kontrast am Satzanfang besonders stark ausgedrückt wurde. </w:t>
      </w:r>
    </w:p>
  </w:footnote>
  <w:footnote w:id="23">
    <w:p>
      <w:pPr>
        <w:pStyle w:val="Funote"/>
        <w:rPr/>
      </w:pPr>
      <w:r>
        <w:rPr/>
        <w:footnoteRef/>
        <w:tab/>
        <w:t xml:space="preserve">Constructio ad sensum: Das hier verwendete Partizip steht im Plural, weil es sich auf Ägypten als Metapher für die Ägypter bezieht. </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 xml:space="preserve">Oder: „und führe hinaus“ (Ipv.). Bei der Konstellation Ipv. + Waw + Ipv. gibt der letzte Ipv. in der Regel Ziel oder Zweck an. </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 xml:space="preserve">Sowohl eine gegenwärtige als auch eine zukünftige Deutung sind möglich, weil das Verb statisch ist. </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w:t>
      </w:r>
      <w:r>
        <w:rPr/>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 xml:space="preserve">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 </w:t>
      </w:r>
    </w:p>
  </w:footnote>
  <w:footnote w:id="41">
    <w:p>
      <w:pPr>
        <w:pStyle w:val="Funote"/>
        <w:rPr/>
      </w:pPr>
      <w:r>
        <w:rPr/>
        <w:footnoteRef/>
        <w:tab/>
        <w:t>Der textus graecus originalis bezeugt hier die 3.Sg: „Da dachte/sagte er“.</w:t>
      </w:r>
    </w:p>
  </w:footnote>
  <w:footnote w:id="42">
    <w:p>
      <w:pPr>
        <w:pStyle w:val="Funote"/>
        <w:rPr/>
      </w:pPr>
      <w:r>
        <w:rPr/>
        <w:footnoteRef/>
        <w:tab/>
        <w:t xml:space="preserve">Siehe Fußnoten V. 8. </w:t>
      </w:r>
    </w:p>
  </w:footnote>
  <w:footnote w:id="43">
    <w:p>
      <w:pPr>
        <w:pStyle w:val="Funote"/>
        <w:rPr/>
      </w:pPr>
      <w:r>
        <w:rPr/>
        <w:footnoteRef/>
        <w:tab/>
        <w:t>Die LXX bezeugt hier die 2.Sg. mas.</w:t>
      </w:r>
    </w:p>
  </w:footnote>
  <w:footnote w:id="44">
    <w:p>
      <w:pPr>
        <w:pStyle w:val="Funote"/>
        <w:rPr/>
      </w:pPr>
      <w:r>
        <w:rPr/>
        <w:footnoteRef/>
        <w:tab/>
        <w:t xml:space="preserve">Der Kohortativ lässt beide Möglichkeiten zu. </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 xml:space="preserve">Ägypten und Kanaan stehen hier metonym als </w:t>
      </w:r>
      <w:r>
        <w:rPr>
          <w:i/>
        </w:rPr>
        <w:t>toto pro pars</w:t>
      </w:r>
      <w:r>
        <w:rPr/>
        <w:t xml:space="preserve">; die gesamte Einheit (das ganze Land) wird also stellvertretend für einen Teil (die Bewohner) genannt. „[die Bewohner]“ wurde deshalb ergänzt. </w:t>
      </w:r>
    </w:p>
  </w:footnote>
  <w:footnote w:id="53">
    <w:p>
      <w:pPr>
        <w:pStyle w:val="Funote"/>
        <w:rPr/>
      </w:pPr>
      <w:r>
        <w:rPr/>
        <w:footnoteRef/>
        <w:tab/>
        <w:t xml:space="preserve">Partizip. Oder: „in das ich euch führen werde“, dann als Gegensatz zum vormaligen Leben in Ägypten gedeutet (vgl. NET). </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b/>
          <w:i/>
        </w:rPr>
        <w:footnoteRef/>
        <w:tab/>
        <w:t>Meine</w:t>
      </w:r>
      <w:r>
        <w:rPr>
          <w:i/>
        </w:rPr>
        <w:t xml:space="preserve"> Verordnungen</w:t>
      </w:r>
      <w:r>
        <w:rPr/>
        <w:t xml:space="preserve"> Die Hervorhebung ergibt sich aus der Wortstellung. Hier bildet nicht wie sonst das Prädikat den Satzanfang, sondern das Objekt (Milgrom 2000, 1521). </w:t>
      </w:r>
    </w:p>
  </w:footnote>
  <w:footnote w:id="56">
    <w:p>
      <w:pPr>
        <w:pStyle w:val="Funote"/>
        <w:rPr/>
      </w:pPr>
      <w:r>
        <w:rPr>
          <w:i/>
        </w:rPr>
        <w:footnoteRef/>
        <w:tab/>
        <w:t>tun (handeln)</w:t>
      </w:r>
      <w:r>
        <w:rPr/>
        <w:t xml:space="preserve"> Es handelt sich um dasselbe Wort, das in V. 3 mit „handeln“ übersetzt wurde. </w:t>
      </w:r>
    </w:p>
  </w:footnote>
  <w:footnote w:id="57">
    <w:p>
      <w:pPr>
        <w:pStyle w:val="Funote"/>
        <w:rPr/>
      </w:pPr>
      <w:r>
        <w:rPr/>
        <w:footnoteRef/>
        <w:tab/>
        <w:t xml:space="preserve">Es handelt sich um dasselbe Wort wie in V. 3 „Bräuche“, nur dass hier (im Paar mit „Gesetzen“) eine andere Konnotation vorhanden ist; es geht um Vorschriften und nicht nur Gepflogenheiten. </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 xml:space="preserve">denn“/„von denen gilt“ ist entweder Relativpronomen oder kausale Konjunktion, syntaktisch ist beides möglich. „und“ ist hier konsekutiv oder final; die Auflösung der Satzreihe zu Qualifikation→Folge entspricht also ebenfalls dem ursprünglichen Sinn. </w:t>
        <w:br/>
        <w:t xml:space="preserve">Der Wechsel in die dritte Person hat wohl den Grund, dass dieses Prinzip nicht nur für das angesprochene Israel gilt, sondern auch für im Land lebende Fremde, die sich ebenfalls an die im Folgenden gelisteten Gebote halten müssen (vgl. V. 26; Milgrom 2000, 1522). </w:t>
      </w:r>
    </w:p>
  </w:footnote>
  <w:footnote w:id="60">
    <w:p>
      <w:pPr>
        <w:pStyle w:val="Funote"/>
        <w:rPr/>
      </w:pPr>
      <w:r>
        <w:rPr>
          <w:i/>
        </w:rPr>
        <w:footnoteRef/>
        <w:tab/>
        <w:t>wird durch sie (nach/in ihnen) leben</w:t>
      </w:r>
      <w:r>
        <w:rPr/>
        <w:t xml:space="preserve"> Dieser Satz hat eine weit reichende Wirkungsgeschichte im AT, in der jüdischen Auslegung und im NT entfaltet. Was bedeutet „leben“? Geht es um diesseitiges oder jenseitiges Leben oder nur um die Lebensqualität? Und geht es um Leben </w:t>
      </w:r>
      <w:r>
        <w:rPr>
          <w:i/>
        </w:rPr>
        <w:t>durch</w:t>
      </w:r>
      <w:r>
        <w:rPr/>
        <w:t xml:space="preserve"> Einhaltung der Gebote, oder </w:t>
      </w:r>
      <w:r>
        <w:rPr>
          <w:i/>
        </w:rPr>
        <w:t>in</w:t>
      </w:r>
      <w:r>
        <w:rPr/>
        <w:t xml:space="preserve"> ihrem Schutz o.ä.? Unter dem Einfluss des Exils wurde er neu aufgegriffen (</w:t>
      </w:r>
      <w:r>
        <w:fldChar w:fldCharType="begin"/>
      </w:r>
      <w:r>
        <w:instrText> HYPERLINK "file:///wiki/Ezechiel_20" \l "s11"</w:instrText>
      </w:r>
      <w:r>
        <w:fldChar w:fldCharType="separate"/>
      </w:r>
      <w:r>
        <w:rPr>
          <w:rStyle w:val="Internetlink"/>
        </w:rPr>
        <w:t>Ez 20,11</w:t>
      </w:r>
      <w:r>
        <w:fldChar w:fldCharType="end"/>
      </w:r>
      <w:r>
        <w:rPr/>
        <w:t xml:space="preserve">, </w:t>
      </w:r>
      <w:hyperlink r:id="rId1">
        <w:r>
          <w:rPr>
            <w:rStyle w:val="Internetlink"/>
          </w:rPr>
          <w:t>Neh 9,29</w:t>
        </w:r>
      </w:hyperlink>
      <w:r>
        <w:rPr/>
        <w:t>) und als Beleg für Israels Versagen gegenüber ihrem Bundesversprechen. Viele Rabbinen benutzten den Vers als Beleg für die grundsätzlich lebensschützende Funktion der Tora, andere hingegen als Hinweis auf ewiges Leben. Besonders kompliziert ist Paulus' Verwendung von Lev 18,5 (</w:t>
      </w:r>
      <w:hyperlink r:id="rId2">
        <w:r>
          <w:rPr>
            <w:rStyle w:val="Internetlink"/>
          </w:rPr>
          <w:t>Röm 10,8</w:t>
        </w:r>
      </w:hyperlink>
      <w:r>
        <w:rPr/>
        <w:t xml:space="preserve">, </w:t>
      </w:r>
      <w:r>
        <w:fldChar w:fldCharType="begin"/>
      </w:r>
      <w:r>
        <w:instrText> HYPERLINK "file:///wiki/Galater_3" \l "s12"</w:instrText>
      </w:r>
      <w:r>
        <w:fldChar w:fldCharType="separate"/>
      </w:r>
      <w:r>
        <w:rPr>
          <w:rStyle w:val="Internetlink"/>
        </w:rPr>
        <w:t>Gal 3,12</w:t>
      </w:r>
      <w:r>
        <w:fldChar w:fldCharType="end"/>
      </w:r>
      <w:r>
        <w:rPr/>
        <w:t xml:space="preserve">). Ab dem späten 20. Jh. spielte er in der Diskussion um die neue Paulusperspektive eine nicht unwichtige Rolle. </w:t>
        <w:br/>
        <w:t xml:space="preserve">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 xml:space="preserve">lokal; für sie geht es um ein gesegnetes Leben </w:t>
      </w:r>
      <w:r>
        <w:rPr>
          <w:i/>
        </w:rPr>
        <w:t>innerhalb</w:t>
      </w:r>
      <w:r>
        <w:rPr/>
        <w:t xml:space="preserve"> des Bundes. Die Mehrheit der Ausleger versteht die Stelle als gehorsamsbedingte Verheißung eines Lebens unter dem Bundessegen im verheißenen Land (Wenham, Sprinkle, Gathercole u.a.). </w:t>
      </w:r>
    </w:p>
  </w:footnote>
  <w:footnote w:id="61">
    <w:p>
      <w:pPr>
        <w:pStyle w:val="Funote"/>
        <w:rPr/>
      </w:pPr>
      <w:r>
        <w:rPr/>
        <w:footnoteRef/>
        <w:tab/>
        <w:t xml:space="preserve">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 </w:t>
      </w:r>
    </w:p>
  </w:footnote>
  <w:footnote w:id="62">
    <w:p>
      <w:pPr>
        <w:pStyle w:val="Funote"/>
        <w:rPr/>
      </w:pPr>
      <w:r>
        <w:rPr/>
        <w:footnoteRef/>
        <w:tab/>
        <w:t>Prädikatives Partizip.</w:t>
      </w:r>
    </w:p>
  </w:footnote>
  <w:footnote w:id="63">
    <w:p>
      <w:pPr>
        <w:pStyle w:val="Funote"/>
        <w:rPr/>
      </w:pPr>
      <w:r>
        <w:rPr/>
        <w:footnoteRef/>
        <w:tab/>
        <w:t xml:space="preserve">Mit einer konsekutiven Satzverknüpfung zeigt V. 25 an, dass die Unreinheit der Bewohner zur Unreinheit des Landes und zu Gottes Bestrafung führte. </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 xml:space="preserve">Die Übersetzung „Seelen“ (Klammer) folgt Kiuchi 2007, 332, der sie in Verbindung mit „abschneiden“ für angemessener hält als „Personen“. </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 xml:space="preserve">Es ist nicht klar, ob „vor“ hier in räumlicher („vor euren Augen“) oder zeitlicher Hinsicht („vor eurer Ankunft“) gemeint ist. Nach Milgrom ist die räumliche Deutung wahrscheinlicher, weil die zeitliche das Verb „sein“ erforderlich machen würde (Milgrom 2000, 1583). Vgl. auch V. 5 &amp; 27. </w:t>
      </w:r>
    </w:p>
  </w:footnote>
  <w:footnote w:id="68">
    <w:p>
      <w:pPr>
        <w:pStyle w:val="Funote"/>
        <w:rPr/>
      </w:pPr>
      <w:r>
        <w:rPr>
          <w:i/>
        </w:rPr>
        <w:footnoteRef/>
        <w:tab/>
        <w:t>an ihnen (wie sie)</w:t>
      </w:r>
      <w:r>
        <w:rPr/>
        <w:t xml:space="preserve"> Hebr. </w:t>
      </w:r>
      <w:r>
        <w:rPr>
          <w:rtl w:val="true"/>
          <w:lang w:bidi="he-IL"/>
        </w:rPr>
        <w:t>בָּהֶם</w:t>
      </w:r>
      <w:r>
        <w:rPr/>
        <w:t xml:space="preserve"> </w:t>
      </w:r>
      <w:r>
        <w:rPr/>
        <w:t xml:space="preserve">bezieht sich hier wie „mit all diesen [Praktiken]“ in V. 24 instrumental auf das Mittel, mit dem die Verunreinigung entstand. Theoretisch möglich wäre jedoch auch die Übersetzung „wie sie“, also als Vergleich mit den Einheimischen. </w:t>
      </w:r>
    </w:p>
  </w:footnote>
  <w:footnote w:id="69">
    <w:p>
      <w:pPr>
        <w:pStyle w:val="Funote"/>
        <w:rPr/>
      </w:pPr>
      <w:r>
        <w:rPr/>
        <w:footnoteRef/>
        <w:tab/>
        <w:t>[Status: Zuverlässig]</w:t>
      </w:r>
    </w:p>
  </w:footnote>
  <w:footnote w:id="70">
    <w:p>
      <w:pPr>
        <w:pStyle w:val="Funote"/>
        <w:rPr/>
      </w:pPr>
      <w:r>
        <w:rPr/>
        <w:footnoteRef/>
        <w:tab/>
        <w:t xml:space="preserve">Die Bedeutung des Wortes ist nicht ganz sicher, wird aber als wahrscheinlich angegeben. </w:t>
      </w:r>
    </w:p>
  </w:footnote>
  <w:footnote w:id="71">
    <w:p>
      <w:pPr>
        <w:pStyle w:val="Funote"/>
        <w:rPr/>
      </w:pPr>
      <w:r>
        <w:rPr/>
        <w:footnoteRef/>
        <w:tab/>
        <w:t xml:space="preserve">Die Partikel „Siehe“ bleibt am besten unübersetzt. Sie drückt hier die Aufregung der Boten aus; der Satz wurde ansatzweise in eine entsprechende Form gebracht, um dies wiederzugeben. </w:t>
      </w:r>
    </w:p>
  </w:footnote>
  <w:footnote w:id="72">
    <w:p>
      <w:pPr>
        <w:pStyle w:val="Funote"/>
        <w:rPr/>
      </w:pPr>
      <w:r>
        <w:rPr/>
        <w:footnoteRef/>
        <w:tab/>
        <w:t xml:space="preserve">Möglich auch: „Befehl“, „Nachricht“, „Boten“, „Wachleute“, etc. Die Abgesandten waren aber wohl Polizisten oder Soldaten, wie aus den folgenden Versen klar wird. </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 xml:space="preserve">Offenbar zum Trocknen. V. 6 müsste vielleicht anhand von historischen Erkenntnissen zur Flachsverarbeitung korrigiert werden. Meine Kenntnisse stammen von </w:t>
      </w:r>
      <w:r>
        <w:fldChar w:fldCharType="begin"/>
      </w:r>
      <w:r>
        <w:instrText> HYPERLINK "http://de.wikipedia.org/wiki/Flachsfaser" \l "Gewinnung_der_Fasern"</w:instrText>
      </w:r>
      <w:r>
        <w:fldChar w:fldCharType="separate"/>
      </w:r>
      <w:r>
        <w:rPr>
          <w:rStyle w:val="Internetlink"/>
        </w:rPr>
        <w:t>Wikipedia</w:t>
      </w:r>
      <w:r>
        <w:fldChar w:fldCharType="end"/>
      </w:r>
      <w:r>
        <w:rPr/>
        <w:t xml:space="preserve">, was weder sehr aussagekräftig noch zitierbar ist. </w:t>
      </w:r>
    </w:p>
  </w:footnote>
  <w:footnote w:id="79">
    <w:p>
      <w:pPr>
        <w:pStyle w:val="Funote"/>
        <w:rPr/>
      </w:pPr>
      <w:r>
        <w:rPr/>
        <w:footnoteRef/>
        <w:tab/>
        <w:t xml:space="preserve">Satzfolgeunterbrechender Waw-Satz, der hier einen erklärenden Einschub markiert. </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 xml:space="preserve">Aus der Perspektive der Verfolger geschildert (vgl. NET Jos 2:7 Fußnote 16). </w:t>
      </w:r>
    </w:p>
  </w:footnote>
  <w:footnote w:id="82">
    <w:p>
      <w:pPr>
        <w:pStyle w:val="Funote"/>
        <w:rPr/>
      </w:pPr>
      <w:r>
        <w:rPr/>
        <w:footnoteRef/>
        <w:tab/>
        <w:t xml:space="preserve">Beigeordnetes Partizip: Sie verließen die Stadt, „um sie zu verfolgen“ oder „bei der Verfolgung“, oder „diejenigen, die sie verfolgten“. </w:t>
      </w:r>
    </w:p>
  </w:footnote>
  <w:footnote w:id="83">
    <w:p>
      <w:pPr>
        <w:pStyle w:val="Funote"/>
        <w:rPr/>
      </w:pPr>
      <w:r>
        <w:rPr/>
        <w:footnoteRef/>
        <w:tab/>
        <w:t xml:space="preserve">Satzfolgeunterbrechender Waw-Satz, der hier einen erklärenden Einschub markiert. </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 xml:space="preserve">. </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 xml:space="preserve">Alternativ „[selbst wenn wir dafür] sterben“ o.ä. Wörtlich „zu sterben“ – dies kann sich entweder auf die Kundschafter, oder auf Rahab beziehen. </w:t>
      </w:r>
    </w:p>
  </w:footnote>
  <w:footnote w:id="89">
    <w:p>
      <w:pPr>
        <w:pStyle w:val="Funote"/>
        <w:rPr/>
      </w:pPr>
      <w:r>
        <w:rPr/>
        <w:footnoteRef/>
        <w:tab/>
        <w:t xml:space="preserve">Alternativ lässt sich der „wenn“-Satz mit dem vorhergehenden Gelübde der Kundschafter verbinden: „Unser Leben für euch..., wenn ihr … nicht meldet“. </w:t>
      </w:r>
    </w:p>
  </w:footnote>
  <w:footnote w:id="90">
    <w:p>
      <w:pPr>
        <w:pStyle w:val="Funote"/>
        <w:rPr/>
      </w:pPr>
      <w:r>
        <w:rPr/>
        <w:footnoteRef/>
        <w:tab/>
        <w:t xml:space="preserve">Temporal aufzufassen. Deshalb wurde zur Verdeutlichung „sobald“ gewählt. </w:t>
      </w:r>
    </w:p>
  </w:footnote>
  <w:footnote w:id="91">
    <w:p>
      <w:pPr>
        <w:pStyle w:val="Funote"/>
        <w:rPr/>
      </w:pPr>
      <w:r>
        <w:rPr/>
        <w:footnoteRef/>
        <w:tab/>
        <w:t>Gedanklich zu ergänzen: „wenn du nicht folgende Bedingung erfüllst:“ (s. V. 18).</w:t>
      </w:r>
    </w:p>
  </w:footnote>
  <w:footnote w:id="92">
    <w:p>
      <w:pPr>
        <w:pStyle w:val="Funote"/>
        <w:rPr/>
      </w:pPr>
      <w:r>
        <w:rPr/>
        <w:footnoteRef/>
        <w:tab/>
        <w:t>„</w:t>
      </w:r>
      <w:r>
        <w:rPr/>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 xml:space="preserve">D.h. er wird die Verantwortung dafür tragen. </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 xml:space="preserve">S. Erklärung V. 9. </w:t>
      </w:r>
    </w:p>
  </w:footnote>
  <w:footnote w:id="98">
    <w:p>
      <w:pPr>
        <w:pStyle w:val="Funote"/>
        <w:rPr/>
      </w:pPr>
      <w:r>
        <w:rPr/>
        <w:footnoteRef/>
        <w:tab/>
        <w:t>[Status: Zuverlässig]</w:t>
      </w:r>
    </w:p>
  </w:footnote>
  <w:footnote w:id="99">
    <w:p>
      <w:pPr>
        <w:pStyle w:val="Funote"/>
        <w:rPr/>
      </w:pPr>
      <w:r>
        <w:rPr/>
        <w:footnoteRef/>
        <w:tab/>
        <w:t xml:space="preserve">Eigentlich Singular. </w:t>
      </w:r>
    </w:p>
  </w:footnote>
  <w:footnote w:id="100">
    <w:p>
      <w:pPr>
        <w:pStyle w:val="Funote"/>
        <w:rPr/>
      </w:pPr>
      <w:r>
        <w:rPr/>
        <w:footnoteRef/>
        <w:tab/>
        <w:t xml:space="preserve">Durch einen die Satzfolge unterbrechenden Teilsatz markierter, erklärender Einschub – daher die Übersetzung. </w:t>
      </w:r>
    </w:p>
  </w:footnote>
  <w:footnote w:id="101">
    <w:p>
      <w:pPr>
        <w:pStyle w:val="Funote"/>
        <w:rPr/>
      </w:pPr>
      <w:r>
        <w:rPr/>
        <w:footnoteRef/>
        <w:tab/>
        <w:t xml:space="preserve">Durch einen die Satzfolge unterbrechenden Teilsatz markierter, erklärender Einschub – daher die Übersetzung. </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 xml:space="preserve">Offenbar eine typisch hebräische Gattungsbezeichnung. Das erste Wort bezeichnet möglicherweise nicht nur junge Löwen. </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 xml:space="preserve">D.h. Simson den Löwen. </w:t>
      </w:r>
    </w:p>
  </w:footnote>
  <w:footnote w:id="108">
    <w:p>
      <w:pPr>
        <w:pStyle w:val="Funote"/>
        <w:rPr/>
      </w:pPr>
      <w:r>
        <w:rPr/>
        <w:footnoteRef/>
        <w:tab/>
        <w:t xml:space="preserve">Wörtlich: „wie zu zerreißen ein Böckchen“. Alternativ „wie [beim] Zerreißen eines Böckchens“ (LBBH). </w:t>
      </w:r>
    </w:p>
  </w:footnote>
  <w:footnote w:id="109">
    <w:p>
      <w:pPr>
        <w:pStyle w:val="Funote"/>
        <w:rPr/>
      </w:pPr>
      <w:r>
        <w:rPr/>
        <w:footnoteRef/>
        <w:tab/>
        <w:t xml:space="preserve">Durch einen die Satzfolge unterbrechenden Teilsatz markierter, erklärender Einschub – daher die Übersetzung. </w:t>
      </w:r>
    </w:p>
  </w:footnote>
  <w:footnote w:id="110">
    <w:p>
      <w:pPr>
        <w:pStyle w:val="Funote"/>
        <w:rPr/>
      </w:pPr>
      <w:r>
        <w:rPr/>
        <w:footnoteRef/>
        <w:tab/>
        <w:t xml:space="preserve">Wörtlich: „Und siehe“. Diese Wendung wird im Hebräischen häufig verwendet, um direkt Gesehenes oder Geschehendes einzuführen. </w:t>
      </w:r>
    </w:p>
  </w:footnote>
  <w:footnote w:id="111">
    <w:p>
      <w:pPr>
        <w:pStyle w:val="Funote"/>
        <w:rPr/>
      </w:pPr>
      <w:r>
        <w:rPr/>
        <w:footnoteRef/>
        <w:tab/>
        <w:t>Wörtlich: „Schwarm/Volk/Gruppe Bienen“</w:t>
      </w:r>
    </w:p>
  </w:footnote>
  <w:footnote w:id="112">
    <w:p>
      <w:pPr>
        <w:pStyle w:val="Funote"/>
        <w:rPr/>
      </w:pPr>
      <w:r>
        <w:rPr/>
        <w:footnoteRef/>
        <w:tab/>
        <w:t xml:space="preserve">Idiomatische Phrase. Wörtlich: „Er ging, gehen und essen (beide Inf. abs.)“. Dies drückt typischerweise aus, dass beide zur gleichen Zeit geschehen und kann wie die gewählte Übersetzung verstanden werden. </w:t>
      </w:r>
    </w:p>
  </w:footnote>
  <w:footnote w:id="113">
    <w:p>
      <w:pPr>
        <w:pStyle w:val="Funote"/>
        <w:rPr/>
      </w:pPr>
      <w:r>
        <w:rPr/>
        <w:footnoteRef/>
        <w:tab/>
        <w:t xml:space="preserve">Das berühren von Totem verletzte Simsons Gelübde als Nasiräer. S. Ri 13,5; Num 6,6; vgl. NET Ri 14,9 Fußnote 20. Offenbar sah die Familie den Honig als gutes Zeichen, vielleicht betrachtete ihn Simson als Aphrodisiakum (vgl. NET Ri 14,9 Fußnote 19). </w:t>
      </w:r>
    </w:p>
  </w:footnote>
  <w:footnote w:id="114">
    <w:p>
      <w:pPr>
        <w:pStyle w:val="Funote"/>
        <w:rPr/>
      </w:pPr>
      <w:r>
        <w:rPr/>
        <w:footnoteRef/>
        <w:tab/>
        <w:t xml:space="preserve">Duratives Imperfekt. Alternativ zur Verdeutlichung „zu machen pflegten“/ „immer so machten“, etc. </w:t>
      </w:r>
    </w:p>
  </w:footnote>
  <w:footnote w:id="115">
    <w:p>
      <w:pPr>
        <w:pStyle w:val="Funote"/>
        <w:rPr/>
      </w:pPr>
      <w:r>
        <w:rPr/>
        <w:footnoteRef/>
        <w:tab/>
        <w:t xml:space="preserve">Unpersönlicher Gebrauch (LBBH). </w:t>
      </w:r>
    </w:p>
  </w:footnote>
  <w:footnote w:id="116">
    <w:p>
      <w:pPr>
        <w:pStyle w:val="Funote"/>
        <w:rPr/>
      </w:pPr>
      <w:r>
        <w:rPr/>
        <w:footnoteRef/>
        <w:tab/>
        <w:t xml:space="preserve">Der Satz bezieht sich wohl auf die Philister. Der letzte Teilsatz kann sich theoretisch auch auf die erste Gruppe beziehen, semantisch sinnvoller ist allerdings die Gruppe der „Gefährten“. </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4">
    <w:p>
      <w:pPr>
        <w:pStyle w:val="Funote"/>
        <w:rPr/>
      </w:pPr>
      <w:r>
        <w:rPr/>
        <w:footnoteRef/>
        <w:tab/>
        <w:t>Für Näheres über die Kleider s. V. 12.</w:t>
      </w:r>
    </w:p>
  </w:footnote>
  <w:footnote w:id="125">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 xml:space="preserve">Das kann so verstanden werden, dass sie sich auf ihn warf oder an seiner Schulter weinte. </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 xml:space="preserve">Durch die etwas abgesetzte Fortsetzung wurde versucht, die (einen Gegensatz ausdrückende) Satzfolgeunterbrechung zu berücksichtigen. </w:t>
      </w:r>
    </w:p>
  </w:footnote>
  <w:footnote w:id="133">
    <w:p>
      <w:pPr>
        <w:pStyle w:val="Funote"/>
        <w:rPr/>
      </w:pPr>
      <w:r>
        <w:rPr/>
        <w:footnoteRef/>
        <w:tab/>
        <w:t xml:space="preserve">In Wirklichkeit bezieht sich das Verb direkt zurück auf das Rätsel. </w:t>
      </w:r>
    </w:p>
  </w:footnote>
  <w:footnote w:id="134">
    <w:p>
      <w:pPr>
        <w:pStyle w:val="Funote"/>
        <w:rPr/>
      </w:pPr>
      <w:r>
        <w:rPr/>
        <w:footnoteRef/>
        <w:tab/>
        <w:t xml:space="preserve">Idiomatische Wiedergabe von „Siehe“. </w:t>
      </w:r>
    </w:p>
  </w:footnote>
  <w:footnote w:id="135">
    <w:p>
      <w:pPr>
        <w:pStyle w:val="Funote"/>
        <w:rPr/>
      </w:pPr>
      <w:r>
        <w:rPr/>
        <w:footnoteRef/>
        <w:tab/>
        <w:t xml:space="preserve">Das kann so verstanden werden, dass sie sich auf ihn warf oder an seiner Schulter weinte. </w:t>
      </w:r>
    </w:p>
  </w:footnote>
  <w:footnote w:id="136">
    <w:p>
      <w:pPr>
        <w:pStyle w:val="Funote"/>
        <w:rPr/>
      </w:pPr>
      <w:r>
        <w:rPr/>
        <w:footnoteRef/>
        <w:tab/>
        <w:t xml:space="preserve">Wörtlich „[in] denen“ (bezogen auf die Tage). </w:t>
      </w:r>
    </w:p>
  </w:footnote>
  <w:footnote w:id="137">
    <w:p>
      <w:pPr>
        <w:pStyle w:val="Funote"/>
        <w:rPr/>
      </w:pPr>
      <w:r>
        <w:rPr/>
        <w:footnoteRef/>
        <w:tab/>
        <w:t xml:space="preserve">Wörtlich: „das Rätsel“. </w:t>
      </w:r>
    </w:p>
  </w:footnote>
  <w:footnote w:id="138">
    <w:p>
      <w:pPr>
        <w:pStyle w:val="Funote"/>
        <w:rPr/>
      </w:pPr>
      <w:r>
        <w:rPr/>
        <w:footnoteRef/>
        <w:tab/>
        <w:t xml:space="preserve">Eigentlich Imperfekt, das aber mit dem vorhergehenden Wort Vergangenheitsbedeutung hat. </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 xml:space="preserve">Der Begriff bezeichnet ein weibliches Kalb. </w:t>
      </w:r>
    </w:p>
  </w:footnote>
  <w:footnote w:id="141">
    <w:p>
      <w:pPr>
        <w:pStyle w:val="Funote"/>
        <w:rPr/>
      </w:pPr>
      <w:r>
        <w:rPr/>
        <w:footnoteRef/>
        <w:tab/>
        <w:t xml:space="preserve">Wörtlich: „das Rätsel“. </w:t>
      </w:r>
    </w:p>
  </w:footnote>
  <w:footnote w:id="142">
    <w:p>
      <w:pPr>
        <w:pStyle w:val="Funote"/>
        <w:rPr/>
      </w:pPr>
      <w:r>
        <w:rPr/>
        <w:footnoteRef/>
        <w:tab/>
        <w:t xml:space="preserve">Die irreale Form des Konditionalsatzes wird durch die Konjunktion vorgegeben (vgl. Davidson, Hebrew Syntax, §130). </w:t>
      </w:r>
    </w:p>
  </w:footnote>
  <w:footnote w:id="143">
    <w:p>
      <w:pPr>
        <w:pStyle w:val="Funote"/>
        <w:rPr/>
      </w:pPr>
      <w:r>
        <w:rPr/>
        <w:footnoteRef/>
        <w:tab/>
        <w:t xml:space="preserve">S. V. 6. </w:t>
      </w:r>
    </w:p>
  </w:footnote>
  <w:footnote w:id="144">
    <w:p>
      <w:pPr>
        <w:pStyle w:val="Funote"/>
        <w:rPr/>
      </w:pPr>
      <w:r>
        <w:rPr/>
        <w:footnoteRef/>
        <w:tab/>
        <w:t xml:space="preserve">Bezieht sich auf die Stadtbewohner. </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xml:space="preserve">). Viele verstehen das in diesem Kontext als die „Kleider“, die Simson den Siegern im Rätselwettbewerb geben schuldete. </w:t>
      </w:r>
    </w:p>
  </w:footnote>
  <w:footnote w:id="147">
    <w:p>
      <w:pPr>
        <w:pStyle w:val="Funote"/>
        <w:rPr/>
      </w:pPr>
      <w:r>
        <w:rPr/>
        <w:footnoteRef/>
        <w:tab/>
        <w:t xml:space="preserve">Oder „Kleidungssätze“, wörtlich „Ersatze“. Details s. Fußnote V. 12. </w:t>
      </w:r>
    </w:p>
  </w:footnote>
  <w:footnote w:id="148">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49">
    <w:p>
      <w:pPr>
        <w:pStyle w:val="Funote"/>
        <w:rPr/>
      </w:pPr>
      <w:r>
        <w:rPr/>
        <w:footnoteRef/>
        <w:tab/>
        <w:t xml:space="preserve">Auflösung eines substantivierten Partizips. </w:t>
      </w:r>
    </w:p>
  </w:footnote>
  <w:footnote w:id="150">
    <w:p>
      <w:pPr>
        <w:pStyle w:val="Funote"/>
        <w:rPr/>
      </w:pPr>
      <w:r>
        <w:rPr/>
        <w:footnoteRef/>
        <w:tab/>
        <w:t xml:space="preserve">Idiom für „Er war zornig“. </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i/>
        </w:rPr>
        <w:footnoteRef/>
        <w:tab/>
        <w:t>verließ ein Mann Betlehem in Juda (machte sich ein aus Betlehem in Juda [stammender] Mann auf)</w:t>
      </w:r>
      <w:r>
        <w:rPr/>
        <w:t xml:space="preserve">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i/>
        </w:rPr>
        <w:footnoteRef/>
        <w:tab/>
        <w:t>Moab</w:t>
      </w:r>
      <w:r>
        <w:rPr/>
        <w:t xml:space="preserve"> - östlicher Nachbarstaat Israels (für näheres s. </w:t>
      </w:r>
      <w:hyperlink r:id="rId3">
        <w:r>
          <w:rPr>
            <w:rStyle w:val="Internetlink"/>
          </w:rPr>
          <w:t>Moab / Moabiter (WiBiLex)</w:t>
        </w:r>
      </w:hyperlink>
      <w:r>
        <w:rPr/>
        <w:t xml:space="preserve">). Wegen verschiedener kriegerischer Konflikte ist Moab im AT meist negativ belegt; auch im Richterbuch (s. </w:t>
      </w:r>
      <w:hyperlink r:id="rId4">
        <w:r>
          <w:rPr>
            <w:rStyle w:val="Internetlink"/>
          </w:rPr>
          <w:t>Ri 3,12-30</w:t>
        </w:r>
      </w:hyperlink>
      <w:r>
        <w:rPr/>
        <w:t xml:space="preserve">).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w:t>
      </w:r>
      <w:r>
        <w:rPr>
          <w:i/>
        </w:rPr>
        <w:t>zehn Jahren</w:t>
      </w:r>
      <w:r>
        <w:rPr/>
        <w:t xml:space="preserve"> verursachen.</w:t>
        <w:br/>
        <w:t>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i/>
        </w:rPr>
        <w:footnoteRef/>
        <w:tab/>
        <w:t>sie und ihre Schwiegertöchter</w:t>
      </w:r>
      <w:r>
        <w:rPr/>
        <w:t xml:space="preserve"> - die selbe Konstruktion wie in </w:t>
      </w:r>
      <w:r>
        <w:fldChar w:fldCharType="begin"/>
      </w:r>
      <w:r>
        <w:instrText> HYPERLINK "http://www.offene-bibel.de/wiki/index.php5?title=Rut_1" \l "note_h"</w:instrText>
      </w:r>
      <w:r>
        <w:fldChar w:fldCharType="separate"/>
      </w:r>
      <w:r>
        <w:rPr>
          <w:rStyle w:val="Internetlink"/>
        </w:rPr>
        <w:t>FN h</w:t>
      </w:r>
      <w:r>
        <w:fldChar w:fldCharType="end"/>
      </w:r>
      <w:r>
        <w:rPr/>
        <w:t xml:space="preserve">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w:t>
      </w:r>
      <w:r>
        <w:rPr>
          <w:i/>
        </w:rPr>
        <w:t>Noomi</w:t>
      </w:r>
      <w:r>
        <w:rPr/>
        <w:t xml:space="preserve"> + </w:t>
      </w:r>
      <w:r>
        <w:rPr>
          <w:i/>
        </w:rPr>
        <w:t>Rut und Orpa</w:t>
      </w:r>
      <w:r>
        <w:rPr/>
        <w:t>;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i/>
        </w:rPr>
        <w:footnoteRef/>
        <w:tab/>
        <w:t>Ruhe</w:t>
      </w:r>
      <w:r>
        <w:rPr/>
        <w:t xml:space="preserve"> - schönes Wort: Heb. </w:t>
      </w:r>
      <w:r>
        <w:rPr>
          <w:i/>
        </w:rPr>
        <w:t>mänuchah</w:t>
      </w:r>
      <w:r>
        <w:rPr/>
        <w:t xml:space="preserve"> ist (1) „Ruhe, Erholung“, (2) der Ort, wo man sich zur Erhohlung niederlassen kann, wo „Wohlsein“ ist, und dann (3) allgemein die „Heimstatt“. Hier drückt es also gleichzeitig etwa das selbe wie das folgende </w:t>
      </w:r>
      <w:r>
        <w:rPr>
          <w:i/>
        </w:rPr>
        <w:t>im Haus ihres Mannes</w:t>
      </w:r>
      <w:r>
        <w:rPr/>
        <w:t xml:space="preserve">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i/>
        </w:rPr>
        <w:footnoteRef/>
        <w:tab/>
        <w:t>Haus ihres Mannes</w:t>
      </w:r>
      <w:r>
        <w:rPr/>
        <w:t xml:space="preserve"> - Klangspiel: </w:t>
      </w:r>
      <w:r>
        <w:rPr>
          <w:i/>
        </w:rPr>
        <w:t>´ischah beth ´ischah</w:t>
      </w:r>
      <w:r>
        <w:rPr/>
        <w:t xml:space="preserve">. Gemeint ist auch hier nicht das Gebäude, sondern die neue Familie, in die die beiden eingegliedert werden sollen (s. </w:t>
      </w:r>
      <w:r>
        <w:fldChar w:fldCharType="begin"/>
      </w:r>
      <w:r>
        <w:instrText> HYPERLINK "http://www.offene-bibel.de/wiki/index.php5?title=Rut_1" \l "note_x"</w:instrText>
      </w:r>
      <w:r>
        <w:fldChar w:fldCharType="separate"/>
      </w:r>
      <w:r>
        <w:rPr>
          <w:rStyle w:val="Internetlink"/>
        </w:rPr>
        <w:t>FN x</w:t>
      </w:r>
      <w:r>
        <w:fldChar w:fldCharType="end"/>
      </w:r>
      <w:r>
        <w:rPr/>
        <w:t>).</w:t>
      </w:r>
    </w:p>
  </w:footnote>
  <w:footnote w:id="186">
    <w:p>
      <w:pPr>
        <w:pStyle w:val="Funote"/>
        <w:rPr/>
      </w:pPr>
      <w:r>
        <w:rPr>
          <w:i/>
        </w:rPr>
        <w:footnoteRef/>
        <w:tab/>
        <w:t>Da erhoben sie ihre Stimmen, weinten</w:t>
      </w:r>
      <w:r>
        <w:rPr/>
        <w:t xml:space="preserve">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i/>
        </w:rPr>
        <w:footnoteRef/>
        <w:tab/>
        <w:t>[die Frau] eines Mannes</w:t>
      </w:r>
      <w:r>
        <w:rPr/>
        <w:t xml:space="preserve">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i/>
        </w:rPr>
        <w:footnoteRef/>
        <w:tab/>
        <w:t>Und noch einmal erhoben sie ihre Stimme und weinten</w:t>
      </w:r>
      <w:r>
        <w:rPr/>
        <w:t xml:space="preserve">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i/>
        </w:rPr>
        <w:footnoteRef/>
        <w:tab/>
        <w:t>vom mit-dir-[Sein]</w:t>
      </w:r>
      <w:r>
        <w:rPr/>
        <w:t xml:space="preserve"> - die selbe Präposition wie in V. 15. Noomi fordert Rut auf zum „mit-Orpa-Sein“ und zum Zurückkehren zu deren Volk und deren Gott. Rut stellt dem das „mit-Noomi-Sein“ entgegen und entscheidet sich ineins damit auch für </w:t>
      </w:r>
      <w:r>
        <w:rPr>
          <w:i/>
        </w:rPr>
        <w:t>deren</w:t>
      </w:r>
      <w:r>
        <w:rPr/>
        <w:t xml:space="preserve">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i/>
        </w:rPr>
        <w:footnoteRef/>
        <w:tab/>
        <w:t>die beiden [gemeinsam]</w:t>
      </w:r>
      <w:r>
        <w:rPr/>
        <w:t xml:space="preserve"> - Das Dual-pronomen ist auch hier wieder bewusst gewählt (s. Anmerkungen). Im Dt. sollte man das besser durch die Einfügung eines „gemeinsam“ o.Ä. ausdrücklich machen.</w:t>
      </w:r>
    </w:p>
  </w:footnote>
  <w:footnote w:id="205">
    <w:p>
      <w:pPr>
        <w:pStyle w:val="Funote"/>
        <w:rPr/>
      </w:pPr>
      <w:r>
        <w:rPr>
          <w:i/>
        </w:rPr>
        <w:footnoteRef/>
        <w:tab/>
        <w:t>sie</w:t>
      </w:r>
      <w:r>
        <w:rPr/>
        <w:t xml:space="preserv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i/>
        </w:rPr>
        <w:footnoteRef/>
        <w:tab/>
        <w:t>Zufällig geriet sie</w:t>
      </w:r>
      <w:r>
        <w:rPr/>
        <w:t xml:space="preserv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i/>
        </w:rPr>
        <w:footnoteRef/>
        <w:tab/>
        <w:t>Junge (Angestelltem)</w:t>
      </w:r>
      <w:r>
        <w:rPr/>
        <w:t xml:space="preserve"> - W. „Junge“, doch bezeichnet das Wort hier wie oft recht sicher das Dienstverhältnis (für angestellte Feldarbeiter auch in </w:t>
      </w:r>
      <w:r>
        <w:fldChar w:fldCharType="begin"/>
      </w:r>
      <w:r>
        <w:instrText> HYPERLINK "file:///wiki/Ijob_1" \l "s5"</w:instrText>
      </w:r>
      <w:r>
        <w:fldChar w:fldCharType="separate"/>
      </w:r>
      <w:r>
        <w:rPr>
          <w:rStyle w:val="Internetlink"/>
        </w:rPr>
        <w:t>Ijob 1,5</w:t>
      </w:r>
      <w:r>
        <w:fldChar w:fldCharType="end"/>
      </w:r>
      <w:r>
        <w:rPr/>
        <w:t xml:space="preserve">).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w:t>
      </w:r>
      <w:hyperlink r:id="rId5">
        <w:r>
          <w:rPr>
            <w:rStyle w:val="Internetlink"/>
          </w:rPr>
          <w:t>Mt 20,8</w:t>
        </w:r>
      </w:hyperlink>
      <w:r>
        <w:rPr/>
        <w:t xml:space="preserve">; </w:t>
      </w:r>
      <w:hyperlink r:id="rId6">
        <w:r>
          <w:rPr>
            <w:rStyle w:val="Internetlink"/>
          </w:rPr>
          <w:t>Lk 12,42</w:t>
        </w:r>
      </w:hyperlink>
      <w:r>
        <w:rPr/>
        <w:t xml:space="preserve">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 xml:space="preserve">Zu </w:t>
      </w:r>
      <w:r>
        <w:rPr>
          <w:i/>
        </w:rPr>
        <w:t>aus {</w:t>
      </w:r>
      <w:r>
        <w:rPr>
          <w:i/>
          <w:strike/>
        </w:rPr>
        <w:t>dem Gebiet</w:t>
      </w:r>
      <w:r>
        <w:rPr>
          <w:i/>
        </w:rPr>
        <w:t>} (von den Feldern von) Moab</w:t>
      </w:r>
      <w:r>
        <w:rPr/>
        <w:t xml:space="preserve"> s. </w:t>
      </w:r>
      <w:r>
        <w:fldChar w:fldCharType="begin"/>
      </w:r>
      <w:r>
        <w:instrText> HYPERLINK "http://www.offene-bibel.de/wiki/index.php5?title=Rut_1" \l "note_e"</w:instrText>
      </w:r>
      <w:r>
        <w:fldChar w:fldCharType="separate"/>
      </w:r>
      <w:r>
        <w:rPr>
          <w:rStyle w:val="Internetlink"/>
        </w:rPr>
        <w:t>FN e</w:t>
      </w:r>
      <w:r>
        <w:fldChar w:fldCharType="end"/>
      </w:r>
      <w:r>
        <w:rPr/>
        <w:t xml:space="preserve"> zu </w:t>
      </w:r>
      <w:r>
        <w:fldChar w:fldCharType="begin"/>
      </w:r>
      <w:r>
        <w:instrText> HYPERLINK "file:///wiki/Rut_1" \l "s1"</w:instrText>
      </w:r>
      <w:r>
        <w:fldChar w:fldCharType="separate"/>
      </w:r>
      <w:r>
        <w:rPr>
          <w:rStyle w:val="Internetlink"/>
        </w:rPr>
        <w:t>Rut 1,1.6.22</w:t>
      </w:r>
      <w:r>
        <w:fldChar w:fldCharType="end"/>
      </w:r>
      <w:r>
        <w:rPr/>
        <w:t>.</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i/>
        </w:rPr>
        <w:footnoteRef/>
        <w:tab/>
        <w:t>das sie abernten</w:t>
      </w:r>
      <w:r>
        <w:rPr/>
        <w:t xml:space="preserve"> - „sie“: maskulin, also die männlichen Erntearbeiter.</w:t>
      </w:r>
    </w:p>
  </w:footnote>
  <w:footnote w:id="238">
    <w:p>
      <w:pPr>
        <w:pStyle w:val="Funote"/>
        <w:rPr/>
      </w:pPr>
      <w:r>
        <w:rPr>
          <w:i/>
        </w:rPr>
        <w:footnoteRef/>
        <w:tab/>
        <w:t>ihnen</w:t>
      </w:r>
      <w:r>
        <w:rPr/>
        <w:t xml:space="preserve">: feminin. Entweder also die weiblichen Garbenbinderinnen, dann „folge ihnen“, oder die anderen Frauen, die Nachlese halten; dann „gehe an ihrer Seite“ (zu </w:t>
      </w:r>
      <w:r>
        <w:rPr>
          <w:i/>
        </w:rPr>
        <w:t>´achar</w:t>
      </w:r>
      <w:r>
        <w:rPr/>
        <w:t xml:space="preserve"> als „(zusammen) mit“ s. </w:t>
      </w:r>
      <w:r>
        <w:fldChar w:fldCharType="begin"/>
      </w:r>
      <w:r>
        <w:instrText> HYPERLINK "http://www.offene-bibel.de/wiki/?title=Special%3ABibelstelle_aufschlagen&amp;abk=Rut+1" \l "note_aq"</w:instrText>
      </w:r>
      <w:r>
        <w:fldChar w:fldCharType="separate"/>
      </w:r>
      <w:r>
        <w:rPr>
          <w:rStyle w:val="Internetlink"/>
        </w:rPr>
        <w:t>FN aq</w:t>
      </w:r>
      <w:r>
        <w:fldChar w:fldCharType="end"/>
      </w:r>
      <w:r>
        <w:rPr/>
        <w:t xml:space="preserve"> zu </w:t>
      </w:r>
      <w:r>
        <w:fldChar w:fldCharType="begin"/>
      </w:r>
      <w:r>
        <w:instrText> HYPERLINK "file:///wiki/Rut_1" \l "s15"</w:instrText>
      </w:r>
      <w:r>
        <w:fldChar w:fldCharType="separate"/>
      </w:r>
      <w:r>
        <w:rPr>
          <w:rStyle w:val="Internetlink"/>
        </w:rPr>
        <w:t>Rut 1,15</w:t>
      </w:r>
      <w:r>
        <w:fldChar w:fldCharType="end"/>
      </w:r>
      <w:r>
        <w:rPr/>
        <w:t>).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i/>
        </w:rPr>
        <w:footnoteRef/>
        <w:tab/>
        <w:t>Gefallen in deinen Augen gefunden</w:t>
      </w:r>
      <w:r>
        <w:rPr/>
        <w:t xml:space="preserve">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w:t>
      </w:r>
      <w:r>
        <w:rPr>
          <w:i/>
        </w:rPr>
        <w:t>lähakireni</w:t>
      </w:r>
      <w:r>
        <w:rPr/>
        <w:t xml:space="preserve">, von </w:t>
      </w:r>
      <w:r>
        <w:rPr>
          <w:i/>
        </w:rPr>
        <w:t>nakar</w:t>
      </w:r>
      <w:r>
        <w:rPr/>
        <w:t xml:space="preserve"> „beachten“), obwohl ich doch Ausländerin (</w:t>
      </w:r>
      <w:r>
        <w:rPr>
          <w:i/>
        </w:rPr>
        <w:t>nokrijah</w:t>
      </w:r>
      <w:r>
        <w:rPr/>
        <w:t>) bin?“</w:t>
      </w:r>
    </w:p>
  </w:footnote>
  <w:footnote w:id="241">
    <w:p>
      <w:pPr>
        <w:pStyle w:val="Funote"/>
        <w:rPr/>
      </w:pPr>
      <w:r>
        <w:rPr>
          <w:i/>
        </w:rPr>
        <w:footnoteRef/>
        <w:tab/>
        <w:t>{</w:t>
      </w:r>
      <w:r>
        <w:rPr>
          <w:i/>
          <w:strike/>
        </w:rPr>
        <w:t>und sagte zu</w:t>
      </w:r>
      <w:r>
        <w:rPr>
          <w:i/>
        </w:rPr>
        <w:t>}</w:t>
      </w:r>
      <w:r>
        <w:rPr/>
        <w:t xml:space="preserve"> (V. 11) + </w:t>
      </w:r>
      <w:r>
        <w:rPr>
          <w:i/>
        </w:rPr>
        <w:t>{</w:t>
      </w:r>
      <w:r>
        <w:rPr>
          <w:i/>
          <w:strike/>
        </w:rPr>
        <w:t>indem er sagte</w:t>
      </w:r>
      <w:r>
        <w:rPr>
          <w:i/>
        </w:rPr>
        <w:t>}</w:t>
      </w:r>
      <w:r>
        <w:rPr/>
        <w:t xml:space="preserv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i/>
        </w:rPr>
        <w:footnoteRef/>
        <w:tab/>
        <w:t>was du für deine Schwiegermutter nach dem Tod deines Mannes getan hast</w:t>
      </w:r>
      <w:r>
        <w:rPr/>
        <w:t xml:space="preserve"> - Ein „Segens-Update“: Noomi wünscht ihren Töchtern den Segen Gottes für alles, </w:t>
      </w:r>
      <w:r>
        <w:rPr>
          <w:i/>
        </w:rPr>
        <w:t>was sie ihr und ihren Ehemännern</w:t>
      </w:r>
      <w:r>
        <w:rPr/>
        <w:t xml:space="preserve"> getan haben (</w:t>
      </w:r>
      <w:r>
        <w:fldChar w:fldCharType="begin"/>
      </w:r>
      <w:r>
        <w:instrText> HYPERLINK "file:///wiki/Rut_1" \l "s8"</w:instrText>
      </w:r>
      <w:r>
        <w:fldChar w:fldCharType="separate"/>
      </w:r>
      <w:r>
        <w:rPr>
          <w:rStyle w:val="Internetlink"/>
        </w:rPr>
        <w:t>Rut 1,8</w:t>
      </w:r>
      <w:r>
        <w:fldChar w:fldCharType="end"/>
      </w:r>
      <w:r>
        <w:rPr/>
        <w:t xml:space="preserve">); Boas nun wünscht Rut Gottes Segen für alles, was sie in der Zwischenzeit, nämlich </w:t>
      </w:r>
      <w:r>
        <w:rPr>
          <w:i/>
        </w:rPr>
        <w:t>nach dem Tod ihres Mannes für ihre Schwiegermutter</w:t>
      </w:r>
      <w:r>
        <w:rPr/>
        <w:t xml:space="preserve"> getan hat.</w:t>
      </w:r>
    </w:p>
  </w:footnote>
  <w:footnote w:id="244">
    <w:p>
      <w:pPr>
        <w:pStyle w:val="Funote"/>
        <w:rPr/>
      </w:pPr>
      <w:r>
        <w:rPr>
          <w:i/>
        </w:rPr>
        <w:footnoteRef/>
        <w:tab/>
        <w:t>vorher (gestern vorgestern)</w:t>
      </w:r>
      <w:r>
        <w:rPr/>
        <w:t xml:space="preserve">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i/>
        </w:rPr>
        <w:footnoteRef/>
        <w:tab/>
        <w:t>Röstkorn</w:t>
      </w:r>
      <w:r>
        <w:rPr/>
        <w:t xml:space="preserve">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i/>
        </w:rPr>
        <w:footnoteRef/>
        <w:tab/>
        <w:t>klopfte aus</w:t>
      </w:r>
      <w:r>
        <w:rPr/>
        <w:t xml:space="preserve">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i/>
        </w:rPr>
        <w:footnoteRef/>
        <w:tab/>
        <w:t>hob es auf (wuchtete es hoch)</w:t>
      </w:r>
      <w:r>
        <w:rPr/>
        <w:t xml:space="preserve">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i/>
        </w:rPr>
        <w:footnoteRef/>
        <w:tab/>
        <w:t>der dich [wohlwollend] angesehen [hat]</w:t>
      </w:r>
      <w:r>
        <w:rPr/>
        <w:t xml:space="preserve"> - d.h., „dein Wohltäter“. Das selbe Verb wie in </w:t>
      </w:r>
      <w:r>
        <w:fldChar w:fldCharType="begin"/>
      </w:r>
      <w:r>
        <w:instrText> HYPERLINK "file:///wiki/Rut_2" \l "s10"</w:instrText>
      </w:r>
      <w:r>
        <w:fldChar w:fldCharType="separate"/>
      </w:r>
      <w:r>
        <w:rPr>
          <w:rStyle w:val="Internetlink"/>
        </w:rPr>
        <w:t>V. 10</w:t>
      </w:r>
      <w:r>
        <w:fldChar w:fldCharType="end"/>
      </w:r>
      <w:r>
        <w:rPr/>
        <w:t>.</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i/>
        </w:rPr>
        <w:footnoteRef/>
        <w:tab/>
        <w:t>Ruhe (eine Heimstatt)</w:t>
      </w:r>
      <w:r>
        <w:rPr/>
        <w:t xml:space="preserve"> - Heb. </w:t>
      </w:r>
      <w:r>
        <w:rPr>
          <w:i/>
        </w:rPr>
        <w:t>manoach</w:t>
      </w:r>
      <w:r>
        <w:rPr/>
        <w:t xml:space="preserve">, ein Synonym von </w:t>
      </w:r>
      <w:r>
        <w:rPr>
          <w:i/>
        </w:rPr>
        <w:t>menuchah</w:t>
      </w:r>
      <w:r>
        <w:rPr/>
        <w:t xml:space="preserve"> in </w:t>
      </w:r>
      <w:r>
        <w:fldChar w:fldCharType="begin"/>
      </w:r>
      <w:r>
        <w:instrText> HYPERLINK "file:///wiki/Rut_1" \l "s9"</w:instrText>
      </w:r>
      <w:r>
        <w:fldChar w:fldCharType="separate"/>
      </w:r>
      <w:r>
        <w:rPr>
          <w:rStyle w:val="Internetlink"/>
        </w:rPr>
        <w:t>Rut 1,9</w:t>
      </w:r>
      <w:r>
        <w:fldChar w:fldCharType="end"/>
      </w:r>
      <w:r>
        <w:rPr/>
        <w:t xml:space="preserve"> (s. dazu </w:t>
      </w:r>
      <w:r>
        <w:fldChar w:fldCharType="begin"/>
      </w:r>
      <w:r>
        <w:instrText> HYPERLINK "http://www.offene-bibel.de/wiki/?title=Special%3ABibelstelle_aufschlagen&amp;abk=Rut+1" \l "note_aa"</w:instrText>
      </w:r>
      <w:r>
        <w:fldChar w:fldCharType="separate"/>
      </w:r>
      <w:r>
        <w:rPr>
          <w:rStyle w:val="Internetlink"/>
        </w:rPr>
        <w:t>FN aa</w:t>
      </w:r>
      <w:r>
        <w:fldChar w:fldCharType="end"/>
      </w:r>
      <w:r>
        <w:rPr/>
        <w:t>): Noomi will Rut ein Heim verschaffen; d.h. hier: sie will sie „unter die Haube bringen“.</w:t>
      </w:r>
    </w:p>
  </w:footnote>
  <w:footnote w:id="293">
    <w:p>
      <w:pPr>
        <w:pStyle w:val="Funote"/>
        <w:rPr/>
      </w:pPr>
      <w:r>
        <w:rPr>
          <w:i/>
        </w:rPr>
        <w:footnoteRef/>
        <w:tab/>
        <w:t>damit es dir gut geht</w:t>
      </w:r>
      <w:r>
        <w:rPr/>
        <w:t xml:space="preserve"> - häufige Formulierung in der Bibel, die bes. häufig mit dem Halten von JHWHs Geboten zusammenhängt: Hält man sie, „geht es einem gut“ (s. z.B. </w:t>
      </w:r>
      <w:hyperlink r:id="rId7">
        <w:r>
          <w:rPr>
            <w:rStyle w:val="Internetlink"/>
          </w:rPr>
          <w:t>Dtn 4,40</w:t>
        </w:r>
      </w:hyperlink>
      <w:r>
        <w:rPr/>
        <w:t xml:space="preserve">; </w:t>
      </w:r>
      <w:r>
        <w:fldChar w:fldCharType="begin"/>
      </w:r>
      <w:r>
        <w:instrText> HYPERLINK "file:///wiki/Deuteronomium_12" \l "s28"</w:instrText>
      </w:r>
      <w:r>
        <w:fldChar w:fldCharType="separate"/>
      </w:r>
      <w:r>
        <w:rPr>
          <w:rStyle w:val="Internetlink"/>
        </w:rPr>
        <w:t>Dtn 12,28</w:t>
      </w:r>
      <w:r>
        <w:fldChar w:fldCharType="end"/>
      </w:r>
      <w:r>
        <w:rPr/>
        <w:t xml:space="preserve">; </w:t>
      </w:r>
      <w:r>
        <w:fldChar w:fldCharType="begin"/>
      </w:r>
      <w:r>
        <w:instrText> HYPERLINK "file:///wiki/Jeremia_7" \l "s23"</w:instrText>
      </w:r>
      <w:r>
        <w:fldChar w:fldCharType="separate"/>
      </w:r>
      <w:r>
        <w:rPr>
          <w:rStyle w:val="Internetlink"/>
        </w:rPr>
        <w:t>Jer 7,23</w:t>
      </w:r>
      <w:r>
        <w:fldChar w:fldCharType="end"/>
      </w:r>
      <w:r>
        <w:rPr/>
        <w:t xml:space="preserve">; </w:t>
      </w:r>
      <w:hyperlink r:id="rId8">
        <w:r>
          <w:rPr>
            <w:rStyle w:val="Internetlink"/>
          </w:rPr>
          <w:t>Jer 38,20</w:t>
        </w:r>
      </w:hyperlink>
      <w:r>
        <w:rPr/>
        <w:t xml:space="preserve">; </w:t>
      </w:r>
      <w:hyperlink r:id="rId9">
        <w:r>
          <w:rPr>
            <w:rStyle w:val="Internetlink"/>
          </w:rPr>
          <w:t>Jer 42,6</w:t>
        </w:r>
      </w:hyperlink>
      <w:r>
        <w:rPr/>
        <w:t xml:space="preserve"> u.ö.). Für sich genommen wäre das nicht besonders auffällig, aber vgl. noch </w:t>
      </w:r>
      <w:r>
        <w:fldChar w:fldCharType="begin"/>
      </w:r>
      <w:r>
        <w:instrText> HYPERLINK "http://www.offene-bibel.de/wiki/index.php5?title=Rut_3" \l "note_o"</w:instrText>
      </w:r>
      <w:r>
        <w:fldChar w:fldCharType="separate"/>
      </w:r>
      <w:r>
        <w:rPr>
          <w:rStyle w:val="Internetlink"/>
        </w:rPr>
        <w:t>FN o</w:t>
      </w:r>
      <w:r>
        <w:fldChar w:fldCharType="end"/>
      </w:r>
      <w:r>
        <w:rPr/>
        <w:t xml:space="preserve"> zu Vers 6: Noomi erlässt hier </w:t>
      </w:r>
      <w:r>
        <w:rPr>
          <w:i/>
        </w:rPr>
        <w:t>Gebote</w:t>
      </w:r>
      <w:r>
        <w:rPr/>
        <w:t xml:space="preserv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i/>
        </w:rPr>
        <w:footnoteRef/>
        <w:tab/>
        <w:t>[Daher]</w:t>
      </w:r>
      <w:r>
        <w:rPr/>
        <w:t xml:space="preserve"> - Dass die Aufforderung in Vv. 3f aus Vv. 1f </w:t>
      </w:r>
      <w:r>
        <w:rPr>
          <w:i/>
        </w:rPr>
        <w:t>abgeleitet</w:t>
      </w:r>
      <w:r>
        <w:rPr/>
        <w:t xml:space="preserve">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Es ist umstritten, ob diese Handlungen wie in Ez 16,9f symbolisch als Hochzeitsvorbereitungen gemeint sind (so z.B. Fischer 2001, S. 201; Zenger 1986, S. 66f) oder ob sie wie in Jdt 10,3 v.a. die Verführung eines Mannes erleichtern sollen (so z.B. Gunkel 1913, S. 75f; Wénin 1998, S. 188). V. 1 legt eher ersteres nahe, V. 4 eher letzteres und vermutlich kann man hier an beides denken, da der Weg zum Ja-Wort ja über die Verführung des Boas läuft (s. die Anmerkungen). Vielleicht kann man hier ohnehin nicht zwischen diesen beiden Optionen entscheiden, da nach Mischna Qidduschin 1,1 die Ehe schon durch den Geschlechtsakt als vollzogen galt - wenn dies schon zu biblischer Zeit der Fall war, wäre mit der erfolgreichen Verführung auch gleich die Ehe geschlossen.</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i/>
        </w:rPr>
        <w:footnoteRef/>
        <w:tab/>
        <w:t>sagst (je sagen wirst)</w:t>
      </w:r>
      <w:r>
        <w:rPr/>
        <w:t xml:space="preserve">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i/>
        </w:rPr>
        <w:footnoteRef/>
        <w:tab/>
        <w:t>sein Herz wurde fröhlich</w:t>
      </w:r>
      <w:r>
        <w:rPr/>
        <w:t xml:space="preserve"> - heb. Idiom, dass sowohl bedeuten kann, dass Boas (vom Weingenuß) „betrunken wurde“ (s. z.B. </w:t>
      </w:r>
      <w:hyperlink r:id="rId10">
        <w:r>
          <w:rPr>
            <w:rStyle w:val="Internetlink"/>
          </w:rPr>
          <w:t>1 Sam 25,36</w:t>
        </w:r>
      </w:hyperlink>
      <w:r>
        <w:rPr/>
        <w:t xml:space="preserve">) als auch nur, dass er „gut gelaunt“ war (s. z.B. </w:t>
      </w:r>
      <w:hyperlink r:id="rId11">
        <w:r>
          <w:rPr>
            <w:rStyle w:val="Internetlink"/>
          </w:rPr>
          <w:t>1 Kön 8,66</w:t>
        </w:r>
      </w:hyperlink>
      <w:r>
        <w:rPr/>
        <w:t xml:space="preserve">). Da es hier als direkte Folge des Essens </w:t>
      </w:r>
      <w:r>
        <w:rPr>
          <w:i/>
        </w:rPr>
        <w:t>und Trinkens</w:t>
      </w:r>
      <w:r>
        <w:rPr/>
        <w:t xml:space="preserve"> genannt wird und wegen der Bezüge des Kapitels zu </w:t>
      </w:r>
      <w:r>
        <w:fldChar w:fldCharType="begin"/>
      </w:r>
      <w:r>
        <w:instrText> HYPERLINK "file:///wiki/Genesis_19" \l "s30"</w:instrText>
      </w:r>
      <w:r>
        <w:fldChar w:fldCharType="separate"/>
      </w:r>
      <w:r>
        <w:rPr>
          <w:rStyle w:val="Internetlink"/>
        </w:rPr>
        <w:t>Gen 19,30-38</w:t>
      </w:r>
      <w:r>
        <w:fldChar w:fldCharType="end"/>
      </w:r>
      <w:r>
        <w:rPr/>
        <w:t xml:space="preserve">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 xml:space="preserve">zu </w:t>
      </w:r>
      <w:r>
        <w:rPr>
          <w:i/>
        </w:rPr>
        <w:t>entblößte seine Beine</w:t>
      </w:r>
      <w:r>
        <w:rPr/>
        <w:t xml:space="preserve"> s. </w:t>
      </w:r>
      <w:r>
        <w:fldChar w:fldCharType="begin"/>
      </w:r>
      <w:r>
        <w:instrText> HYPERLINK "http://www.offene-bibel.de/wiki/index.php5?title=Rut_3" \l "note_l"</w:instrText>
      </w:r>
      <w:r>
        <w:fldChar w:fldCharType="separate"/>
      </w:r>
      <w:r>
        <w:rPr>
          <w:rStyle w:val="Internetlink"/>
        </w:rPr>
        <w:t>FN l</w:t>
      </w:r>
      <w:r>
        <w:fldChar w:fldCharType="end"/>
      </w:r>
      <w:r>
        <w:rPr/>
        <w:t xml:space="preserve">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 xml:space="preserve">Zu den Gründen gegen </w:t>
      </w:r>
      <w:r>
        <w:rPr>
          <w:i/>
        </w:rPr>
        <w:t>es gibt einen näheren Löser als mich</w:t>
      </w:r>
      <w:r>
        <w:rPr/>
        <w:t xml:space="preserve"> s. die vorige FN.</w:t>
      </w:r>
    </w:p>
  </w:footnote>
  <w:footnote w:id="320">
    <w:p>
      <w:pPr>
        <w:pStyle w:val="Funote"/>
        <w:rPr/>
      </w:pPr>
      <w:r>
        <w:rPr>
          <w:i/>
        </w:rPr>
        <w:footnoteRef/>
        <w:tab/>
        <w:t>wenn er dich am Morgen lösen wird</w:t>
      </w:r>
      <w:r>
        <w:rPr/>
        <w:t xml:space="preserve"> - W.: „Und es wird sein am Morgen: Wenn er dich lösen wird...“: </w:t>
      </w:r>
      <w:r>
        <w:rPr>
          <w:i/>
        </w:rPr>
        <w:t>wähajah</w:t>
      </w:r>
      <w:r>
        <w:rPr/>
        <w:t xml:space="preserve">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i/>
        </w:rPr>
        <w:footnoteRef/>
        <w:tab/>
        <w:t>ins Tor</w:t>
      </w:r>
      <w:r>
        <w:rPr/>
        <w:t xml:space="preserve">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w:t>
      </w:r>
      <w:hyperlink r:id="rId12">
        <w:r>
          <w:rPr>
            <w:rStyle w:val="Internetlink"/>
          </w:rPr>
          <w:t>Dtn 25,7</w:t>
        </w:r>
      </w:hyperlink>
      <w:r>
        <w:rPr/>
        <w:t>.</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i/>
        </w:rPr>
        <w:footnoteRef/>
        <w:tab/>
        <w:t>Löser</w:t>
      </w:r>
      <w:r>
        <w:rPr/>
        <w:t xml:space="preserve">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i/>
        </w:rPr>
        <w:footnoteRef/>
        <w:tab/>
        <w:t>Feldstück</w:t>
      </w:r>
      <w:r>
        <w:rPr/>
        <w:t xml:space="preserve"> - s. zum Begriff </w:t>
      </w:r>
      <w:r>
        <w:fldChar w:fldCharType="begin"/>
      </w:r>
      <w:r>
        <w:instrText> HYPERLINK "http://offene-bibel.de/mediawiki/index.php?title=Rut_2" \l "note_e"</w:instrText>
      </w:r>
      <w:r>
        <w:fldChar w:fldCharType="separate"/>
      </w:r>
      <w:r>
        <w:rPr>
          <w:rStyle w:val="Internetlink"/>
        </w:rPr>
        <w:t>FN e</w:t>
      </w:r>
      <w:r>
        <w:fldChar w:fldCharType="end"/>
      </w:r>
      <w:r>
        <w:rPr/>
        <w:t xml:space="preserve"> zu </w:t>
      </w:r>
      <w:r>
        <w:fldChar w:fldCharType="begin"/>
      </w:r>
      <w:r>
        <w:instrText> HYPERLINK "file:///wiki/Rut_2" \l "s2"</w:instrText>
      </w:r>
      <w:r>
        <w:fldChar w:fldCharType="separate"/>
      </w:r>
      <w:r>
        <w:rPr>
          <w:rStyle w:val="Internetlink"/>
        </w:rPr>
        <w:t>Rut 2,2</w:t>
      </w:r>
      <w:r>
        <w:fldChar w:fldCharType="end"/>
      </w:r>
      <w:r>
        <w:rPr/>
        <w:t>.</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i/>
        </w:rPr>
        <w:footnoteRef/>
        <w:tab/>
        <w:t>{</w:t>
      </w:r>
      <w:r>
        <w:rPr>
          <w:i/>
          <w:strike/>
        </w:rPr>
        <w:t>dem Gebiet von</w:t>
      </w:r>
      <w:r>
        <w:rPr>
          <w:i/>
        </w:rPr>
        <w:t>} (dem Feld von)</w:t>
      </w:r>
      <w:r>
        <w:rPr/>
        <w:t xml:space="preserve"> - Zum Ausdruck s. </w:t>
      </w:r>
      <w:r>
        <w:fldChar w:fldCharType="begin"/>
      </w:r>
      <w:r>
        <w:instrText> HYPERLINK "http://offene-bibel.de/wiki/Rut_1" \l "note_e"</w:instrText>
      </w:r>
      <w:r>
        <w:fldChar w:fldCharType="separate"/>
      </w:r>
      <w:r>
        <w:rPr>
          <w:rStyle w:val="Internetlink"/>
        </w:rPr>
        <w:t>FN e</w:t>
      </w:r>
      <w:r>
        <w:fldChar w:fldCharType="end"/>
      </w:r>
      <w:r>
        <w:rPr/>
        <w:t xml:space="preserve"> zu </w:t>
      </w:r>
      <w:r>
        <w:fldChar w:fldCharType="begin"/>
      </w:r>
      <w:r>
        <w:instrText> HYPERLINK "file:///wiki/Rut_1" \l "s1"</w:instrText>
      </w:r>
      <w:r>
        <w:fldChar w:fldCharType="separate"/>
      </w:r>
      <w:r>
        <w:rPr>
          <w:rStyle w:val="Internetlink"/>
        </w:rPr>
        <w:t>Rut 1,1</w:t>
      </w:r>
      <w:r>
        <w:fldChar w:fldCharType="end"/>
      </w:r>
      <w:r>
        <w:rPr/>
        <w:t>.</w:t>
      </w:r>
    </w:p>
  </w:footnote>
  <w:footnote w:id="342">
    <w:p>
      <w:pPr>
        <w:pStyle w:val="Funote"/>
        <w:rPr/>
      </w:pPr>
      <w:r>
        <w:rPr>
          <w:i/>
        </w:rPr>
        <w:footnoteRef/>
        <w:tab/>
        <w:t>gesagt ([mir] gedacht)</w:t>
      </w:r>
      <w:r>
        <w:rPr/>
        <w:t xml:space="preserve">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i/>
        </w:rPr>
        <w:footnoteRef/>
        <w:tab/>
        <w:t>zu Gehör bringen</w:t>
      </w:r>
      <w:r>
        <w:rPr/>
        <w:t xml:space="preserve"> - Heb. Idiom, s. z.B. </w:t>
      </w:r>
      <w:hyperlink r:id="rId13">
        <w:r>
          <w:rPr>
            <w:rStyle w:val="Internetlink"/>
          </w:rPr>
          <w:t>1 Sam 20,2</w:t>
        </w:r>
      </w:hyperlink>
      <w:r>
        <w:rPr/>
        <w:t>.</w:t>
      </w:r>
      <w:hyperlink r:id="rId14">
        <w:r>
          <w:rPr>
            <w:rStyle w:val="Internetlink"/>
          </w:rPr>
          <w:t>12f</w:t>
        </w:r>
      </w:hyperlink>
      <w:r>
        <w:rPr/>
        <w:t xml:space="preserve">. Außer in </w:t>
      </w:r>
      <w:hyperlink r:id="rId15">
        <w:r>
          <w:rPr>
            <w:rStyle w:val="Internetlink"/>
          </w:rPr>
          <w:t>Ijob 36,10</w:t>
        </w:r>
      </w:hyperlink>
      <w:r>
        <w:rPr/>
        <w:t>.</w:t>
      </w:r>
      <w:hyperlink r:id="rId16">
        <w:r>
          <w:rPr>
            <w:rStyle w:val="Internetlink"/>
          </w:rPr>
          <w:t>15</w:t>
        </w:r>
      </w:hyperlink>
      <w:r>
        <w:rPr/>
        <w:t xml:space="preserve"> steht es stets für </w:t>
      </w:r>
      <w:r>
        <w:rPr>
          <w:i/>
        </w:rPr>
        <w:t>Privat</w:t>
      </w:r>
      <w:r>
        <w:rPr/>
        <w: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i/>
        </w:rPr>
        <w:footnoteRef/>
        <w:tab/>
        <w:t>irgendetwas</w:t>
      </w:r>
      <w:r>
        <w:rPr/>
        <w:t xml:space="preserve">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i/>
        </w:rPr>
        <w:footnoteRef/>
        <w:tab/>
        <w:t>gekauft</w:t>
      </w:r>
      <w:r>
        <w:rPr/>
        <w:t xml:space="preserve"> - Zu „kaufen“ s. </w:t>
      </w:r>
      <w:r>
        <w:fldChar w:fldCharType="begin"/>
      </w:r>
      <w:r>
        <w:instrText> HYPERLINK "http://offene-bibel.de/mediawiki/index.php?title=Rut_4" \l "note_o"</w:instrText>
      </w:r>
      <w:r>
        <w:fldChar w:fldCharType="separate"/>
      </w:r>
      <w:r>
        <w:rPr>
          <w:rStyle w:val="Internetlink"/>
        </w:rPr>
        <w:t>FN o</w:t>
      </w:r>
      <w:r>
        <w:fldChar w:fldCharType="end"/>
      </w:r>
      <w:r>
        <w:rPr/>
        <w:t>.</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i/>
        </w:rPr>
        <w:footnoteRef/>
        <w:tab/>
        <w:t>das ganze Volk, das im Tor [war], antwortete, und die Ältesten</w:t>
      </w:r>
      <w:r>
        <w:rPr/>
        <w:t xml:space="preserve"> - eine sog. „gespaltene Koordination“; sinngemäß wäre die Üs. „Das ganze Volk, das im Tor war, und die Ältesten antworteten:...“ Der Erzähler greift deshalb hier zu dieser Konstruktion, um zu betonen, dass tatsächlich das </w:t>
      </w:r>
      <w:r>
        <w:rPr>
          <w:i/>
        </w:rPr>
        <w:t>ganze</w:t>
      </w:r>
      <w:r>
        <w:rPr/>
        <w:t xml:space="preserve"> Volk, das sich dort aufhielt, die vorigen Vorgänge für rechtmäßig erklärten.</w:t>
      </w:r>
    </w:p>
  </w:footnote>
  <w:footnote w:id="359">
    <w:p>
      <w:pPr>
        <w:pStyle w:val="Funote"/>
        <w:rPr/>
      </w:pPr>
      <w:r>
        <w:rPr>
          <w:i/>
        </w:rPr>
        <w:footnoteRef/>
        <w:tab/>
        <w:t>Rahel</w:t>
      </w:r>
      <w:r>
        <w:rPr/>
        <w:t xml:space="preserve">, </w:t>
      </w:r>
      <w:r>
        <w:rPr>
          <w:i/>
        </w:rPr>
        <w:t>Lea</w:t>
      </w:r>
      <w:r>
        <w:rPr/>
        <w:t xml:space="preserve"> und </w:t>
      </w:r>
      <w:r>
        <w:rPr>
          <w:i/>
        </w:rPr>
        <w:t>Tamar</w:t>
      </w:r>
      <w:r>
        <w:rPr/>
        <w:t xml:space="preserve">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i/>
        </w:rPr>
        <w:footnoteRef/>
        <w:tab/>
        <w:t>Boas nahm Rut</w:t>
      </w:r>
      <w:r>
        <w:rPr/>
        <w:t xml:space="preserve">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i/>
        </w:rPr>
        <w:footnoteRef/>
        <w:tab/>
        <w:t>Sein Name werde gerufen</w:t>
      </w:r>
      <w:r>
        <w:rPr/>
        <w:t xml:space="preserve">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Ähnlich auch die Seligpreisungen (</w:t>
      </w:r>
      <w:r>
        <w:fldChar w:fldCharType="begin"/>
      </w:r>
      <w:r>
        <w:instrText> HYPERLINK "file:///wiki/Matthäus_5" \l "s1"</w:instrText>
      </w:r>
      <w:r>
        <w:fldChar w:fldCharType="separate"/>
      </w:r>
      <w:r>
        <w:rPr>
          <w:rStyle w:val="Internetlink"/>
        </w:rPr>
        <w:t>Mt 5,1-12</w:t>
      </w:r>
      <w:r>
        <w:fldChar w:fldCharType="end"/>
      </w:r>
      <w:r>
        <w:rPr/>
        <w:t xml:space="preserve">). Psalm 1 kann als Definition dafür gelten, welche Art von Mensch sich auf diese Weise glücklich nennen darf (vgl. Kraus </w:t>
      </w:r>
      <w:r>
        <w:rPr>
          <w:position w:val="7"/>
          <w:sz w:val="16"/>
        </w:rPr>
        <w:t>4</w:t>
      </w:r>
      <w:r>
        <w:rPr/>
        <w:t>1972, 3): der „Gerechte“ (</w:t>
      </w:r>
      <w:r>
        <w:rPr>
          <w:rtl w:val="true"/>
          <w:lang w:bidi="he-IL"/>
        </w:rPr>
        <w:t>צַדִּיק</w:t>
      </w:r>
      <w:r>
        <w:rPr/>
        <w:t>), der falsche Wege meidet (1) und sich stattdessen der Torah, der Weisung Gottes zuwendet (</w:t>
      </w:r>
      <w:r>
        <w:fldChar w:fldCharType="begin"/>
      </w:r>
      <w:r>
        <w:instrText> HYPERLINK "file:///wiki/Psalm_1" \l "s2"</w:instrText>
      </w:r>
      <w:r>
        <w:fldChar w:fldCharType="separate"/>
      </w:r>
      <w:r>
        <w:rPr>
          <w:rStyle w:val="Internetlink"/>
        </w:rPr>
        <w:t>2</w:t>
      </w:r>
      <w:r>
        <w:fldChar w:fldCharType="end"/>
      </w:r>
      <w:r>
        <w:rPr/>
        <w:t xml:space="preserve">)(Kraus </w:t>
      </w:r>
      <w:r>
        <w:rPr>
          <w:position w:val="7"/>
          <w:sz w:val="16"/>
        </w:rPr>
        <w:t>4</w:t>
      </w:r>
      <w:r>
        <w:rPr/>
        <w:t xml:space="preserve">1972, 9). </w:t>
      </w:r>
    </w:p>
  </w:footnote>
  <w:footnote w:id="379">
    <w:p>
      <w:pPr>
        <w:pStyle w:val="Funote"/>
        <w:rPr/>
      </w:pPr>
      <w:r>
        <w:rPr/>
        <w:footnoteRef/>
        <w:tab/>
        <w:t>Die männliche Form steht hier stellvertretend für jeden Menschen, auf den das Beschriebene zutrifft (</w:t>
      </w:r>
      <w:hyperlink r:id="rId17">
        <w:r>
          <w:rPr>
            <w:rStyle w:val="Internetlink"/>
          </w:rPr>
          <w:t>Generisches Maskulinum</w:t>
        </w:r>
      </w:hyperlink>
      <w:r>
        <w:rPr/>
        <w:t xml:space="preserve">; vgl. </w:t>
      </w:r>
      <w:r>
        <w:fldChar w:fldCharType="begin"/>
      </w:r>
      <w:r>
        <w:instrText> HYPERLINK "http://books.google.de/books?id=nJbZ3d5BF0UC&amp;lpg=PP1&amp;pg=PA128" \l "v=onepage&amp;q&amp;f=false"</w:instrText>
      </w:r>
      <w:r>
        <w:fldChar w:fldCharType="separate"/>
      </w:r>
      <w:r>
        <w:rPr>
          <w:rStyle w:val="Internetlink"/>
        </w:rPr>
        <w:t>Waltke 2010, 128</w:t>
      </w:r>
      <w:r>
        <w:fldChar w:fldCharType="end"/>
      </w:r>
      <w:r>
        <w:rPr/>
        <w:t xml:space="preserve">). </w:t>
      </w:r>
    </w:p>
  </w:footnote>
  <w:footnote w:id="380">
    <w:p>
      <w:pPr>
        <w:pStyle w:val="Funote"/>
        <w:rPr/>
      </w:pPr>
      <w:r>
        <w:rPr/>
        <w:footnoteRef/>
        <w:tab/>
        <w:t xml:space="preserve">Das Wort kann sich auch auf die Pläne und Ziele einer Person beziehen, umfasst also mehr als einen einmaligen Ratschlag. </w:t>
      </w:r>
    </w:p>
  </w:footnote>
  <w:footnote w:id="381">
    <w:p>
      <w:pPr>
        <w:pStyle w:val="Funote"/>
        <w:rPr/>
      </w:pPr>
      <w:r>
        <w:rPr/>
        <w:footnoteRef/>
        <w:tab/>
        <w:t>„</w:t>
      </w:r>
      <w:r>
        <w:rPr/>
        <w:t>Gottlose“ (</w:t>
      </w:r>
      <w:r>
        <w:rPr>
          <w:rtl w:val="true"/>
          <w:lang w:bidi="he-IL"/>
        </w:rPr>
        <w:t>רְשָׁעִים</w:t>
      </w:r>
      <w:r>
        <w:rPr/>
        <w:t xml:space="preserve">) sind solche, die vor dem Gesetz Gottes schuldig sind und sich Gott bewusst widersetzen (Kraus </w:t>
      </w:r>
      <w:r>
        <w:rPr>
          <w:position w:val="7"/>
          <w:sz w:val="16"/>
        </w:rPr>
        <w:t>4</w:t>
      </w:r>
      <w:r>
        <w:rPr/>
        <w:t>1972, 4). Der Gottlose ist das genaue Gegenstück zum Gerechten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xml:space="preserve">). </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 xml:space="preserve">Freude und Andacht gegenüber dem Gesetz sind Metonymien der Ursache für ein Leben, das sich an der Schrift orientiert. Da Psalm 1 den gesamten </w:t>
      </w:r>
      <w:hyperlink r:id="rId18">
        <w:r>
          <w:rPr>
            <w:rStyle w:val="Internetlink"/>
          </w:rPr>
          <w:t>Psalter</w:t>
        </w:r>
      </w:hyperlink>
      <w:r>
        <w:rPr/>
        <w:t xml:space="preserve"> einleitet, nennt er mit dieser Aussage eine Schlüsselqualifikation für das richtige Verständnis der Psalmen (</w:t>
      </w:r>
      <w:r>
        <w:fldChar w:fldCharType="begin"/>
      </w:r>
      <w:r>
        <w:instrText> HYPERLINK "http://books.google.de/books?id=nJbZ3d5BF0UC&amp;lpg=PP1&amp;pg=PA139" \l "v=onepage&amp;q&amp;f=false"</w:instrText>
      </w:r>
      <w:r>
        <w:fldChar w:fldCharType="separate"/>
      </w:r>
      <w:r>
        <w:rPr>
          <w:rStyle w:val="Internetlink"/>
        </w:rPr>
        <w:t>Waltke 2010, 139</w:t>
      </w:r>
      <w:r>
        <w:fldChar w:fldCharType="end"/>
      </w:r>
      <w:r>
        <w:rPr/>
        <w:t xml:space="preserve">). </w:t>
      </w:r>
    </w:p>
  </w:footnote>
  <w:footnote w:id="386">
    <w:p>
      <w:pPr>
        <w:pStyle w:val="Funote"/>
        <w:rPr/>
      </w:pPr>
      <w:r>
        <w:rPr/>
        <w:footnoteRef/>
        <w:tab/>
        <w:t>Gemeint sind künstliche Bewässerungskanäle.</w:t>
      </w:r>
    </w:p>
  </w:footnote>
  <w:footnote w:id="387">
    <w:p>
      <w:pPr>
        <w:pStyle w:val="Funote"/>
        <w:rPr/>
      </w:pPr>
      <w:r>
        <w:rPr/>
        <w:footnoteRef/>
        <w:tab/>
        <w:t xml:space="preserve">Also: regelmäßig, wegen der steten Wasserversorgung, die ohne solche Bewässerungskanäle nicht möglich wäre (Kraus </w:t>
      </w:r>
      <w:r>
        <w:rPr>
          <w:position w:val="7"/>
          <w:sz w:val="16"/>
        </w:rPr>
        <w:t>4</w:t>
      </w:r>
      <w:r>
        <w:rPr/>
        <w:t>1972, 6). Dieser Vergleich beschreibt zusammen mit dem Aspekt der nicht verwelkenden Blätter das ewige Leben, das der Gottesfürchtige als „Frucht“ bekommen wird (</w:t>
      </w:r>
      <w:r>
        <w:fldChar w:fldCharType="begin"/>
      </w:r>
      <w:r>
        <w:instrText> HYPERLINK "http://books.google.de/books?id=nJbZ3d5BF0UC&amp;lpg=PP1&amp;pg=PA140" \l "v=onepage&amp;q&amp;f=false"</w:instrText>
      </w:r>
      <w:r>
        <w:fldChar w:fldCharType="separate"/>
      </w:r>
      <w:r>
        <w:rPr>
          <w:rStyle w:val="Internetlink"/>
        </w:rPr>
        <w:t>Waltke 2010, 140</w:t>
      </w:r>
      <w:r>
        <w:fldChar w:fldCharType="end"/>
      </w:r>
      <w:r>
        <w:rPr/>
        <w:t xml:space="preserve">). </w:t>
      </w:r>
    </w:p>
  </w:footnote>
  <w:footnote w:id="388">
    <w:p>
      <w:pPr>
        <w:pStyle w:val="Funote"/>
        <w:rPr/>
      </w:pPr>
      <w:r>
        <w:rPr/>
        <w:footnoteRef/>
        <w:tab/>
        <w:t xml:space="preserve">Auch möglich: „Und er bringt alles, was er tut, zum Gedeihen“ („two-place“ Hiphil nach </w:t>
      </w:r>
      <w:r>
        <w:fldChar w:fldCharType="begin"/>
      </w:r>
      <w:r>
        <w:instrText> HYPERLINK "http://books.google.de/books?id=nJbZ3d5BF0UC&amp;lpg=PP1&amp;pg=PA128" \l "v=onepage&amp;q&amp;f=false"</w:instrText>
      </w:r>
      <w:r>
        <w:fldChar w:fldCharType="separate"/>
      </w:r>
      <w:r>
        <w:rPr>
          <w:rStyle w:val="Internetlink"/>
        </w:rPr>
        <w:t>Waltke 2010, 128</w:t>
      </w:r>
      <w:r>
        <w:fldChar w:fldCharType="end"/>
      </w:r>
      <w:r>
        <w:rPr/>
        <w:t>).</w:t>
      </w:r>
    </w:p>
  </w:footnote>
  <w:footnote w:id="389">
    <w:p>
      <w:pPr>
        <w:pStyle w:val="Funote"/>
        <w:rPr/>
      </w:pPr>
      <w:r>
        <w:rPr/>
        <w:footnoteRef/>
        <w:tab/>
        <w:t xml:space="preserve">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w:t>
      </w:r>
      <w:r>
        <w:rPr>
          <w:i/>
        </w:rPr>
        <w:t>zu seiner Zeit</w:t>
      </w:r>
      <w:r>
        <w:rPr/>
        <w:t xml:space="preserve"> Frucht bringen. </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w:t>
      </w:r>
      <w:r>
        <w:fldChar w:fldCharType="begin"/>
      </w:r>
      <w:r>
        <w:instrText> HYPERLINK "file:///wiki/Psalm_1" \l "s3"</w:instrText>
      </w:r>
      <w:r>
        <w:fldChar w:fldCharType="separate"/>
      </w:r>
      <w:r>
        <w:rPr>
          <w:rStyle w:val="Internetlink"/>
        </w:rPr>
        <w:t>3</w:t>
      </w:r>
      <w:r>
        <w:fldChar w:fldCharType="end"/>
      </w:r>
      <w:r>
        <w:rPr/>
        <w:t>) (</w:t>
      </w:r>
      <w:r>
        <w:fldChar w:fldCharType="begin"/>
      </w:r>
      <w:r>
        <w:instrText> HYPERLINK "http://books.google.de/books?id=nJbZ3d5BF0UC&amp;lpg=PP1&amp;pg=PA141" \l "v=onepage&amp;q&amp;f=false"</w:instrText>
      </w:r>
      <w:r>
        <w:fldChar w:fldCharType="separate"/>
      </w:r>
      <w:r>
        <w:rPr>
          <w:rStyle w:val="Internetlink"/>
        </w:rPr>
        <w:t>Waltke 2010, 141</w:t>
      </w:r>
      <w:r>
        <w:fldChar w:fldCharType="end"/>
      </w:r>
      <w:r>
        <w:rPr/>
        <w:t xml:space="preserve">). Gottlose und Spreu teilen für den Psalmisten dasselbe Schicksal: Sie sind wertlos und bestehen nicht, sie werden im entscheidenden Moment vergehen (vgl. den Beginn von V. 5: „deshalb“ </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 xml:space="preserve">Zum Gebrauch des Begriffs „Gerechter“ s. die Fußnote in </w:t>
      </w:r>
      <w:r>
        <w:fldChar w:fldCharType="begin"/>
      </w:r>
      <w:r>
        <w:instrText> HYPERLINK "file:///wiki/Psalm_1" \l "note_a"</w:instrText>
      </w:r>
      <w:r>
        <w:fldChar w:fldCharType="separate"/>
      </w:r>
      <w:r>
        <w:rPr>
          <w:rStyle w:val="Internetlink"/>
        </w:rPr>
        <w:t>V. 1</w:t>
      </w:r>
      <w:r>
        <w:fldChar w:fldCharType="end"/>
      </w:r>
      <w:r>
        <w:rPr/>
        <w:t xml:space="preserve">. </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 xml:space="preserve">Dieses Verb ist ein nur selten erkannter Aramaismus (in </w:t>
      </w:r>
      <w:r>
        <w:fldChar w:fldCharType="begin"/>
      </w:r>
      <w:r>
        <w:instrText> HYPERLINK "file:///wiki/Psalm_2" \l "s9"</w:instrText>
      </w:r>
      <w:r>
        <w:fldChar w:fldCharType="separate"/>
      </w:r>
      <w:r>
        <w:rPr>
          <w:rStyle w:val="Internetlink"/>
        </w:rPr>
        <w:t>9</w:t>
      </w:r>
      <w:r>
        <w:fldChar w:fldCharType="end"/>
      </w:r>
      <w:r>
        <w:rPr/>
        <w:t>.</w:t>
      </w:r>
      <w:r>
        <w:fldChar w:fldCharType="begin"/>
      </w:r>
      <w:r>
        <w:instrText> HYPERLINK "file:///wiki/Psalm_2" \l "s12"</w:instrText>
      </w:r>
      <w:r>
        <w:fldChar w:fldCharType="separate"/>
      </w:r>
      <w:r>
        <w:rPr>
          <w:rStyle w:val="Internetlink"/>
        </w:rPr>
        <w:t>12</w:t>
      </w:r>
      <w:r>
        <w:fldChar w:fldCharType="end"/>
      </w:r>
      <w:r>
        <w:rPr/>
        <w:t xml:space="preserve"> sind weitere). In </w:t>
      </w:r>
      <w:hyperlink r:id="rId19">
        <w:r>
          <w:rPr>
            <w:rStyle w:val="Internetlink"/>
          </w:rPr>
          <w:t>Dan 6,7.12.16</w:t>
        </w:r>
      </w:hyperlink>
      <w:r>
        <w:rPr/>
        <w:t xml:space="preserve"> hat das aramäische Verb jeweils die Bedeutung „gemeinsam/als Gruppe [an einen Ort] gehen“, wobei immer eine heimliche/intrigante Absprache Teil der Konnotation ist (DBL Aramaic). Die konkrete Übersetzung „verschwören“ ergibt sich aus dem Kontext (vgl. </w:t>
      </w:r>
      <w:r>
        <w:fldChar w:fldCharType="begin"/>
      </w:r>
      <w:r>
        <w:instrText> HYPERLINK "http://books.google.de/books?id=nJbZ3d5BF0UC&amp;lpg=PP1&amp;pg=PA157" \l "v=onepage&amp;q&amp;f=false"</w:instrText>
      </w:r>
      <w:r>
        <w:fldChar w:fldCharType="separate"/>
      </w:r>
      <w:r>
        <w:rPr>
          <w:rStyle w:val="Internetlink"/>
        </w:rPr>
        <w:t>Waltke 2010, S. 157</w:t>
      </w:r>
      <w:r>
        <w:fldChar w:fldCharType="end"/>
      </w:r>
      <w:r>
        <w:rPr/>
        <w:t xml:space="preserve">): Das parallele Verb aus der zweiten Vershälfte bedeutet etwa, „Pläne zu schmieden“ (vgl. Fußnote dort); ein ähnliches Bedeutungsfeld ergeben die Verben in </w:t>
      </w:r>
      <w:r>
        <w:fldChar w:fldCharType="begin"/>
      </w:r>
      <w:r>
        <w:instrText> HYPERLINK "file:///wiki/Psalm_2" \l "s2"</w:instrText>
      </w:r>
      <w:r>
        <w:fldChar w:fldCharType="separate"/>
      </w:r>
      <w:r>
        <w:rPr>
          <w:rStyle w:val="Internetlink"/>
        </w:rPr>
        <w:t>2</w:t>
      </w:r>
      <w:r>
        <w:fldChar w:fldCharType="end"/>
      </w:r>
      <w:r>
        <w:rPr/>
        <w:t xml:space="preserve">, der mit </w:t>
      </w:r>
      <w:r>
        <w:fldChar w:fldCharType="begin"/>
      </w:r>
      <w:r>
        <w:instrText> HYPERLINK "file:///wiki/Psalm_2" \l "s1"</w:instrText>
      </w:r>
      <w:r>
        <w:fldChar w:fldCharType="separate"/>
      </w:r>
      <w:r>
        <w:rPr>
          <w:rStyle w:val="Internetlink"/>
        </w:rPr>
        <w:t>1</w:t>
      </w:r>
      <w:r>
        <w:fldChar w:fldCharType="end"/>
      </w:r>
      <w:r>
        <w:rPr/>
        <w:t xml:space="preserve"> (und </w:t>
      </w:r>
      <w:r>
        <w:fldChar w:fldCharType="begin"/>
      </w:r>
      <w:r>
        <w:instrText> HYPERLINK "file:///wiki/Psalm_2" \l "s3"</w:instrText>
      </w:r>
      <w:r>
        <w:fldChar w:fldCharType="separate"/>
      </w:r>
      <w:r>
        <w:rPr>
          <w:rStyle w:val="Internetlink"/>
        </w:rPr>
        <w:t>3</w:t>
      </w:r>
      <w:r>
        <w:fldChar w:fldCharType="end"/>
      </w:r>
      <w:r>
        <w:rPr/>
        <w:t xml:space="preserve">) eine klimaktische Sinneinheit bildet. Dennoch findet sich in deutschen Übersetzungen i.d.R. eine Übersetzung nach dem Sinn von „sich in Unruhe befinden“ (vgl. aber NET, </w:t>
      </w:r>
      <w:r>
        <w:fldChar w:fldCharType="begin"/>
      </w:r>
      <w:r>
        <w:instrText> HYPERLINK "http://books.google.de/books?id=nJbZ3d5BF0UC&amp;lpg=PP1&amp;dq=Waltke&amp;hl=de&amp;pg=PA157" \l "v=onepage&amp;q&amp;f=false"</w:instrText>
      </w:r>
      <w:r>
        <w:fldChar w:fldCharType="separate"/>
      </w:r>
      <w:r>
        <w:rPr>
          <w:rStyle w:val="Internetlink"/>
        </w:rPr>
        <w:t>Waltke 2010</w:t>
      </w:r>
      <w:r>
        <w:fldChar w:fldCharType="end"/>
      </w:r>
      <w:r>
        <w:rPr/>
        <w:t xml:space="preserve">, </w:t>
      </w:r>
      <w:r>
        <w:fldChar w:fldCharType="begin"/>
      </w:r>
      <w:r>
        <w:instrText> HYPERLINK "http://books.google.de/books?id=PpvY6V8xakUC&amp;lpg=PP1&amp;hl=de&amp;pg=PA50" \l "v=onepage&amp;q&amp;f=false"</w:instrText>
      </w:r>
      <w:r>
        <w:fldChar w:fldCharType="separate"/>
      </w:r>
      <w:r>
        <w:rPr>
          <w:rStyle w:val="Internetlink"/>
        </w:rPr>
        <w:t>Hunter 1999</w:t>
      </w:r>
      <w:r>
        <w:fldChar w:fldCharType="end"/>
      </w:r>
      <w:r>
        <w:rPr/>
        <w:t xml:space="preserve">). </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w:t>
      </w:r>
      <w:r>
        <w:fldChar w:fldCharType="begin"/>
      </w:r>
      <w:r>
        <w:instrText> HYPERLINK "file:///wiki/Psalm_2" \l "s2"</w:instrText>
      </w:r>
      <w:r>
        <w:fldChar w:fldCharType="separate"/>
      </w:r>
      <w:r>
        <w:rPr>
          <w:rStyle w:val="Internetlink"/>
        </w:rPr>
        <w:t>V. 2</w:t>
      </w:r>
      <w:r>
        <w:fldChar w:fldCharType="end"/>
      </w:r>
      <w:r>
        <w:rPr/>
        <w:t>).</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xml:space="preserve">; NET Ps 2,4, Fußnote 15). Im Gegensatz dazu interpretiert Kraus 1960 das Folgende als zukünftige Rede (S. 12; Übers. „Einst redet er sie an...“), die folgenden Verse sind dann dem nachgeschobene Erklärung. </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Die beiden Begriffe sind hier referenzidentisch.</w:t>
      </w:r>
    </w:p>
  </w:footnote>
  <w:footnote w:id="408">
    <w:p>
      <w:pPr>
        <w:pStyle w:val="Funote"/>
        <w:rPr/>
      </w:pPr>
      <w:r>
        <w:rPr/>
        <w:footnoteRef/>
        <w:tab/>
        <w:t xml:space="preserve">Das Waw markiert hier die lose Anknüpfung der direkten Rede an vorher (nicht) Gesagtes und bleibt unübersetzt (Gesenius-Kautzsch §154b) - so ähnlich, wie man auch im Deutschen in Erregung einen Satz mit „und“ beginnt. Alternativ ist es adversativ zu verstehen; dann „aber“ (Davidson, </w:t>
      </w:r>
      <w:r>
        <w:rPr>
          <w:i/>
        </w:rPr>
        <w:t>Hebrew Syntax</w:t>
      </w:r>
      <w:r>
        <w:rPr/>
        <w:t xml:space="preserve">, §155); es ist aber kein wirklicher Gegensatz vorhanden. </w:t>
      </w:r>
    </w:p>
  </w:footnote>
  <w:footnote w:id="409">
    <w:p>
      <w:pPr>
        <w:pStyle w:val="Funote"/>
        <w:rPr/>
      </w:pPr>
      <w:r>
        <w:rPr/>
        <w:footnoteRef/>
        <w:tab/>
        <w:t xml:space="preserve">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w:t>
      </w:r>
      <w:r>
        <w:rPr>
          <w:i/>
        </w:rPr>
        <w:t>Hebrew Syntax</w:t>
      </w:r>
      <w:r>
        <w:rPr/>
        <w:t>,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w:t>
      </w:r>
      <w:r>
        <w:fldChar w:fldCharType="begin"/>
      </w:r>
      <w:r>
        <w:instrText> HYPERLINK "file:///wiki/Psalm_2" \l "s2"</w:instrText>
      </w:r>
      <w:r>
        <w:fldChar w:fldCharType="separate"/>
      </w:r>
      <w:r>
        <w:rPr>
          <w:rStyle w:val="Internetlink"/>
        </w:rPr>
        <w:t>V. 2</w:t>
      </w:r>
      <w:r>
        <w:fldChar w:fldCharType="end"/>
      </w:r>
      <w:r>
        <w:rPr/>
        <w:t>).</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 xml:space="preserve">Eine Bitte passt besser in das dargestellte vertrauensvolle Verhältnis als eine Forderung. </w:t>
      </w:r>
    </w:p>
  </w:footnote>
  <w:footnote w:id="417">
    <w:p>
      <w:pPr>
        <w:pStyle w:val="Funote"/>
        <w:rPr/>
      </w:pPr>
      <w:r>
        <w:rPr/>
        <w:footnoteRef/>
        <w:tab/>
        <w:t xml:space="preserve">D.h. Permanenter, erblicher Besitz (TWOT 1342a </w:t>
      </w:r>
      <w:r>
        <w:rPr>
          <w:rtl w:val="true"/>
          <w:lang w:bidi="he-IL"/>
        </w:rPr>
        <w:t>נַחֲלָה</w:t>
      </w:r>
      <w:r>
        <w:rPr/>
        <w:t xml:space="preserve">). </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 xml:space="preserve">Kann auch einen Hirtenstab bezeichnen. Der Genitiv beschreibt eine Eigenschaft; wörtlich „Stab des Eisens“. Vgl. Fußnote V. 6. </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i/>
        </w:rPr>
        <w:footnoteRef/>
        <w:tab/>
        <w:t>Während er floh vor Absalom, seinem Sohn</w:t>
      </w:r>
      <w:r>
        <w:rPr/>
        <w:t xml:space="preserve"> - Die Begebenheit, auf die hier angespielt wird, wird berichtet in </w:t>
      </w:r>
      <w:hyperlink r:id="rId20">
        <w:r>
          <w:rPr>
            <w:rStyle w:val="Internetlink"/>
          </w:rPr>
          <w:t>2 Sam 16</w:t>
        </w:r>
      </w:hyperlink>
      <w:r>
        <w:rPr/>
        <w:t>.</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i/>
        </w:rPr>
        <w:footnoteRef/>
        <w:tab/>
        <w:t>über meine Seele (über mich)</w:t>
      </w:r>
      <w:r>
        <w:rPr/>
        <w:t xml:space="preserve"> - Heb. </w:t>
      </w:r>
      <w:r>
        <w:rPr>
          <w:i/>
        </w:rPr>
        <w:t>nephesch</w:t>
      </w:r>
      <w:r>
        <w:rPr/>
        <w:t xml:space="preserve">. Die häufige Übersetzung „Seele“ ist fast nie zu empfehlen, weil es im heb. Menschenbild einen Gegensatz von Körper und Seele so nicht gab; </w:t>
      </w:r>
      <w:r>
        <w:rPr>
          <w:i/>
        </w:rPr>
        <w:t>nephesch</w:t>
      </w:r>
      <w:r>
        <w:rPr/>
        <w:t xml:space="preserve"> meint hier wie meist den </w:t>
      </w:r>
      <w:r>
        <w:rPr>
          <w:i/>
        </w:rPr>
        <w:t>ganzen</w:t>
      </w:r>
      <w:r>
        <w:rPr/>
        <w:t xml:space="preserve">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i/>
        </w:rPr>
        <w:footnoteRef/>
        <w:tab/>
        <w:t>{</w:t>
      </w:r>
      <w:r>
        <w:rPr>
          <w:i/>
          <w:strike/>
        </w:rPr>
        <w:t>Sela</w:t>
      </w:r>
      <w:r>
        <w:rPr>
          <w:i/>
        </w:rPr>
        <w:t>}</w:t>
      </w:r>
      <w:r>
        <w:rPr/>
        <w:t xml:space="preserve"> - Die Bedeutung von „Sela“ ist unklar; vgl. Lexikon/Lemma </w:t>
      </w:r>
      <w:hyperlink r:id="rId21">
        <w:r>
          <w:rPr>
            <w:rStyle w:val="Internetlink"/>
            <w:rtl w:val="true"/>
            <w:lang w:bidi="he-IL"/>
          </w:rPr>
          <w:t>סֶלַה</w:t>
        </w:r>
      </w:hyperlink>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i/>
        </w:rPr>
        <w:footnoteRef/>
        <w:tab/>
        <w:t>antwortet</w:t>
      </w:r>
      <w:r>
        <w:rPr/>
        <w:t xml:space="preserve"> - Das auf einen Flehruf folgende „Antworten“ Gottes steht in der Bibel fast ausnahmslos für eine Gebets</w:t>
      </w:r>
      <w:r>
        <w:rPr>
          <w:i/>
        </w:rPr>
        <w:t>erhörung</w:t>
      </w:r>
      <w:r>
        <w:rPr/>
        <w:t>;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 xml:space="preserve">Mit dem </w:t>
      </w:r>
      <w:r>
        <w:rPr>
          <w:i/>
        </w:rPr>
        <w:t>heiligen Berg (dem Berg seiner Heiligkeit)</w:t>
      </w:r>
      <w:r>
        <w:rPr/>
        <w:t xml:space="preserve"> ist der Jerusalemer Berg Zion gemeint, auf dem der Tempel Gottes erbaut war. Nach altheb. Vorstellung wohnte Gott (zumindest „teilweise“) in seinem Tempel auf dem Zion (s. näher z.B. </w:t>
      </w:r>
      <w:hyperlink r:id="rId22">
        <w:r>
          <w:rPr>
            <w:rStyle w:val="Internetlink"/>
          </w:rPr>
          <w:t>Zion / Zionstheologie (WiBiLex)</w:t>
        </w:r>
      </w:hyperlink>
      <w:r>
        <w:rPr/>
        <w:t xml:space="preserve">); ein Gebet musste daher zuerst zum Tempel in Zion dringen (s. z.B. </w:t>
      </w:r>
      <w:r>
        <w:fldChar w:fldCharType="begin"/>
      </w:r>
      <w:r>
        <w:instrText> HYPERLINK "file:///wiki/Jona_2" \l "s8"</w:instrText>
      </w:r>
      <w:r>
        <w:fldChar w:fldCharType="separate"/>
      </w:r>
      <w:r>
        <w:rPr>
          <w:rStyle w:val="Internetlink"/>
        </w:rPr>
        <w:t>Jon 2,8</w:t>
      </w:r>
      <w:r>
        <w:fldChar w:fldCharType="end"/>
      </w:r>
      <w:r>
        <w:rPr/>
        <w:t>),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i/>
        </w:rPr>
        <w:footnoteRef/>
        <w:tab/>
        <w:t>antworte mir (erhöre mich)</w:t>
      </w:r>
      <w:r>
        <w:rPr/>
        <w:t xml:space="preserve"> - Die Rede vom „Antworten“ Gottes meint in den Psalmen häufig dessen Gebetserhörungen; so auch hier.</w:t>
      </w:r>
    </w:p>
  </w:footnote>
  <w:footnote w:id="448">
    <w:p>
      <w:pPr>
        <w:pStyle w:val="Funote"/>
        <w:rPr/>
      </w:pPr>
      <w:r>
        <w:rPr>
          <w:i/>
        </w:rPr>
        <w:footnoteRef/>
        <w:tab/>
        <w:t>mein wahrer Gott (gerechter Gott, Gott meines Heils, Gott meiner Gerechtigkeit</w:t>
      </w:r>
      <w:r>
        <w:rPr/>
        <w:t xml:space="preserve">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i/>
        </w:rPr>
        <w:footnoteRef/>
        <w:tab/>
        <w:t>{</w:t>
      </w:r>
      <w:r>
        <w:rPr>
          <w:i/>
          <w:strike/>
        </w:rPr>
        <w:t>Sela</w:t>
      </w:r>
      <w:r>
        <w:rPr>
          <w:i/>
        </w:rPr>
        <w:t>}</w:t>
      </w:r>
      <w:r>
        <w:rPr/>
        <w:t xml:space="preserve"> - Die Bedeutung von </w:t>
      </w:r>
      <w:r>
        <w:rPr>
          <w:i/>
        </w:rPr>
        <w:t>sela</w:t>
      </w:r>
      <w:r>
        <w:rPr/>
        <w:t xml:space="preserve"> ist unklar; vgl. Lexikon/Lemma </w:t>
      </w:r>
      <w:hyperlink r:id="rId23">
        <w:r>
          <w:rPr>
            <w:rStyle w:val="Internetlink"/>
            <w:rtl w:val="true"/>
            <w:lang w:bidi="he-IL"/>
          </w:rPr>
          <w:t>סֶלַה</w:t>
        </w:r>
      </w:hyperlink>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i/>
        </w:rPr>
        <w:footnoteRef/>
        <w:tab/>
        <w:t>den ihm Frommen (seinem Frommen)</w:t>
      </w:r>
      <w:r>
        <w:rPr/>
        <w:t xml:space="preserve"> - Heb. </w:t>
      </w:r>
      <w:r>
        <w:rPr>
          <w:i/>
        </w:rPr>
        <w:t>lo</w:t>
      </w:r>
      <w:r>
        <w:rPr/>
        <w:t xml:space="preserve"> („sein“/„den ihm“) lässt sich sowohl possessiv deuten („</w:t>
      </w:r>
      <w:r>
        <w:rPr>
          <w:i/>
        </w:rPr>
        <w:t>sein</w:t>
      </w:r>
      <w:r>
        <w:rPr/>
        <w:t xml:space="preserve"> Frommer“) als auch „direktional“ als Angabe, wem die Frömmigkeit des Frommen gilt („der </w:t>
      </w:r>
      <w:r>
        <w:rPr>
          <w:i/>
        </w:rPr>
        <w:t>ihm</w:t>
      </w:r>
      <w:r>
        <w:rPr/>
        <w:t xml:space="preserve">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i/>
        </w:rPr>
        <w:footnoteRef/>
        <w:tab/>
        <w:t>[Während]</w:t>
      </w:r>
      <w:r>
        <w:rPr/>
        <w:t xml:space="preserve">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i/>
        </w:rPr>
        <w:footnoteRef/>
        <w:tab/>
        <w:t>[wo doch]</w:t>
      </w:r>
      <w:r>
        <w:rPr/>
        <w:t xml:space="preserve">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i/>
        </w:rPr>
        <w:footnoteRef/>
        <w:tab/>
        <w:t>{</w:t>
      </w:r>
      <w:r>
        <w:rPr>
          <w:i/>
          <w:strike/>
        </w:rPr>
        <w:t>mehr als</w:t>
      </w:r>
      <w:r>
        <w:rPr>
          <w:i/>
        </w:rPr>
        <w:t>}</w:t>
      </w:r>
      <w:r>
        <w:rPr/>
        <w:t xml:space="preserve"> - heb. </w:t>
      </w:r>
      <w:r>
        <w:rPr>
          <w:i/>
        </w:rPr>
        <w:t>min</w:t>
      </w:r>
      <w:r>
        <w:rPr/>
        <w:t xml:space="preserve"> kann sowohl komparativisch („</w:t>
      </w:r>
      <w:r>
        <w:rPr>
          <w:i/>
        </w:rPr>
        <w:t>mehr als</w:t>
      </w:r>
      <w:r>
        <w:rPr/>
        <w:t xml:space="preserve">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i/>
        </w:rPr>
        <w:footnoteRef/>
        <w:tab/>
        <w:t>höre (erhöre mich)</w:t>
      </w:r>
      <w:r>
        <w:rPr/>
        <w:t xml:space="preserve"> + </w:t>
      </w:r>
      <w:r>
        <w:rPr>
          <w:i/>
        </w:rPr>
        <w:t>achte auf (erhöre)</w:t>
      </w:r>
      <w:r>
        <w:rPr/>
        <w:t xml:space="preserve"> + </w:t>
      </w:r>
      <w:r>
        <w:rPr>
          <w:i/>
        </w:rPr>
        <w:t>lausche auf (erhöre)</w:t>
      </w:r>
      <w:r>
        <w:rPr/>
        <w:t xml:space="preserv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i/>
        </w:rPr>
        <w:footnoteRef/>
        <w:tab/>
        <w:t>Flehen (Grübeln, Murmeln)</w:t>
      </w:r>
      <w:r>
        <w:rPr/>
        <w:t xml:space="preserve"> - Heb. </w:t>
      </w:r>
      <w:r>
        <w:rPr>
          <w:i/>
        </w:rPr>
        <w:t>hagigi</w:t>
      </w:r>
      <w:r>
        <w:rPr/>
        <w:t xml:space="preserve">; Bed. unklar. Der Kontext macht aber offensichtlich, dass es sich hier um einen Ausdruck für ein flehendes Gebet handelt. Und da sich in Vv. 2ab.3a bei den Verben eine Steigerung findet (s. </w:t>
      </w:r>
      <w:r>
        <w:fldChar w:fldCharType="begin"/>
      </w:r>
      <w:r>
        <w:instrText> HYPERLINK "http://www.offene-bibel.de/wiki/index.php5?title=Psalm_5" \l "note_d"</w:instrText>
      </w:r>
      <w:r>
        <w:fldChar w:fldCharType="separate"/>
      </w:r>
      <w:r>
        <w:rPr>
          <w:rStyle w:val="Internetlink"/>
        </w:rPr>
        <w:t>Fußnote c</w:t>
      </w:r>
      <w:r>
        <w:fldChar w:fldCharType="end"/>
      </w:r>
      <w:r>
        <w:rPr/>
        <w:t xml:space="preserve">) und auch bei den Substantiven „Geschrei“ in V. 3a stärker ist als „Stimme“ in V. 2a, macht es Sinn, anzunehmen, dass auch „Stimme“ =&gt; </w:t>
      </w:r>
      <w:r>
        <w:rPr>
          <w:i/>
        </w:rPr>
        <w:t>hagigi</w:t>
      </w:r>
      <w:r>
        <w:rPr/>
        <w:t xml:space="preserve"> =&gt; „Geschrei“ eine Steigerung verdichten sollen und also </w:t>
      </w:r>
      <w:r>
        <w:rPr>
          <w:i/>
        </w:rPr>
        <w:t>hagigi</w:t>
      </w:r>
      <w:r>
        <w:rPr/>
        <w:t xml:space="preserve"> irgendwo zwischen „Stimme“ und „Geschrei“ liegt, also etwa „Flehen“. Vv. 2.3a sind dann ein </w:t>
      </w:r>
      <w:r>
        <w:rPr>
          <w:i/>
        </w:rPr>
        <w:t>Trikolon mit Klimax</w:t>
      </w:r>
      <w:r>
        <w:rPr/>
        <w:t>: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i/>
        </w:rPr>
        <w:footnoteRef/>
        <w:tab/>
        <w:t>Böse (Böses)</w:t>
      </w:r>
      <w:r>
        <w:rPr/>
        <w:t xml:space="preserve"> + </w:t>
      </w:r>
      <w:r>
        <w:rPr>
          <w:i/>
        </w:rPr>
        <w:t>Schlechte (Schlechtes)</w:t>
      </w:r>
      <w:r>
        <w:rPr/>
        <w:t xml:space="preserve"> - Rein sprachlich sind beide Üss. möglich; spätestens V. 6 wird aber klar, dass hier von </w:t>
      </w:r>
      <w:r>
        <w:rPr>
          <w:i/>
        </w:rPr>
        <w:t>Menschen</w:t>
      </w:r>
      <w:r>
        <w:rPr/>
        <w:t xml:space="preserve">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i/>
        </w:rPr>
        <w:footnoteRef/>
        <w:tab/>
        <w:t>Vv. 6f</w:t>
      </w:r>
      <w:r>
        <w:rPr/>
        <w:t>: Oder:</w:t>
        <w:br/>
      </w:r>
      <w:r>
        <w:rPr>
          <w:i/>
        </w:rPr>
        <w:t>Weil du kein Gott bist, dem Böse gefallen, / dürfen nicht wohnen bei dir Schlechte;</w:t>
      </w:r>
      <w:r>
        <w:rPr/>
        <w:br/>
      </w:r>
      <w:r>
        <w:rPr>
          <w:i/>
        </w:rPr>
        <w:t>es dürfen nicht stehen Frevler vor deinen Augen, / weil du alle Unholde hasst</w:t>
      </w:r>
      <w:r>
        <w:rPr/>
        <w: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i/>
        </w:rPr>
        <w:footnoteRef/>
        <w:tab/>
        <w:t>in deiner</w:t>
      </w:r>
      <w:r>
        <w:rPr/>
        <w:t xml:space="preserve"> - V. 8ab.9a haben je eine mit </w:t>
      </w:r>
      <w:r>
        <w:rPr>
          <w:rtl w:val="true"/>
          <w:lang w:bidi="he-IL"/>
        </w:rPr>
        <w:t>בְּ</w:t>
      </w:r>
      <w:r>
        <w:rPr/>
        <w:t xml:space="preserve"> </w:t>
      </w:r>
      <w:r>
        <w:rPr/>
        <w:t xml:space="preserve">(„in“) eingeleitete und mit </w:t>
      </w:r>
      <w:r>
        <w:rPr>
          <w:rtl w:val="true"/>
          <w:lang w:bidi="he-IL"/>
        </w:rPr>
        <w:t>ךָ</w:t>
      </w:r>
      <w:r>
        <w:rPr/>
        <w:t xml:space="preserve"> </w:t>
      </w:r>
      <w:r>
        <w:rPr/>
        <w:t xml:space="preserve">(„deine“) zugeordnete Angabe: 8a: „In deiner großen Gnade“, 8b: „In deiner Furcht“, 9a: „In deiner Gerechtigkeit“. Das parallelisiert die drei Stichen (=&gt; grammatischer Parallelismus), in keiner der Zeilen ist aber eine wörtl. Übertragung gut möglich: </w:t>
      </w:r>
    </w:p>
    <w:p>
      <w:pPr>
        <w:pStyle w:val="Textkrper"/>
        <w:numPr>
          <w:ilvl w:val="0"/>
          <w:numId w:val="1"/>
        </w:numPr>
        <w:tabs>
          <w:tab w:val="left" w:pos="0" w:leader="none"/>
        </w:tabs>
        <w:spacing w:before="0" w:after="0"/>
        <w:ind w:left="720" w:hanging="283"/>
        <w:rPr/>
      </w:pPr>
      <w:r>
        <w:rPr/>
        <w:tab/>
        <w:t xml:space="preserve">Das </w:t>
      </w:r>
      <w:r>
        <w:rPr>
          <w:rtl w:val="true"/>
          <w:lang w:bidi="he-IL"/>
        </w:rPr>
        <w:t>בְּ</w:t>
      </w:r>
      <w:r>
        <w:rPr/>
        <w:t xml:space="preserve"> </w:t>
      </w:r>
      <w:r>
        <w:rPr/>
        <w:t>in „</w:t>
      </w:r>
      <w:r>
        <w:rPr>
          <w:i/>
        </w:rPr>
        <w:t>in</w:t>
      </w:r>
      <w:r>
        <w:rPr/>
        <w:t xml:space="preserve"> der Menge deiner Gnade“ ist ein sog. „Beth rationis impellentis“, mit dem angegeben wird, dass etwas </w:t>
      </w:r>
      <w:r>
        <w:rPr>
          <w:i/>
        </w:rPr>
        <w:t>dank</w:t>
      </w:r>
      <w:r>
        <w:rPr/>
        <w:t xml:space="preserve"> etwas geschieht; hier also, dass Gottes Güte ihn zu besagter „Erlaubnis“ veranlasst; sinngemäßer also „</w:t>
      </w:r>
      <w:r>
        <w:rPr>
          <w:i/>
        </w:rPr>
        <w:t>dank</w:t>
      </w:r>
      <w:r>
        <w:rPr/>
        <w:t xml:space="preserve"> der Menge deiner Gnade“ </w:t>
      </w:r>
    </w:p>
    <w:p>
      <w:pPr>
        <w:pStyle w:val="Textkrper"/>
        <w:numPr>
          <w:ilvl w:val="0"/>
          <w:numId w:val="2"/>
        </w:numPr>
        <w:tabs>
          <w:tab w:val="left" w:pos="0" w:leader="none"/>
        </w:tabs>
        <w:spacing w:before="0" w:after="0"/>
        <w:ind w:left="720" w:hanging="283"/>
        <w:rPr/>
      </w:pPr>
      <w:r>
        <w:rPr/>
        <w:tab/>
        <w:t>„</w:t>
      </w:r>
      <w:r>
        <w:rPr/>
        <w:t xml:space="preserve">In deiner Furcht“ meint „in Ehrfurcht vor dir“ </w:t>
      </w:r>
    </w:p>
    <w:p>
      <w:pPr>
        <w:pStyle w:val="Textkrper"/>
        <w:numPr>
          <w:ilvl w:val="0"/>
          <w:numId w:val="3"/>
        </w:numPr>
        <w:tabs>
          <w:tab w:val="left" w:pos="0" w:leader="none"/>
        </w:tabs>
        <w:spacing w:before="0" w:after="283"/>
        <w:ind w:left="720" w:hanging="283"/>
        <w:rPr/>
      </w:pPr>
      <w:r>
        <w:rPr/>
        <w:tab/>
        <w:t>„</w:t>
      </w:r>
      <w:r>
        <w:rPr/>
        <w:t xml:space="preserve">In deiner Gerechtigkeit“ fungiert als Appell; s. genauer </w:t>
      </w:r>
      <w:r>
        <w:fldChar w:fldCharType="begin"/>
      </w:r>
      <w:r>
        <w:instrText> HYPERLINK "http://offene-bibel.de/mediawiki/index.php?title=Psalm_5" \l "note_q"</w:instrText>
      </w:r>
      <w:r>
        <w:fldChar w:fldCharType="separate"/>
      </w:r>
      <w:r>
        <w:rPr>
          <w:rStyle w:val="Internetlink"/>
        </w:rPr>
        <w:t>FN q</w:t>
      </w:r>
      <w:r>
        <w:fldChar w:fldCharType="end"/>
      </w:r>
      <w:r>
        <w:rPr/>
        <w:t>.</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i/>
        </w:rPr>
        <w:footnoteRef/>
        <w:tab/>
        <w:t>um meiner Feinde willen (wegen meiner Feinde)</w:t>
      </w:r>
      <w:r>
        <w:rPr/>
        <w:t xml:space="preserv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i/>
        </w:rPr>
        <w:footnoteRef/>
        <w:tab/>
        <w:t>ihre Zunge glätten sie</w:t>
      </w:r>
      <w:r>
        <w:rPr/>
        <w:t xml:space="preserve"> - Stehender Ausdruck für „sie sind Heuchler“; vgl. noch </w:t>
      </w:r>
      <w:r>
        <w:fldChar w:fldCharType="begin"/>
      </w:r>
      <w:r>
        <w:instrText> HYPERLINK "file:///wiki/Psalm_12" \l "s3"</w:instrText>
      </w:r>
      <w:r>
        <w:fldChar w:fldCharType="separate"/>
      </w:r>
      <w:r>
        <w:rPr>
          <w:rStyle w:val="Internetlink"/>
        </w:rPr>
        <w:t>Ps 12,3</w:t>
      </w:r>
      <w:r>
        <w:fldChar w:fldCharType="end"/>
      </w:r>
      <w:r>
        <w:rPr/>
        <w:t xml:space="preserve">; </w:t>
      </w:r>
      <w:hyperlink r:id="rId24">
        <w:r>
          <w:rPr>
            <w:rStyle w:val="Internetlink"/>
          </w:rPr>
          <w:t>55,22</w:t>
        </w:r>
      </w:hyperlink>
      <w:r>
        <w:rPr/>
        <w:t xml:space="preserve">; auch </w:t>
      </w:r>
      <w:r>
        <w:fldChar w:fldCharType="begin"/>
      </w:r>
      <w:r>
        <w:instrText> HYPERLINK "file:///wiki/Römer_3" \l "s13"</w:instrText>
      </w:r>
      <w:r>
        <w:fldChar w:fldCharType="separate"/>
      </w:r>
      <w:r>
        <w:rPr>
          <w:rStyle w:val="Internetlink"/>
        </w:rPr>
        <w:t>Röm 3,13</w:t>
      </w:r>
      <w:r>
        <w:fldChar w:fldCharType="end"/>
      </w:r>
    </w:p>
  </w:footnote>
  <w:footnote w:id="498">
    <w:p>
      <w:pPr>
        <w:pStyle w:val="Funote"/>
        <w:spacing w:before="0" w:after="283"/>
        <w:rPr/>
      </w:pPr>
      <w:r>
        <w:rPr>
          <w:i/>
        </w:rPr>
        <w:footnoteRef/>
        <w:tab/>
        <w:t>V. 10</w:t>
      </w:r>
      <w:r>
        <w:rPr/>
        <w:t>: Oder:</w:t>
      </w:r>
    </w:p>
    <w:p>
      <w:pPr>
        <w:pStyle w:val="Textkrper"/>
        <w:rPr/>
      </w:pPr>
      <w:r>
        <w:rPr/>
        <w:tab/>
        <w:t>„</w:t>
      </w:r>
      <w:r>
        <w:rPr>
          <w:i/>
        </w:rPr>
        <w:t>Weil in ihrem Reden nichts Aufrichtiges [ist], / [Sei] ihr Inneres [ihr] Verderben.</w:t>
      </w:r>
      <w:r>
        <w:rPr/>
        <w:br/>
      </w:r>
      <w:r>
        <w:rPr>
          <w:i/>
        </w:rPr>
        <w:t>Ihre Kehle [sei] [ihr] offenes Grab (i.e. Tod) / weil sie ihre Zunge glätten (i.e. da sie ja Heuchler sind).</w:t>
      </w:r>
      <w:r>
        <w:rPr/>
        <w:t>“</w:t>
      </w:r>
    </w:p>
    <w:p>
      <w:pPr>
        <w:pStyle w:val="Textkrper"/>
        <w:spacing w:before="0" w:after="283"/>
        <w:rPr/>
      </w:pPr>
      <w:r>
        <w:rPr/>
        <w:tab/>
        <w:t>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i/>
        </w:rPr>
        <w:footnoteRef/>
        <w:tab/>
        <w:t>den Gerechten (die Gerechten)</w:t>
      </w:r>
      <w:r>
        <w:rPr/>
        <w:t xml:space="preserve"> - Ein sog. „generalisierender Singular“, der Pl.-Bed. hat, weshalb es dann auch heißen kann, dass Gott </w:t>
      </w:r>
      <w:r>
        <w:rPr>
          <w:i/>
        </w:rPr>
        <w:t>sie</w:t>
      </w:r>
      <w:r>
        <w:rPr/>
        <w:t xml:space="preserv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i/>
        </w:rPr>
        <w:footnoteRef/>
        <w:tab/>
        <w:t>schwach</w:t>
      </w:r>
      <w:r>
        <w:rPr/>
        <w:t xml:space="preserve"> - Viele Üss. und Lexika: „welk“, aber das wäre überwörtlich (wenn denn „welken“ überhaupt wirklich die Primärbedeutung von </w:t>
      </w:r>
      <w:r>
        <w:rPr>
          <w:i/>
        </w:rPr>
        <w:t>amal</w:t>
      </w:r>
      <w:r>
        <w:rPr/>
        <w:t xml:space="preserve"> ist). Besser trifft die Bedeutung sinngemäß wohl ein wörtlich verstandenes „todtraurig“, „so traurig, dass ich dem Tode nahe bin“; s. z.B. </w:t>
      </w:r>
      <w:hyperlink r:id="rId25">
        <w:r>
          <w:rPr>
            <w:rStyle w:val="Internetlink"/>
          </w:rPr>
          <w:t>Jes 24,4.7</w:t>
        </w:r>
      </w:hyperlink>
      <w:r>
        <w:rPr/>
        <w:t>: „</w:t>
      </w:r>
      <w:r>
        <w:rPr>
          <w:i/>
        </w:rPr>
        <w:t xml:space="preserve">Es trauert und verdorrt die Erde; es </w:t>
      </w:r>
      <w:r>
        <w:rPr/>
        <w:t xml:space="preserve">amal </w:t>
      </w:r>
      <w:r>
        <w:rPr>
          <w:i/>
        </w:rPr>
        <w:t xml:space="preserve">und verdorrt die Welt; es </w:t>
      </w:r>
      <w:r>
        <w:rPr/>
        <w:t xml:space="preserve">amal </w:t>
      </w:r>
      <w:r>
        <w:rPr>
          <w:i/>
        </w:rPr>
        <w:t xml:space="preserve">die Höhen der Erde. ... Es trauert die Rebe, es </w:t>
      </w:r>
      <w:r>
        <w:rPr/>
        <w:t xml:space="preserve">amal </w:t>
      </w:r>
      <w:r>
        <w:rPr>
          <w:i/>
        </w:rPr>
        <w:t>der Wein; es seufzen alle, die fröhlichen Herzens [waren].</w:t>
      </w:r>
      <w:r>
        <w:rPr/>
        <w:t xml:space="preserve">“; </w:t>
      </w:r>
      <w:hyperlink r:id="rId26">
        <w:r>
          <w:rPr>
            <w:rStyle w:val="Internetlink"/>
          </w:rPr>
          <w:t>Hos 4,3</w:t>
        </w:r>
      </w:hyperlink>
      <w:r>
        <w:rPr/>
        <w:t>: „</w:t>
      </w:r>
      <w:r>
        <w:rPr>
          <w:i/>
        </w:rPr>
        <w:t xml:space="preserve">Deshalb wird trauern das Land und es </w:t>
      </w:r>
      <w:r>
        <w:rPr/>
        <w:t xml:space="preserve">amal </w:t>
      </w:r>
      <w:r>
        <w:rPr>
          <w:i/>
        </w:rPr>
        <w:t>alle, die darin wohnen. Die Tiere des Feldes, die Vögel des Himmels und die Fische des Meeres werden dahingerafft.</w:t>
      </w:r>
      <w:r>
        <w:rPr/>
        <w: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Anataklasis ausgehen: „Meine Knochen zittern (=Ich zittere) / und meine Seele ist (=ich bin) sehr erschrocken“. So z.B. Alexander 1850; Goldingay 2006; Houston/Moore/Waltke 2014; Terrien 2003. ## „vergehen“, bedeuten; vgl. Ges18 und s. Ps 83,18; 90,7; 104,29; Zef 1,18; ws. auch Jes 13,8. Dann ### entweder ebenfalls Anataklasis: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Anataklasis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i/>
        </w:rPr>
        <w:footnoteRef/>
        <w:tab/>
        <w:t>meine Seele (mich)</w:t>
      </w:r>
      <w:r>
        <w:rPr/>
        <w:t xml:space="preserve"> - „Seele“ im Heb. fast stets Wechselbegriff für „Ich“; übersetze: „Rette </w:t>
      </w:r>
      <w:r>
        <w:rPr>
          <w:i/>
        </w:rPr>
        <w:t>mich</w:t>
      </w:r>
      <w:r>
        <w:rPr/>
        <w:t>!“</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i/>
        </w:rPr>
        <w:footnoteRef/>
        <w:tab/>
        <w:t>Totenreich</w:t>
      </w:r>
      <w:r>
        <w:rPr/>
        <w:t xml:space="preserve"> + </w:t>
      </w:r>
      <w:r>
        <w:rPr>
          <w:i/>
        </w:rPr>
        <w:t>Scheol</w:t>
      </w:r>
      <w:r>
        <w:rPr/>
        <w:t>: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i/>
        </w:rPr>
        <w:footnoteRef/>
        <w:tab/>
        <w:t>Frevler</w:t>
      </w:r>
      <w:r>
        <w:rPr/>
        <w:t xml:space="preserve"> - stehende Wendung im Hebräischen; W.: „alle Tuenden von Frevel“.</w:t>
        <w:br/>
        <w:t>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i/>
        </w:rPr>
        <w:footnoteRef/>
        <w:tab/>
        <w:t>Klang meines Weinens</w:t>
      </w:r>
      <w:r>
        <w:rPr/>
        <w:t xml:space="preserve"> + </w:t>
      </w:r>
      <w:r>
        <w:rPr>
          <w:i/>
        </w:rPr>
        <w:t>Bitten</w:t>
      </w:r>
      <w:r>
        <w:rPr/>
        <w:t xml:space="preserve"> + </w:t>
      </w:r>
      <w:r>
        <w:rPr>
          <w:i/>
        </w:rPr>
        <w:t>Gebet (Bittgebet)</w:t>
      </w:r>
      <w:r>
        <w:rPr/>
        <w:t xml:space="preserve"> - Die Aufeinanderfolge dieser drei Begriffe verdichtet eine Progression von unartikuliert nach artikuliert: </w:t>
      </w:r>
      <w:r>
        <w:rPr>
          <w:i/>
        </w:rPr>
        <w:t>qol</w:t>
      </w:r>
      <w:r>
        <w:rPr/>
        <w:t xml:space="preserve"> („Klang“) bezeichnet primär das rein Akustische (das „Geräusch“) - der „Klang des Weinens“ sind also die unartikulierten Klagelaute -; </w:t>
      </w:r>
      <w:r>
        <w:rPr>
          <w:i/>
        </w:rPr>
        <w:t>tähinna</w:t>
      </w:r>
      <w:r>
        <w:rPr/>
        <w:t xml:space="preserve"> („Bitten“) meint den Akt der flehenden Hinwendung im Gebet und </w:t>
      </w:r>
      <w:r>
        <w:rPr>
          <w:i/>
        </w:rPr>
        <w:t>täfilla</w:t>
      </w:r>
      <w:r>
        <w:rPr/>
        <w:t xml:space="preserve"> ist eine Psalm</w:t>
      </w:r>
      <w:r>
        <w:rPr>
          <w:i/>
        </w:rPr>
        <w:t>gattung</w:t>
      </w:r>
      <w:r>
        <w:rPr/>
        <w:t xml:space="preserve">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i/>
        </w:rPr>
        <w:footnoteRef/>
        <w:tab/>
        <w:t>Shiggajon</w:t>
      </w:r>
      <w:r>
        <w:rPr/>
        <w:t xml:space="preserve"> - Bedeutung unbekannt. Das Wort findet sich sonst nur noch in </w:t>
      </w:r>
      <w:hyperlink r:id="rId27">
        <w:r>
          <w:rPr>
            <w:rStyle w:val="Internetlink"/>
          </w:rPr>
          <w:t>Hab 3,1</w:t>
        </w:r>
      </w:hyperlink>
      <w:r>
        <w:rPr/>
        <w:t xml:space="preserve">. Viele leiten die Bedeutung vom akkadischen </w:t>
      </w:r>
      <w:r>
        <w:rPr>
          <w:i/>
        </w:rPr>
        <w:t>schigû</w:t>
      </w:r>
      <w:r>
        <w:rPr/>
        <w:t xml:space="preserve"> („Klageruf“) ab und übersetzen mit „Klagelied“, doch in Hab 3,1 passt diese Bedeutung nicht.</w:t>
      </w:r>
    </w:p>
  </w:footnote>
  <w:footnote w:id="532">
    <w:p>
      <w:pPr>
        <w:pStyle w:val="Funote"/>
        <w:rPr/>
      </w:pPr>
      <w:r>
        <w:rPr>
          <w:i/>
        </w:rPr>
        <w:footnoteRef/>
        <w:tab/>
        <w:t>Kuschs, des Benjaminiten</w:t>
      </w:r>
      <w:r>
        <w:rPr/>
        <w:t xml:space="preserve">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i/>
        </w:rPr>
        <w:footnoteRef/>
        <w:tab/>
        <w:t>meine Seele (mich)</w:t>
      </w:r>
      <w:r>
        <w:rPr/>
        <w:t xml:space="preserve">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i/>
        </w:rPr>
        <w:footnoteRef/>
        <w:tab/>
        <w:t>dem, der</w:t>
      </w:r>
      <w:r>
        <w:rPr/>
        <w:t xml:space="preserve"> - gemeint sind mit dem Sg. wieder die vielen Verfolger, s. die nächste Zeile und vgl. </w:t>
      </w:r>
      <w:r>
        <w:fldChar w:fldCharType="begin"/>
      </w:r>
      <w:r>
        <w:instrText> HYPERLINK "http://offene-bibel.de/mediawiki/index.php?title=Psalm_7" \l "note_c"</w:instrText>
      </w:r>
      <w:r>
        <w:fldChar w:fldCharType="separate"/>
      </w:r>
      <w:r>
        <w:rPr>
          <w:rStyle w:val="Internetlink"/>
        </w:rPr>
        <w:t>FN c</w:t>
      </w:r>
      <w:r>
        <w:fldChar w:fldCharType="end"/>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i/>
        </w:rPr>
        <w:footnoteRef/>
        <w:tab/>
        <w:t>mich</w:t>
      </w:r>
      <w:r>
        <w:rPr/>
        <w:t xml:space="preserve">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w:t>
      </w:r>
      <w:r>
        <w:rPr>
          <w:i/>
        </w:rPr>
        <w:t>Selah</w:t>
      </w:r>
      <w:r>
        <w:rPr/>
        <w:t xml:space="preserve"> ist unklar, s. Lexikon / Lemma </w:t>
      </w:r>
      <w:hyperlink r:id="rId28">
        <w:r>
          <w:rPr>
            <w:rStyle w:val="Internetlink"/>
            <w:rtl w:val="true"/>
            <w:lang w:bidi="he-IL"/>
          </w:rPr>
          <w:t>סֶלַה</w:t>
        </w:r>
      </w:hyperlink>
      <w:r>
        <w:rPr/>
        <w:t>. In der LF sollte es daher besser ausgespart werden.</w:t>
      </w:r>
    </w:p>
  </w:footnote>
  <w:footnote w:id="543">
    <w:p>
      <w:pPr>
        <w:pStyle w:val="Funote"/>
        <w:rPr/>
      </w:pPr>
      <w:r>
        <w:rPr>
          <w:i/>
        </w:rPr>
        <w:footnoteRef/>
        <w:tab/>
        <w:t>erwache</w:t>
      </w:r>
      <w:r>
        <w:rPr/>
        <w:t xml:space="preserve"> - Hinter diesem häufigen Aufruf steht die Vorstellung, dass - da einerseits ja Gott die ganze Welt lenkt und leitet, andererseits aber offensichtlich gerade ein Unrecht geschieht - Gott aktuell „inaktiv“ sein muss (vgl. näher z.B. </w:t>
      </w:r>
      <w:r>
        <w:fldChar w:fldCharType="begin"/>
      </w:r>
      <w:r>
        <w:instrText> HYPERLINK "http://www.bibelwissenschaft.de/stichwort/26737/" \l "h2"</w:instrText>
      </w:r>
      <w:r>
        <w:fldChar w:fldCharType="separate"/>
      </w:r>
      <w:r>
        <w:rPr>
          <w:rStyle w:val="Internetlink"/>
        </w:rPr>
        <w:t>Schlaf (Wibilex)</w:t>
      </w:r>
      <w:r>
        <w:fldChar w:fldCharType="end"/>
      </w:r>
      <w:r>
        <w:rPr/>
        <w:t xml:space="preserve">). Ob dies „schlafen“ wirklich </w:t>
      </w:r>
      <w:r>
        <w:rPr>
          <w:i/>
        </w:rPr>
        <w:t>nur</w:t>
      </w:r>
      <w:r>
        <w:rPr/>
        <w:t xml:space="preserve">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i/>
        </w:rPr>
        <w:footnoteRef/>
        <w:tab/>
        <w:t>Und über sie kehre zur Höhe zurück</w:t>
      </w:r>
      <w:r>
        <w:rPr/>
        <w:t xml:space="preserve"> - nämlich, nachdem du erwacht bist, auf deinen himmlischen „Richterthron“ (4Esr 7,33), um dein Richtamt auszuüben; s. die Parallelstellen und vgl. zur Vorstellung z.B. </w:t>
      </w:r>
      <w:r>
        <w:fldChar w:fldCharType="begin"/>
      </w:r>
      <w:r>
        <w:instrText> HYPERLINK "http://www.bibelwissenschaft.de/stichwort/32258/" \l "h8"</w:instrText>
      </w:r>
      <w:r>
        <w:fldChar w:fldCharType="separate"/>
      </w:r>
      <w:r>
        <w:rPr>
          <w:rStyle w:val="Internetlink"/>
        </w:rPr>
        <w:t>Tag Jahwes (AT) (Wibilex)</w:t>
      </w:r>
      <w:r>
        <w:fldChar w:fldCharType="end"/>
      </w:r>
      <w:r>
        <w:rPr/>
        <w:t>.</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i/>
        </w:rPr>
        <w:footnoteRef/>
        <w:tab/>
        <w:t>gemäß meiner Gerechtigkeit</w:t>
      </w:r>
      <w:r>
        <w:rPr/>
        <w:t xml:space="preserve"> - d.h., wie dies meiner Gerechtigkeit angemessen wäre.</w:t>
      </w:r>
    </w:p>
  </w:footnote>
  <w:footnote w:id="550">
    <w:p>
      <w:pPr>
        <w:pStyle w:val="Funote"/>
        <w:rPr/>
      </w:pPr>
      <w:r>
        <w:rPr>
          <w:i/>
        </w:rPr>
        <w:footnoteRef/>
        <w:tab/>
        <w:t>[die] auf mir [ist]</w:t>
      </w:r>
      <w:r>
        <w:rPr/>
        <w:t xml:space="preserve"> - vielleicht ein Wortspiel: Dass Unschuld „auf“ jemandem ist, ist auch im Heb. nicht idiomatisch. Vielleicht soll hier mit der Vorstellung von Sündigkeit und Ungerechtigkeit, die „auf“ (</w:t>
      </w:r>
      <w:hyperlink r:id="rId29">
        <w:r>
          <w:rPr>
            <w:rStyle w:val="Internetlink"/>
          </w:rPr>
          <w:t>Ez 33,10</w:t>
        </w:r>
      </w:hyperlink>
      <w:r>
        <w:rPr/>
        <w:t xml:space="preserve">; auch </w:t>
      </w:r>
      <w:hyperlink r:id="rId30">
        <w:r>
          <w:rPr>
            <w:rStyle w:val="Internetlink"/>
          </w:rPr>
          <w:t>Ez 18,31</w:t>
        </w:r>
      </w:hyperlink>
      <w:r>
        <w:rPr/>
        <w:t>: „Werft von auf euch alle Übertretungen...“) jemandem lastet (</w:t>
      </w:r>
      <w:hyperlink r:id="rId31">
        <w:r>
          <w:rPr>
            <w:rStyle w:val="Internetlink"/>
          </w:rPr>
          <w:t>Jes 24,20</w:t>
        </w:r>
      </w:hyperlink>
      <w:r>
        <w:rPr/>
        <w:t>) wie ein Joch (</w:t>
      </w:r>
      <w:hyperlink r:id="rId32">
        <w:r>
          <w:rPr>
            <w:rStyle w:val="Internetlink"/>
          </w:rPr>
          <w:t>Klg 1,14</w:t>
        </w:r>
      </w:hyperlink>
      <w:r>
        <w:rPr/>
        <w:t xml:space="preserve">), gespielt werden: </w:t>
      </w:r>
      <w:r>
        <w:rPr>
          <w:i/>
        </w:rPr>
        <w:t>Solche</w:t>
      </w:r>
      <w:r>
        <w:rPr/>
        <w:t xml:space="preserve"> lasten gerade nicht auf dem Beter; auf </w:t>
      </w:r>
      <w:r>
        <w:rPr>
          <w:i/>
        </w:rPr>
        <w:t>ihm</w:t>
      </w:r>
      <w:r>
        <w:rPr/>
        <w:t xml:space="preserve"> lastet nur </w:t>
      </w:r>
      <w:r>
        <w:rPr>
          <w:i/>
        </w:rPr>
        <w:t>Unschuld</w:t>
      </w:r>
      <w:r>
        <w:rPr/>
        <w:t>.</w:t>
      </w:r>
    </w:p>
  </w:footnote>
  <w:footnote w:id="551">
    <w:p>
      <w:pPr>
        <w:pStyle w:val="Funote"/>
        <w:rPr/>
      </w:pPr>
      <w:r>
        <w:rPr>
          <w:i/>
        </w:rPr>
        <w:footnoteRef/>
        <w:tab/>
        <w:t>Böses von Frevlern (böse Frevler, Bosheit von Frevler?)</w:t>
      </w:r>
      <w:r>
        <w:rPr/>
        <w:t xml:space="preserve"> - Was auf den ersten Blick „Böses von Frevlern“ zu bedeuten scheint und daher häufig nach „Bosheit von Frevlern“ emendiert worden ist, heißt wohl einfach „böse Frevler“ (zur Konstruktion vgl. </w:t>
      </w:r>
      <w:r>
        <w:fldChar w:fldCharType="begin"/>
      </w:r>
      <w:r>
        <w:instrText> HYPERLINK "http://en.wikisource.org/wiki/Gesenius'_Hebrew_Grammar/132._Connexion_of_the_Substantive_with_the_Adjective" \l "GHGpar-132-c"</w:instrText>
      </w:r>
      <w:r>
        <w:fldChar w:fldCharType="separate"/>
      </w:r>
      <w:r>
        <w:rPr>
          <w:rStyle w:val="Internetlink"/>
        </w:rPr>
        <w:t>GKC § 132c</w:t>
      </w:r>
      <w:r>
        <w:fldChar w:fldCharType="end"/>
      </w:r>
      <w:r>
        <w:rPr/>
        <w:t>).</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i/>
        </w:rPr>
        <w:footnoteRef/>
        <w:tab/>
        <w:t>Der gerechte Gott prüft Herz und Nieren...</w:t>
      </w:r>
      <w:r>
        <w:rPr/>
        <w:t xml:space="preserve">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i/>
        </w:rPr>
        <w:footnoteRef/>
        <w:tab/>
        <w:t>ihn aufrichtet</w:t>
      </w:r>
      <w:r>
        <w:rPr/>
        <w:t xml:space="preserve"> - d.h. wohl: „mit ihm zielt“.</w:t>
      </w:r>
    </w:p>
  </w:footnote>
  <w:footnote w:id="559">
    <w:p>
      <w:pPr>
        <w:pStyle w:val="Funote"/>
        <w:rPr/>
      </w:pPr>
      <w:r>
        <w:rPr>
          <w:i/>
        </w:rPr>
        <w:footnoteRef/>
        <w:tab/>
        <w:t>zu brennenden</w:t>
      </w:r>
      <w:r>
        <w:rPr/>
        <w:t xml:space="preserve">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w:t>
      </w:r>
      <w:r>
        <w:rPr>
          <w:i/>
        </w:rPr>
        <w:t>Kinder</w:t>
      </w:r>
      <w:r>
        <w:rPr/>
        <w:t xml:space="preserve">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w:t>
      </w:r>
      <w:r>
        <w:fldChar w:fldCharType="begin"/>
      </w:r>
      <w:r>
        <w:instrText> HYPERLINK "http://www.offene-bibel.de/wiki/index.php5?title=Psalm_5" \l "note_ad"</w:instrText>
      </w:r>
      <w:r>
        <w:fldChar w:fldCharType="separate"/>
      </w:r>
      <w:r>
        <w:rPr>
          <w:rStyle w:val="Internetlink"/>
        </w:rPr>
        <w:t>FN ad</w:t>
      </w:r>
      <w:r>
        <w:fldChar w:fldCharType="end"/>
      </w:r>
      <w:r>
        <w:rPr/>
        <w:t xml:space="preserve"> zu </w:t>
      </w:r>
      <w:r>
        <w:fldChar w:fldCharType="begin"/>
      </w:r>
      <w:r>
        <w:instrText> HYPERLINK "file:///wiki/Psalm_5" \l "s9"</w:instrText>
      </w:r>
      <w:r>
        <w:fldChar w:fldCharType="separate"/>
      </w:r>
      <w:r>
        <w:rPr>
          <w:rStyle w:val="Internetlink"/>
        </w:rPr>
        <w:t>Ps 5,9</w:t>
      </w:r>
      <w:r>
        <w:fldChar w:fldCharType="end"/>
      </w:r>
      <w:r>
        <w:rPr/>
        <w:t xml:space="preserve">: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 xml:space="preserve">Das „Erinnern“ und „Beachten“ Gottes ist nicht wörtlich zu verstehen, sondern beides sind geprägte Wendungen für ein Handeln Gottes an dem, dessen er sich „erinnert“ oder auf den er „achtet“. Ist es nicht näher bestimmt, meint es meist ein </w:t>
      </w:r>
      <w:r>
        <w:rPr>
          <w:i/>
        </w:rPr>
        <w:t>heilsames</w:t>
      </w:r>
      <w:r>
        <w:rPr/>
        <w:t xml:space="preserve"> Handeln; so auch hier. Vgl. zu „Erinnern“ </w:t>
      </w:r>
      <w:r>
        <w:fldChar w:fldCharType="begin"/>
      </w:r>
      <w:r>
        <w:instrText> HYPERLINK "file:///wiki/Genesis_8" \l "s1"</w:instrText>
      </w:r>
      <w:r>
        <w:fldChar w:fldCharType="separate"/>
      </w:r>
      <w:r>
        <w:rPr>
          <w:rStyle w:val="Internetlink"/>
        </w:rPr>
        <w:t>Gen 8,1</w:t>
      </w:r>
      <w:r>
        <w:fldChar w:fldCharType="end"/>
      </w:r>
      <w:r>
        <w:rPr/>
        <w:t xml:space="preserve">; </w:t>
      </w:r>
      <w:r>
        <w:fldChar w:fldCharType="begin"/>
      </w:r>
      <w:r>
        <w:instrText> HYPERLINK "file:///wiki/Genesis_19" \l "s29"</w:instrText>
      </w:r>
      <w:r>
        <w:fldChar w:fldCharType="separate"/>
      </w:r>
      <w:r>
        <w:rPr>
          <w:rStyle w:val="Internetlink"/>
        </w:rPr>
        <w:t>19,29</w:t>
      </w:r>
      <w:r>
        <w:fldChar w:fldCharType="end"/>
      </w:r>
      <w:r>
        <w:rPr/>
        <w:t xml:space="preserve">; </w:t>
      </w:r>
      <w:hyperlink r:id="rId33">
        <w:r>
          <w:rPr>
            <w:rStyle w:val="Internetlink"/>
          </w:rPr>
          <w:t>30,22</w:t>
        </w:r>
      </w:hyperlink>
      <w:r>
        <w:rPr/>
        <w:t xml:space="preserve">; </w:t>
      </w:r>
      <w:hyperlink r:id="rId34">
        <w:r>
          <w:rPr>
            <w:rStyle w:val="Internetlink"/>
          </w:rPr>
          <w:t>Ex 32,13</w:t>
        </w:r>
      </w:hyperlink>
      <w:r>
        <w:rPr/>
        <w:t xml:space="preserve">; </w:t>
      </w:r>
      <w:hyperlink r:id="rId35">
        <w:r>
          <w:rPr>
            <w:rStyle w:val="Internetlink"/>
          </w:rPr>
          <w:t>Dtn 9,27</w:t>
        </w:r>
      </w:hyperlink>
      <w:r>
        <w:rPr/>
        <w:t xml:space="preserve"> u.ö.; zu „Beachten“ </w:t>
      </w:r>
      <w:hyperlink r:id="rId36">
        <w:r>
          <w:rPr>
            <w:rStyle w:val="Internetlink"/>
          </w:rPr>
          <w:t>Gen 21,1</w:t>
        </w:r>
      </w:hyperlink>
      <w:r>
        <w:rPr/>
        <w:t xml:space="preserve">; </w:t>
      </w:r>
      <w:r>
        <w:fldChar w:fldCharType="begin"/>
      </w:r>
      <w:r>
        <w:instrText> HYPERLINK "file:///wiki/Genesis_50" \l "s24"</w:instrText>
      </w:r>
      <w:r>
        <w:fldChar w:fldCharType="separate"/>
      </w:r>
      <w:r>
        <w:rPr>
          <w:rStyle w:val="Internetlink"/>
        </w:rPr>
        <w:t>50,24f</w:t>
      </w:r>
      <w:r>
        <w:fldChar w:fldCharType="end"/>
      </w:r>
      <w:r>
        <w:rPr/>
        <w:t xml:space="preserve">; </w:t>
      </w:r>
      <w:r>
        <w:fldChar w:fldCharType="begin"/>
      </w:r>
      <w:r>
        <w:instrText> HYPERLINK "file:///wiki/Exodus_3" \l "s16"</w:instrText>
      </w:r>
      <w:r>
        <w:fldChar w:fldCharType="separate"/>
      </w:r>
      <w:r>
        <w:rPr>
          <w:rStyle w:val="Internetlink"/>
        </w:rPr>
        <w:t>Ex 3,16</w:t>
      </w:r>
      <w:r>
        <w:fldChar w:fldCharType="end"/>
      </w:r>
      <w:r>
        <w:rPr/>
        <w:t xml:space="preserve">; </w:t>
      </w:r>
      <w:r>
        <w:fldChar w:fldCharType="begin"/>
      </w:r>
      <w:r>
        <w:instrText> HYPERLINK "file:///wiki/Exodus_4" \l "s31"</w:instrText>
      </w:r>
      <w:r>
        <w:fldChar w:fldCharType="separate"/>
      </w:r>
      <w:r>
        <w:rPr>
          <w:rStyle w:val="Internetlink"/>
        </w:rPr>
        <w:t>4,31</w:t>
      </w:r>
      <w:r>
        <w:fldChar w:fldCharType="end"/>
      </w:r>
      <w:r>
        <w:rPr/>
        <w:t xml:space="preserve">; </w:t>
      </w:r>
      <w:hyperlink r:id="rId37">
        <w:r>
          <w:rPr>
            <w:rStyle w:val="Internetlink"/>
          </w:rPr>
          <w:t>1Sam 2,21</w:t>
        </w:r>
      </w:hyperlink>
      <w:r>
        <w:rPr/>
        <w:t xml:space="preserve">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 xml:space="preserve">Heb. </w:t>
      </w:r>
      <w:r>
        <w:rPr>
          <w:i/>
        </w:rPr>
        <w:t>ben adam</w:t>
      </w:r>
      <w:r>
        <w:rPr/>
        <w:t xml:space="preserve">, Sohn / Kind des </w:t>
      </w:r>
      <w:r>
        <w:rPr>
          <w:i/>
        </w:rPr>
        <w:t>adam</w:t>
      </w:r>
      <w:r>
        <w:rPr/>
        <w:t xml:space="preserve">. Dass Ps 8 vielfältige Bezüge zum Schöpfungsmythos hat, wurde häufig bemerkt (bis hin zur These, mit dem konsekutiven </w:t>
      </w:r>
      <w:r>
        <w:rPr>
          <w:i/>
        </w:rPr>
        <w:t>waw</w:t>
      </w:r>
      <w:r>
        <w:rPr/>
        <w:t xml:space="preserve"> schließe Ps 8 direkt an Gen 1 an); </w:t>
      </w:r>
      <w:r>
        <w:rPr>
          <w:i/>
        </w:rPr>
        <w:t>ben adam</w:t>
      </w:r>
      <w:r>
        <w:rPr/>
        <w:t xml:space="preserve">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 xml:space="preserve">Herrlichkeit und Pracht“ sind eigentlich Prädikate, die typischerweise nur von Gott ausgesagt werden (vgl. </w:t>
      </w:r>
      <w:r>
        <w:fldChar w:fldCharType="begin"/>
      </w:r>
      <w:r>
        <w:instrText> HYPERLINK "file:///wiki/Psalm_145" \l "s5"</w:instrText>
      </w:r>
      <w:r>
        <w:fldChar w:fldCharType="separate"/>
      </w:r>
      <w:r>
        <w:rPr>
          <w:rStyle w:val="Internetlink"/>
        </w:rPr>
        <w:t>Ps 145,5.12</w:t>
      </w:r>
      <w:r>
        <w:fldChar w:fldCharType="end"/>
      </w:r>
      <w:r>
        <w:rPr/>
        <w:t xml:space="preserve">; </w:t>
      </w:r>
      <w:r>
        <w:fldChar w:fldCharType="begin"/>
      </w:r>
      <w:r>
        <w:instrText> HYPERLINK "file:///wiki/Jesaja_35" \l "s2"</w:instrText>
      </w:r>
      <w:r>
        <w:fldChar w:fldCharType="separate"/>
      </w:r>
      <w:r>
        <w:rPr>
          <w:rStyle w:val="Internetlink"/>
        </w:rPr>
        <w:t>Jes 35,2</w:t>
      </w:r>
      <w:r>
        <w:fldChar w:fldCharType="end"/>
      </w:r>
      <w:r>
        <w:rPr/>
        <w:t xml:space="preserve">). Ähnlich, wie sie </w:t>
      </w:r>
      <w:hyperlink r:id="rId38">
        <w:r>
          <w:rPr>
            <w:rStyle w:val="Internetlink"/>
          </w:rPr>
          <w:t>Ps 21,5</w:t>
        </w:r>
      </w:hyperlink>
      <w:r>
        <w:rPr/>
        <w:t xml:space="preserve">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 xml:space="preserve">In </w:t>
      </w:r>
      <w:r>
        <w:rPr>
          <w:i/>
        </w:rPr>
        <w:t>Vv. 2-3</w:t>
      </w:r>
      <w:r>
        <w:rPr/>
        <w:t xml:space="preserve">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i/>
        </w:rPr>
        <w:footnoteRef/>
        <w:tab/>
        <w:t>stolpern</w:t>
      </w:r>
      <w:r>
        <w:rPr/>
        <w:t xml:space="preserve"> - häufige Metapher u.a. für das Besiegt-werden; s. z.B. </w:t>
      </w:r>
      <w:hyperlink r:id="rId39">
        <w:r>
          <w:rPr>
            <w:rStyle w:val="Internetlink"/>
          </w:rPr>
          <w:t>Lev 26,37</w:t>
        </w:r>
      </w:hyperlink>
      <w:r>
        <w:rPr/>
        <w:t xml:space="preserve">; </w:t>
      </w:r>
      <w:hyperlink r:id="rId40">
        <w:r>
          <w:rPr>
            <w:rStyle w:val="Internetlink"/>
          </w:rPr>
          <w:t>2 Chr 25,8</w:t>
        </w:r>
      </w:hyperlink>
      <w:r>
        <w:rPr/>
        <w:t xml:space="preserve">; </w:t>
      </w:r>
      <w:r>
        <w:fldChar w:fldCharType="begin"/>
      </w:r>
      <w:r>
        <w:instrText> HYPERLINK "file:///wiki/Psalm_27" \l "s2"</w:instrText>
      </w:r>
      <w:r>
        <w:fldChar w:fldCharType="separate"/>
      </w:r>
      <w:r>
        <w:rPr>
          <w:rStyle w:val="Internetlink"/>
        </w:rPr>
        <w:t>Ps 27,2</w:t>
      </w:r>
      <w:r>
        <w:fldChar w:fldCharType="end"/>
      </w:r>
      <w:r>
        <w:rPr/>
        <w:t xml:space="preserve"> (vgl. V. 3); </w:t>
      </w:r>
      <w:hyperlink r:id="rId41">
        <w:r>
          <w:rPr>
            <w:rStyle w:val="Internetlink"/>
          </w:rPr>
          <w:t>64,8</w:t>
        </w:r>
      </w:hyperlink>
      <w:r>
        <w:rPr/>
        <w:t xml:space="preserve">; </w:t>
      </w:r>
      <w:hyperlink r:id="rId42">
        <w:r>
          <w:rPr>
            <w:rStyle w:val="Internetlink"/>
          </w:rPr>
          <w:t>Jes 3,8</w:t>
        </w:r>
      </w:hyperlink>
      <w:r>
        <w:rPr/>
        <w:t xml:space="preserve">; </w:t>
      </w:r>
      <w:r>
        <w:fldChar w:fldCharType="begin"/>
      </w:r>
      <w:r>
        <w:instrText> HYPERLINK "file:///wiki/Jesaja_8" \l "s15"</w:instrText>
      </w:r>
      <w:r>
        <w:fldChar w:fldCharType="separate"/>
      </w:r>
      <w:r>
        <w:rPr>
          <w:rStyle w:val="Internetlink"/>
        </w:rPr>
        <w:t>8,15</w:t>
      </w:r>
      <w:r>
        <w:fldChar w:fldCharType="end"/>
      </w:r>
      <w:r>
        <w:rPr/>
        <w:t xml:space="preserve">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i/>
        </w:rPr>
        <w:footnoteRef/>
        <w:tab/>
        <w:t>auf dem Thron als gerechter Richter</w:t>
      </w:r>
      <w:r>
        <w:rPr/>
        <w:t xml:space="preserve"> - im Alten Israel galt der König als der „oberste Richter und Garant des Rechts“ (</w:t>
      </w:r>
      <w:hyperlink r:id="rId43">
        <w:r>
          <w:rPr>
            <w:rStyle w:val="Internetlink"/>
          </w:rPr>
          <w:t>König / Königtum (AT) (WiBiLex)</w:t>
        </w:r>
      </w:hyperlink>
      <w:r>
        <w:rPr/>
        <w:t xml:space="preserve">); der Übergang von der Streitermetapher zur Metapher vom thronenden Richter ist im Heb. also nicht so hart wie im Dt. S. ähnlich den Übergang von </w:t>
      </w:r>
      <w:hyperlink r:id="rId44">
        <w:r>
          <w:rPr>
            <w:rStyle w:val="Internetlink"/>
          </w:rPr>
          <w:t>Ps 89,9-11.14</w:t>
        </w:r>
      </w:hyperlink>
      <w:r>
        <w:rPr/>
        <w:t xml:space="preserve"> zu </w:t>
      </w:r>
      <w:hyperlink r:id="rId45">
        <w:r>
          <w:rPr>
            <w:rStyle w:val="Internetlink"/>
          </w:rPr>
          <w:t>89,15</w:t>
        </w:r>
      </w:hyperlink>
      <w:r>
        <w:rPr/>
        <w:t xml:space="preserve"> und von </w:t>
      </w:r>
      <w:r>
        <w:fldChar w:fldCharType="begin"/>
      </w:r>
      <w:r>
        <w:instrText> HYPERLINK "file:///wiki/Psalm_97" \l "s1"</w:instrText>
      </w:r>
      <w:r>
        <w:fldChar w:fldCharType="separate"/>
      </w:r>
      <w:r>
        <w:rPr>
          <w:rStyle w:val="Internetlink"/>
        </w:rPr>
        <w:t>Ps 97,1-2</w:t>
      </w:r>
      <w:r>
        <w:fldChar w:fldCharType="end"/>
      </w:r>
      <w:r>
        <w:rPr/>
        <w:t xml:space="preserve"> zu </w:t>
      </w:r>
      <w:r>
        <w:fldChar w:fldCharType="begin"/>
      </w:r>
      <w:r>
        <w:instrText> HYPERLINK "file:///wiki/Psalm_97" \l "s3"</w:instrText>
      </w:r>
      <w:r>
        <w:fldChar w:fldCharType="separate"/>
      </w:r>
      <w:r>
        <w:rPr>
          <w:rStyle w:val="Internetlink"/>
        </w:rPr>
        <w:t>97,3-5</w:t>
      </w:r>
      <w:r>
        <w:fldChar w:fldCharType="end"/>
      </w:r>
      <w:r>
        <w:rPr/>
        <w:t>.</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i/>
        </w:rPr>
        <w:footnoteRef/>
        <w:tab/>
        <w:t>der auf dem Zion thront</w:t>
      </w:r>
      <w:r>
        <w:rPr/>
        <w:t xml:space="preserve"> - Der Zion war der Tempelberg in Jerusalem; man stellte sich vor, dass Gott - zumindest „teilweise“ - dort im Tempel wohnte. S. näher z.B. </w:t>
      </w:r>
      <w:hyperlink r:id="rId46">
        <w:r>
          <w:rPr>
            <w:rStyle w:val="Internetlink"/>
          </w:rPr>
          <w:t>Zion / Zionstheologie (WiBiLex)</w:t>
        </w:r>
      </w:hyperlink>
      <w:r>
        <w:rPr/>
        <w:t>.</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i/>
        </w:rPr>
        <w:footnoteRef/>
        <w:tab/>
        <w:t>vergisst nicht</w:t>
      </w:r>
      <w:r>
        <w:rPr/>
        <w:t xml:space="preserve"> - ganz ähnlicher Ausdruck wie „denken an“ in der vorigen Zeile: Die Rede vom „Vergessen“ Gottes meint meist sein aktives sich-Abwenden von jmdn (s. z.B. </w:t>
      </w:r>
      <w:hyperlink r:id="rId47">
        <w:r>
          <w:rPr>
            <w:rStyle w:val="Internetlink"/>
          </w:rPr>
          <w:t>1 Sam 1,11</w:t>
        </w:r>
      </w:hyperlink>
      <w:r>
        <w:rPr/>
        <w:t xml:space="preserve">; </w:t>
      </w:r>
      <w:r>
        <w:fldChar w:fldCharType="begin"/>
      </w:r>
      <w:r>
        <w:instrText> HYPERLINK "file:///wiki/Psalm_13" \l "s2"</w:instrText>
      </w:r>
      <w:r>
        <w:fldChar w:fldCharType="separate"/>
      </w:r>
      <w:r>
        <w:rPr>
          <w:rStyle w:val="Internetlink"/>
        </w:rPr>
        <w:t>Ps 13,2</w:t>
      </w:r>
      <w:r>
        <w:fldChar w:fldCharType="end"/>
      </w:r>
      <w:r>
        <w:rPr/>
        <w:t xml:space="preserve">; </w:t>
      </w:r>
      <w:r>
        <w:fldChar w:fldCharType="begin"/>
      </w:r>
      <w:r>
        <w:instrText> HYPERLINK "file:///wiki/Psalm_42" \l "s10"</w:instrText>
      </w:r>
      <w:r>
        <w:fldChar w:fldCharType="separate"/>
      </w:r>
      <w:r>
        <w:rPr>
          <w:rStyle w:val="Internetlink"/>
        </w:rPr>
        <w:t>42,10</w:t>
      </w:r>
      <w:r>
        <w:fldChar w:fldCharType="end"/>
      </w:r>
      <w:r>
        <w:rPr/>
        <w:t xml:space="preserve">; </w:t>
      </w:r>
      <w:hyperlink r:id="rId48">
        <w:r>
          <w:rPr>
            <w:rStyle w:val="Internetlink"/>
          </w:rPr>
          <w:t>44,25</w:t>
        </w:r>
      </w:hyperlink>
      <w:r>
        <w:rPr/>
        <w:t xml:space="preserve">; </w:t>
      </w:r>
      <w:hyperlink r:id="rId49">
        <w:r>
          <w:rPr>
            <w:rStyle w:val="Internetlink"/>
          </w:rPr>
          <w:t>Jes 49,14</w:t>
        </w:r>
      </w:hyperlink>
      <w:r>
        <w:rPr/>
        <w:t xml:space="preserve">; </w:t>
      </w:r>
      <w:hyperlink r:id="rId50">
        <w:r>
          <w:rPr>
            <w:rStyle w:val="Internetlink"/>
          </w:rPr>
          <w:t>Klg 5,20</w:t>
        </w:r>
      </w:hyperlink>
      <w:r>
        <w:rPr/>
        <w:t>).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i/>
        </w:rPr>
        <w:footnoteRef/>
        <w:tab/>
        <w:t>{</w:t>
      </w:r>
      <w:r>
        <w:rPr>
          <w:i/>
          <w:strike/>
        </w:rPr>
        <w:t>Higgaion Selah</w:t>
      </w:r>
      <w:r>
        <w:rPr>
          <w:i/>
        </w:rPr>
        <w:t>}</w:t>
      </w:r>
      <w:r>
        <w:rPr/>
        <w:t xml:space="preserve"> (V. 17) + </w:t>
      </w:r>
      <w:r>
        <w:rPr>
          <w:i/>
        </w:rPr>
        <w:t>{</w:t>
      </w:r>
      <w:r>
        <w:rPr>
          <w:i/>
          <w:strike/>
        </w:rPr>
        <w:t>Selah</w:t>
      </w:r>
      <w:r>
        <w:rPr>
          <w:i/>
        </w:rPr>
        <w:t>} (V. 21)</w:t>
      </w:r>
      <w:r>
        <w:rPr/>
        <w:t xml:space="preserve"> - Zwei Wörter mit unklarer Bedeutung. </w:t>
      </w:r>
      <w:r>
        <w:rPr>
          <w:i/>
        </w:rPr>
        <w:t>Higgaion</w:t>
      </w:r>
      <w:r>
        <w:rPr/>
        <w:t xml:space="preserve"> ist offenbar etwas Hörbares, s. </w:t>
      </w:r>
      <w:r>
        <w:fldChar w:fldCharType="begin"/>
      </w:r>
      <w:r>
        <w:instrText> HYPERLINK "file:///wiki/Psalm_19" \l "s15"</w:instrText>
      </w:r>
      <w:r>
        <w:fldChar w:fldCharType="separate"/>
      </w:r>
      <w:r>
        <w:rPr>
          <w:rStyle w:val="Internetlink"/>
        </w:rPr>
        <w:t>Ps 19,15</w:t>
      </w:r>
      <w:r>
        <w:fldChar w:fldCharType="end"/>
      </w:r>
      <w:r>
        <w:rPr/>
        <w:t xml:space="preserve"> und </w:t>
      </w:r>
      <w:r>
        <w:fldChar w:fldCharType="begin"/>
      </w:r>
      <w:r>
        <w:instrText> HYPERLINK "file:///wiki/Klagelieder_3" \l "s62"</w:instrText>
      </w:r>
      <w:r>
        <w:fldChar w:fldCharType="separate"/>
      </w:r>
      <w:r>
        <w:rPr>
          <w:rStyle w:val="Internetlink"/>
        </w:rPr>
        <w:t>Klg 3,62</w:t>
      </w:r>
      <w:r>
        <w:fldChar w:fldCharType="end"/>
      </w:r>
      <w:r>
        <w:rPr/>
        <w:t xml:space="preserve">, wo es in Parallele zu „Reden“ steht, und </w:t>
      </w:r>
      <w:hyperlink r:id="rId51">
        <w:r>
          <w:rPr>
            <w:rStyle w:val="Internetlink"/>
          </w:rPr>
          <w:t>Ps 92,4</w:t>
        </w:r>
      </w:hyperlink>
      <w:r>
        <w:rPr/>
        <w:t xml:space="preserve">, wo es offenbar das bezeichnet, was eine Harfe von sich gibt. Hier in Ps 9,17 ist die Funktion von </w:t>
      </w:r>
      <w:r>
        <w:rPr>
          <w:i/>
        </w:rPr>
        <w:t>higgaion</w:t>
      </w:r>
      <w:r>
        <w:rPr/>
        <w:t xml:space="preserve"> wohl die selbe wie die von </w:t>
      </w:r>
      <w:r>
        <w:rPr>
          <w:i/>
        </w:rPr>
        <w:t>selah</w:t>
      </w:r>
      <w:r>
        <w:rPr/>
        <w:t xml:space="preserve"> - und welche das ist, ist ganz unklar, s. Lexikon / Lemma </w:t>
      </w:r>
      <w:hyperlink r:id="rId52">
        <w:r>
          <w:rPr>
            <w:rStyle w:val="Internetlink"/>
            <w:rtl w:val="true"/>
            <w:lang w:bidi="he-IL"/>
          </w:rPr>
          <w:t>סֶלַה</w:t>
        </w:r>
      </w:hyperlink>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i/>
        </w:rPr>
        <w:footnoteRef/>
        <w:tab/>
        <w:t>Scheol</w:t>
      </w:r>
      <w:r>
        <w:rPr/>
        <w:t xml:space="preserve"> - Heb. Name der Unterwelt. Mit der Hölle hat die Scheol-Vorstellung sehr wenig gemein. Vermutlich stellte man sie sich vor als eine unter der Erde gelegene Stadt, deren Bewohner in der Finsternis zur Passivität und Gottferne verdammt waren (s. näher </w:t>
      </w:r>
      <w:hyperlink r:id="rId53">
        <w:r>
          <w:rPr>
            <w:rStyle w:val="Internetlink"/>
          </w:rPr>
          <w:t>Jenseitsvorstellungen (AT) (WiBiLex)</w:t>
        </w:r>
      </w:hyperlink>
      <w:r>
        <w:rPr/>
        <w:t>).</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 xml:space="preserve">Ps 10 ist nicht eigentlich ein eigenständiger Psalm, sondern bildet zusammen mit Ps 9 das erste sog. „Akrostichon“ in der Bibel, die Anfangsbuchstaben einiger Zeilen folgen also dem heb. Alphabet (s. die Anmerkungen zu </w:t>
      </w:r>
      <w:hyperlink r:id="rId54">
        <w:r>
          <w:rPr>
            <w:rStyle w:val="Internetlink"/>
          </w:rPr>
          <w:t>Psalm 9</w:t>
        </w:r>
      </w:hyperlink>
      <w:r>
        <w:rPr/>
        <w:t>).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i/>
        </w:rPr>
        <w:footnoteRef/>
        <w:tab/>
        <w:t>wanken</w:t>
      </w:r>
      <w:r>
        <w:rPr/>
        <w:t xml:space="preserve"> - Das „Wanken“ ist in der biblischen Poesie eine häufige Metapher für eine Gefährdung, aus der direkt Vernichtung und Tod folgt. Wer dagegen „nicht wankt“ ist sicher und geschützt und wird daher ewig bestehen; s. bes. gut </w:t>
      </w:r>
      <w:hyperlink r:id="rId55">
        <w:r>
          <w:rPr>
            <w:rStyle w:val="Internetlink"/>
          </w:rPr>
          <w:t>Spr 10,30</w:t>
        </w:r>
      </w:hyperlink>
      <w:r>
        <w:rPr/>
        <w:t xml:space="preserve">; </w:t>
      </w:r>
      <w:r>
        <w:fldChar w:fldCharType="begin"/>
      </w:r>
      <w:r>
        <w:instrText> HYPERLINK "file:///wiki/Sprichwörter_12" \l "s3"</w:instrText>
      </w:r>
      <w:r>
        <w:fldChar w:fldCharType="separate"/>
      </w:r>
      <w:r>
        <w:rPr>
          <w:rStyle w:val="Internetlink"/>
        </w:rPr>
        <w:t>12,3</w:t>
      </w:r>
      <w:r>
        <w:fldChar w:fldCharType="end"/>
      </w:r>
      <w:r>
        <w:rPr/>
        <w:t xml:space="preserve">; auch </w:t>
      </w:r>
      <w:r>
        <w:fldChar w:fldCharType="begin"/>
      </w:r>
      <w:r>
        <w:instrText> HYPERLINK "file:///wiki/Psalm_16" \l "s8"</w:instrText>
      </w:r>
      <w:r>
        <w:fldChar w:fldCharType="separate"/>
      </w:r>
      <w:r>
        <w:rPr>
          <w:rStyle w:val="Internetlink"/>
        </w:rPr>
        <w:t>Ps 16,8</w:t>
      </w:r>
      <w:r>
        <w:fldChar w:fldCharType="end"/>
      </w:r>
      <w:r>
        <w:rPr/>
        <w:t xml:space="preserve">; </w:t>
      </w:r>
      <w:hyperlink r:id="rId56">
        <w:r>
          <w:rPr>
            <w:rStyle w:val="Internetlink"/>
          </w:rPr>
          <w:t>46,6f</w:t>
        </w:r>
      </w:hyperlink>
      <w:r>
        <w:rPr/>
        <w:t xml:space="preserve">; </w:t>
      </w:r>
      <w:hyperlink r:id="rId57">
        <w:r>
          <w:rPr>
            <w:rStyle w:val="Internetlink"/>
          </w:rPr>
          <w:t>62,3.7</w:t>
        </w:r>
      </w:hyperlink>
      <w:r>
        <w:rPr/>
        <w:t xml:space="preserve">; </w:t>
      </w:r>
      <w:hyperlink r:id="rId58">
        <w:r>
          <w:rPr>
            <w:rStyle w:val="Internetlink"/>
          </w:rPr>
          <w:t>112,6</w:t>
        </w:r>
      </w:hyperlink>
      <w:r>
        <w:rPr/>
        <w:t xml:space="preserve">; </w:t>
      </w:r>
      <w:hyperlink r:id="rId59">
        <w:r>
          <w:rPr>
            <w:rStyle w:val="Internetlink"/>
          </w:rPr>
          <w:t>125,1</w:t>
        </w:r>
      </w:hyperlink>
      <w:r>
        <w:rPr/>
        <w:t>.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i/>
        </w:rPr>
        <w:footnoteRef/>
        <w:tab/>
        <w:t>in sein (mit seinem) Netz zieht</w:t>
      </w:r>
      <w:r>
        <w:rPr/>
        <w:t xml:space="preserve">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w:t>
      </w:r>
      <w:hyperlink r:id="rId60">
        <w:r>
          <w:rPr>
            <w:rStyle w:val="Internetlink"/>
          </w:rPr>
          <w:t>Jer 16,16</w:t>
        </w:r>
      </w:hyperlink>
      <w:r>
        <w:rPr/>
        <w:t xml:space="preserve">; </w:t>
      </w:r>
      <w:r>
        <w:fldChar w:fldCharType="begin"/>
      </w:r>
      <w:r>
        <w:instrText> HYPERLINK "file:///wiki/Amos_4" \l "s2"</w:instrText>
      </w:r>
      <w:r>
        <w:fldChar w:fldCharType="separate"/>
      </w:r>
      <w:r>
        <w:rPr>
          <w:rStyle w:val="Internetlink"/>
        </w:rPr>
        <w:t>Am 4,2</w:t>
      </w:r>
      <w:r>
        <w:fldChar w:fldCharType="end"/>
      </w:r>
      <w:r>
        <w:rPr/>
        <w:t xml:space="preserve">; </w:t>
      </w:r>
      <w:hyperlink r:id="rId61">
        <w:r>
          <w:rPr>
            <w:rStyle w:val="Internetlink"/>
          </w:rPr>
          <w:t>Hab 1,15f.</w:t>
        </w:r>
      </w:hyperlink>
      <w:r>
        <w:rPr/>
        <w:t>;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i/>
        </w:rPr>
        <w:footnoteRef/>
        <w:tab/>
        <w:t>Gott vergisst</w:t>
      </w:r>
      <w:r>
        <w:rPr/>
        <w:t xml:space="preserve"> (V. 11) + </w:t>
      </w:r>
      <w:r>
        <w:rPr>
          <w:i/>
        </w:rPr>
        <w:t>Vergiss</w:t>
      </w:r>
      <w:r>
        <w:rPr/>
        <w:t xml:space="preserve"> (V. 12) - Die Rede vom „Vergessen“ Gottes meint meist sein aktives sich-Abwenden von jmdn (s. z.B. </w:t>
      </w:r>
      <w:hyperlink r:id="rId62">
        <w:r>
          <w:rPr>
            <w:rStyle w:val="Internetlink"/>
          </w:rPr>
          <w:t>1 Sam 1,11</w:t>
        </w:r>
      </w:hyperlink>
      <w:r>
        <w:rPr/>
        <w:t xml:space="preserve">; </w:t>
      </w:r>
      <w:r>
        <w:fldChar w:fldCharType="begin"/>
      </w:r>
      <w:r>
        <w:instrText> HYPERLINK "file:///wiki/Psalm_13" \l "s2"</w:instrText>
      </w:r>
      <w:r>
        <w:fldChar w:fldCharType="separate"/>
      </w:r>
      <w:r>
        <w:rPr>
          <w:rStyle w:val="Internetlink"/>
        </w:rPr>
        <w:t>Ps 13,2</w:t>
      </w:r>
      <w:r>
        <w:fldChar w:fldCharType="end"/>
      </w:r>
      <w:r>
        <w:rPr/>
        <w:t xml:space="preserve">; </w:t>
      </w:r>
      <w:r>
        <w:fldChar w:fldCharType="begin"/>
      </w:r>
      <w:r>
        <w:instrText> HYPERLINK "file:///wiki/Psalm_42" \l "s10"</w:instrText>
      </w:r>
      <w:r>
        <w:fldChar w:fldCharType="separate"/>
      </w:r>
      <w:r>
        <w:rPr>
          <w:rStyle w:val="Internetlink"/>
        </w:rPr>
        <w:t>42,10</w:t>
      </w:r>
      <w:r>
        <w:fldChar w:fldCharType="end"/>
      </w:r>
      <w:r>
        <w:rPr/>
        <w:t xml:space="preserve">; </w:t>
      </w:r>
      <w:hyperlink r:id="rId63">
        <w:r>
          <w:rPr>
            <w:rStyle w:val="Internetlink"/>
          </w:rPr>
          <w:t>44,25</w:t>
        </w:r>
      </w:hyperlink>
      <w:r>
        <w:rPr/>
        <w:t xml:space="preserve">; </w:t>
      </w:r>
      <w:hyperlink r:id="rId64">
        <w:r>
          <w:rPr>
            <w:rStyle w:val="Internetlink"/>
          </w:rPr>
          <w:t>Jes 49,14</w:t>
        </w:r>
      </w:hyperlink>
      <w:r>
        <w:rPr/>
        <w:t xml:space="preserve">; </w:t>
      </w:r>
      <w:hyperlink r:id="rId65">
        <w:r>
          <w:rPr>
            <w:rStyle w:val="Internetlink"/>
          </w:rPr>
          <w:t>Klg 5,20</w:t>
        </w:r>
      </w:hyperlink>
      <w:r>
        <w:rPr/>
        <w:t xml:space="preserve">).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w:t>
      </w:r>
      <w:r>
        <w:rPr>
          <w:i/>
        </w:rPr>
        <w:t>Steh auf!</w:t>
      </w:r>
      <w:r>
        <w:rPr/>
        <w:t xml:space="preserve">, d.h., werde aktiv! </w:t>
      </w:r>
      <w:r>
        <w:rPr>
          <w:i/>
        </w:rPr>
        <w:t>Heb deine Hand</w:t>
      </w:r>
      <w:r>
        <w:rPr/>
        <w:t xml:space="preserve">, d.h. mach' jetzt was! </w:t>
      </w:r>
      <w:r>
        <w:rPr>
          <w:i/>
        </w:rPr>
        <w:t>Vergiss nicht!</w:t>
      </w:r>
      <w:r>
        <w:rPr/>
        <w:t>, d.h. wende dich dem Elenden gnädig zu!</w:t>
      </w:r>
    </w:p>
  </w:footnote>
  <w:footnote w:id="655">
    <w:p>
      <w:pPr>
        <w:pStyle w:val="Funote"/>
        <w:rPr/>
      </w:pPr>
      <w:r>
        <w:rPr/>
        <w:footnoteRef/>
        <w:tab/>
        <w:t xml:space="preserve">Dass Gott </w:t>
      </w:r>
      <w:r>
        <w:rPr>
          <w:i/>
        </w:rPr>
        <w:t>sein Gesicht verbirgt</w:t>
      </w:r>
      <w:r>
        <w:rPr/>
        <w:t xml:space="preserve">, ist eine häufige Metapher für den Gnadenentzug JHWHs (s. </w:t>
      </w:r>
      <w:r>
        <w:fldChar w:fldCharType="begin"/>
      </w:r>
      <w:r>
        <w:instrText> HYPERLINK "http://offene-bibel.de/wiki/Psalm_30" \l "note_u"</w:instrText>
      </w:r>
      <w:r>
        <w:fldChar w:fldCharType="separate"/>
      </w:r>
      <w:r>
        <w:rPr>
          <w:rStyle w:val="Internetlink"/>
        </w:rPr>
        <w:t>FN u</w:t>
      </w:r>
      <w:r>
        <w:fldChar w:fldCharType="end"/>
      </w:r>
      <w:r>
        <w:rPr/>
        <w:t xml:space="preserve"> zu </w:t>
      </w:r>
      <w:r>
        <w:fldChar w:fldCharType="begin"/>
      </w:r>
      <w:r>
        <w:instrText> HYPERLINK "file:///wiki/Psalm_30" \l "s8"</w:instrText>
      </w:r>
      <w:r>
        <w:fldChar w:fldCharType="separate"/>
      </w:r>
      <w:r>
        <w:rPr>
          <w:rStyle w:val="Internetlink"/>
        </w:rPr>
        <w:t>Ps 30,8</w:t>
      </w:r>
      <w:r>
        <w:fldChar w:fldCharType="end"/>
      </w:r>
      <w:r>
        <w:rPr/>
        <w:t xml:space="preserve">); in unserem Kontext ist es aber besser nicht als Metapher zu nehmen, sondern als alternative Formulierung für den nächsten Satz: „Gott sieht nicht“. S. zu dieser Bedeutung z.B. </w:t>
      </w:r>
      <w:r>
        <w:fldChar w:fldCharType="begin"/>
      </w:r>
      <w:r>
        <w:instrText> HYPERLINK "file:///wiki/Exodus_3" \l "s6"</w:instrText>
      </w:r>
      <w:r>
        <w:fldChar w:fldCharType="separate"/>
      </w:r>
      <w:r>
        <w:rPr>
          <w:rStyle w:val="Internetlink"/>
        </w:rPr>
        <w:t>Ex 3,6</w:t>
      </w:r>
      <w:r>
        <w:fldChar w:fldCharType="end"/>
      </w:r>
      <w:r>
        <w:rPr/>
        <w:t xml:space="preserve"> oder ganz ähnlich wie hier </w:t>
      </w:r>
      <w:r>
        <w:fldChar w:fldCharType="begin"/>
      </w:r>
      <w:r>
        <w:instrText> HYPERLINK "file:///wiki/Psalm_51" \l "s11"</w:instrText>
      </w:r>
      <w:r>
        <w:fldChar w:fldCharType="separate"/>
      </w:r>
      <w:r>
        <w:rPr>
          <w:rStyle w:val="Internetlink"/>
        </w:rPr>
        <w:t>Ps 51,11</w:t>
      </w:r>
      <w:r>
        <w:fldChar w:fldCharType="end"/>
      </w:r>
      <w:r>
        <w:rPr/>
        <w:t>.</w:t>
      </w:r>
    </w:p>
  </w:footnote>
  <w:footnote w:id="656">
    <w:p>
      <w:pPr>
        <w:pStyle w:val="Funote"/>
        <w:rPr/>
      </w:pPr>
      <w:r>
        <w:rPr>
          <w:i/>
        </w:rPr>
        <w:footnoteRef/>
        <w:tab/>
        <w:t>Sieht nicht auf immer</w:t>
      </w:r>
      <w:r>
        <w:rPr/>
        <w:t xml:space="preserve"> - d.h., schert sich nicht um das Geschehen auf der Welt, so dass man ihn in seinem Handeln getrost ignorieren kann.</w:t>
        <w:br/>
        <w:t xml:space="preserve">Man beachte die Häufung an Verben in </w:t>
      </w:r>
      <w:r>
        <w:rPr>
          <w:i/>
        </w:rPr>
        <w:t>Vv. 9b-11</w:t>
      </w:r>
      <w:r>
        <w:rPr/>
        <w:t>: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i/>
        </w:rPr>
        <w:footnoteRef/>
        <w:tab/>
        <w:t>sein</w:t>
      </w:r>
      <w:r>
        <w:rPr/>
        <w:t xml:space="preserve">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i/>
        </w:rPr>
        <w:footnoteRef/>
        <w:tab/>
        <w:t>Menschlein aus Erde</w:t>
      </w:r>
      <w:r>
        <w:rPr/>
        <w:t xml:space="preserve"> - Die letzte Zeile ist sehr nahe an den </w:t>
      </w:r>
      <w:r>
        <w:fldChar w:fldCharType="begin"/>
      </w:r>
      <w:r>
        <w:instrText> HYPERLINK "file:///wiki/Psalm_9" \l "s20"</w:instrText>
      </w:r>
      <w:r>
        <w:fldChar w:fldCharType="separate"/>
      </w:r>
      <w:r>
        <w:rPr>
          <w:rStyle w:val="Internetlink"/>
        </w:rPr>
        <w:t>den letzten beiden Zeilen von Ps 9</w:t>
      </w:r>
      <w:r>
        <w:fldChar w:fldCharType="end"/>
      </w:r>
      <w:r>
        <w:rPr/>
        <w:t xml:space="preserve">. Wieder wählt der Dichter bewusst das Wort </w:t>
      </w:r>
      <w:r>
        <w:rPr>
          <w:i/>
        </w:rPr>
        <w:t>´enosch</w:t>
      </w:r>
      <w:r>
        <w:rPr/>
        <w:t xml:space="preserve">, mit dem oft der Mensch qua </w:t>
      </w:r>
      <w:r>
        <w:rPr>
          <w:i/>
        </w:rPr>
        <w:t>schwaches</w:t>
      </w:r>
      <w:r>
        <w:rPr/>
        <w:t xml:space="preserve">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i/>
        </w:rPr>
        <w:footnoteRef/>
        <w:tab/>
        <w:t>zu mir (zu meiner Seele)</w:t>
      </w:r>
      <w:r>
        <w:rPr/>
        <w:t xml:space="preserve"> (V. 1) + </w:t>
      </w:r>
      <w:r>
        <w:rPr>
          <w:i/>
        </w:rPr>
        <w:t>hasst er (hasst seine Seele)</w:t>
      </w:r>
      <w:r>
        <w:rPr/>
        <w:t xml:space="preserve"> (V. 5) - Heb. „zu meiner </w:t>
      </w:r>
      <w:r>
        <w:rPr>
          <w:i/>
        </w:rPr>
        <w:t>nefesch</w:t>
      </w:r>
      <w:r>
        <w:rPr/>
        <w:t xml:space="preserve">“ bzw. „hasst seine </w:t>
      </w:r>
      <w:r>
        <w:rPr>
          <w:i/>
        </w:rPr>
        <w:t>nefesch</w:t>
      </w:r>
      <w:r>
        <w:rPr/>
        <w:t xml:space="preserve"> (‚Seele‘)“. Eine wörtl. Üs. von </w:t>
      </w:r>
      <w:r>
        <w:rPr>
          <w:i/>
        </w:rPr>
        <w:t>nefesch</w:t>
      </w:r>
      <w:r>
        <w:rPr/>
        <w:t xml:space="preserve"> ist fast nie zu empfehlen, weil es im heb. Menschenbild einen Gegensatz von Körper und Seele so nicht gab; </w:t>
      </w:r>
      <w:r>
        <w:rPr>
          <w:i/>
        </w:rPr>
        <w:t>nefesch</w:t>
      </w:r>
      <w:r>
        <w:rPr/>
        <w:t xml:space="preserve"> meint hier wie meist den </w:t>
      </w:r>
      <w:r>
        <w:rPr>
          <w:i/>
        </w:rPr>
        <w:t>ganzen</w:t>
      </w:r>
      <w:r>
        <w:rPr/>
        <w:t xml:space="preserve"> Menschen/Gott und wird daher hier wie häufig als Wechselbegriff für „Ich“/„Er“ verwendet.</w:t>
      </w:r>
    </w:p>
  </w:footnote>
  <w:footnote w:id="670">
    <w:p>
      <w:pPr>
        <w:pStyle w:val="Funote"/>
        <w:rPr/>
      </w:pPr>
      <w:r>
        <w:rPr>
          <w:i/>
        </w:rPr>
        <w:footnoteRef/>
        <w:tab/>
        <w:t>Wie [könnt] ihr [da] zu mir sagen</w:t>
      </w:r>
      <w:r>
        <w:rPr/>
        <w:t xml:space="preserve"> - W. „Wie (</w:t>
      </w:r>
      <w:r>
        <w:rPr>
          <w:i/>
        </w:rPr>
        <w:t>´ek</w:t>
      </w:r>
      <w:r>
        <w:rPr/>
        <w:t xml:space="preserve">) sagt ihr zu mir...?“; das Fragewort </w:t>
      </w:r>
      <w:r>
        <w:rPr>
          <w:i/>
        </w:rPr>
        <w:t>´ek</w:t>
      </w:r>
      <w:r>
        <w:rPr/>
        <w:t xml:space="preserve"> dient hier wie häufig zur Einleitung eines ablehnenden Ausrufs: „Wie könnt ihr nur...!?“ (s. z.B. </w:t>
      </w:r>
      <w:r>
        <w:fldChar w:fldCharType="begin"/>
      </w:r>
      <w:r>
        <w:instrText> HYPERLINK "file:///wiki/Genesis_26" \l "s9"</w:instrText>
      </w:r>
      <w:r>
        <w:fldChar w:fldCharType="separate"/>
      </w:r>
      <w:r>
        <w:rPr>
          <w:rStyle w:val="Internetlink"/>
        </w:rPr>
        <w:t>Gen 26,9</w:t>
      </w:r>
      <w:r>
        <w:fldChar w:fldCharType="end"/>
      </w:r>
      <w:r>
        <w:rPr/>
        <w:t xml:space="preserve">; </w:t>
      </w:r>
      <w:r>
        <w:fldChar w:fldCharType="begin"/>
      </w:r>
      <w:r>
        <w:instrText> HYPERLINK "file:///wiki/Genesis_39" \l "s9"</w:instrText>
      </w:r>
      <w:r>
        <w:fldChar w:fldCharType="separate"/>
      </w:r>
      <w:r>
        <w:rPr>
          <w:rStyle w:val="Internetlink"/>
        </w:rPr>
        <w:t>39,9</w:t>
      </w:r>
      <w:r>
        <w:fldChar w:fldCharType="end"/>
      </w:r>
      <w:r>
        <w:rPr/>
        <w:t xml:space="preserve">; </w:t>
      </w:r>
      <w:hyperlink r:id="rId66">
        <w:r>
          <w:rPr>
            <w:rStyle w:val="Internetlink"/>
          </w:rPr>
          <w:t>Ri 16,15</w:t>
        </w:r>
      </w:hyperlink>
      <w:r>
        <w:rPr/>
        <w:t xml:space="preserve"> u.ö). Die obige Übersetzung versucht, diesen Ton einzufangen. Ähnlich viele Üss.</w:t>
      </w:r>
    </w:p>
  </w:footnote>
  <w:footnote w:id="671">
    <w:p>
      <w:pPr>
        <w:pStyle w:val="Funote"/>
        <w:rPr/>
      </w:pPr>
      <w:r>
        <w:rPr>
          <w:i/>
        </w:rPr>
        <w:footnoteRef/>
        <w:tab/>
        <w:t>auf euren Berg</w:t>
      </w:r>
      <w:r>
        <w:rPr/>
        <w:t xml:space="preserve"> - nämlich den Zion, den Berg, auf dem Gott in seinem Tempel wohnt und der daher eine sichere Zuflucht ist (vgl. z.B. </w:t>
      </w:r>
      <w:r>
        <w:fldChar w:fldCharType="begin"/>
      </w:r>
      <w:r>
        <w:instrText> HYPERLINK "https://www.bibelwissenschaft.de/de/stichwort/35418/" \l "h8"</w:instrText>
      </w:r>
      <w:r>
        <w:fldChar w:fldCharType="separate"/>
      </w:r>
      <w:r>
        <w:rPr>
          <w:rStyle w:val="Internetlink"/>
        </w:rPr>
        <w:t>Zion/Zionstheologie (WiBiLex)</w:t>
      </w:r>
      <w:r>
        <w:fldChar w:fldCharType="end"/>
      </w:r>
      <w:r>
        <w:rPr/>
        <w:t xml:space="preserve"> und s. z.B. </w:t>
      </w:r>
      <w:hyperlink r:id="rId67">
        <w:r>
          <w:rPr>
            <w:rStyle w:val="Internetlink"/>
          </w:rPr>
          <w:t>Ps 46,1-8</w:t>
        </w:r>
      </w:hyperlink>
      <w:r>
        <w:rPr/>
        <w:t xml:space="preserve">; </w:t>
      </w:r>
      <w:hyperlink r:id="rId68">
        <w:r>
          <w:rPr>
            <w:rStyle w:val="Internetlink"/>
          </w:rPr>
          <w:t>48,13-15</w:t>
        </w:r>
      </w:hyperlink>
      <w:r>
        <w:rPr/>
        <w:t xml:space="preserve">; zum ähnlichen Motiv des Tempels als Zufluchtsort s. z.B. </w:t>
      </w:r>
      <w:r>
        <w:fldChar w:fldCharType="begin"/>
      </w:r>
      <w:r>
        <w:instrText> HYPERLINK "file:///wiki/Psalm_27" \l "s4"</w:instrText>
      </w:r>
      <w:r>
        <w:fldChar w:fldCharType="separate"/>
      </w:r>
      <w:r>
        <w:rPr>
          <w:rStyle w:val="Internetlink"/>
        </w:rPr>
        <w:t>Ps 27,4f.</w:t>
      </w:r>
      <w:r>
        <w:fldChar w:fldCharType="end"/>
      </w:r>
      <w:r>
        <w:rPr/>
        <w:t xml:space="preserve">; </w:t>
      </w:r>
      <w:hyperlink r:id="rId69">
        <w:r>
          <w:rPr>
            <w:rStyle w:val="Internetlink"/>
          </w:rPr>
          <w:t>61,4f.</w:t>
        </w:r>
      </w:hyperlink>
      <w:r>
        <w:rPr/>
        <w:t>).</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i/>
        </w:rPr>
        <w:footnoteRef/>
        <w:tab/>
        <w:t>Denn siehe</w:t>
      </w:r>
      <w:r>
        <w:rPr/>
        <w:t xml:space="preserve"> leitet hier die Begründung der vorangehenden Aufforderung ein (s. ähnlich z.B. </w:t>
      </w:r>
      <w:hyperlink r:id="rId70">
        <w:r>
          <w:rPr>
            <w:rStyle w:val="Internetlink"/>
          </w:rPr>
          <w:t>Jer 50,9</w:t>
        </w:r>
      </w:hyperlink>
      <w:r>
        <w:rPr/>
        <w:t xml:space="preserve"> auf V. 8; </w:t>
      </w:r>
      <w:hyperlink r:id="rId71">
        <w:r>
          <w:rPr>
            <w:rStyle w:val="Internetlink"/>
          </w:rPr>
          <w:t>Ps 59,4</w:t>
        </w:r>
      </w:hyperlink>
      <w:r>
        <w:rPr/>
        <w:t xml:space="preserve"> auf V. 3; </w:t>
      </w:r>
      <w:hyperlink r:id="rId72">
        <w:r>
          <w:rPr>
            <w:rStyle w:val="Internetlink"/>
          </w:rPr>
          <w:t>83,3</w:t>
        </w:r>
      </w:hyperlink>
      <w:r>
        <w:rPr/>
        <w:t xml:space="preserve"> auf V. 2); sinngemäßer daher: „</w:t>
      </w:r>
      <w:r>
        <w:rPr>
          <w:i/>
        </w:rPr>
        <w:t>Denn</w:t>
      </w:r>
      <w:r>
        <w:rPr/>
        <w:t xml:space="preserve"> </w:t>
      </w:r>
      <w:r>
        <w:rPr>
          <w:strike/>
        </w:rPr>
        <w:t>siehe</w:t>
      </w:r>
      <w:r>
        <w:rPr/>
        <w:t xml:space="preserve"> die Bösen wollen </w:t>
      </w:r>
      <w:r>
        <w:rPr>
          <w:i/>
        </w:rPr>
        <w:t>[ja]</w:t>
      </w:r>
      <w:r>
        <w:rPr/>
        <w:t xml:space="preserve">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i/>
        </w:rPr>
        <w:footnoteRef/>
        <w:tab/>
        <w:t>im Dunkel</w:t>
      </w:r>
      <w:r>
        <w:rPr/>
        <w:t>,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i/>
        </w:rPr>
        <w:footnoteRef/>
        <w:tab/>
        <w:t>Seine Augen blicken</w:t>
      </w:r>
      <w:r>
        <w:rPr/>
        <w:t xml:space="preserve">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i/>
        </w:rPr>
        <w:footnoteRef/>
        <w:tab/>
        <w:t>wird (soll)</w:t>
      </w:r>
      <w:r>
        <w:rPr/>
        <w:t xml:space="preserve"> - Ein Jussiv („soll“). Unzulässig daher: „Er lässt regnen“. Der Jussiv hat hier vermutlich kommissive Sinnrichtung und wird so als Drohung verwendet; im Dt. entspricht dem: „Er </w:t>
      </w:r>
      <w:r>
        <w:rPr>
          <w:i/>
        </w:rPr>
        <w:t>wird</w:t>
      </w:r>
      <w:r>
        <w:rPr/>
        <w:t xml:space="preserve">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 xml:space="preserve">Zu </w:t>
      </w:r>
      <w:r>
        <w:rPr>
          <w:i/>
        </w:rPr>
        <w:t>Feuer</w:t>
      </w:r>
      <w:r>
        <w:rPr/>
        <w:t xml:space="preserve"> und </w:t>
      </w:r>
      <w:r>
        <w:rPr>
          <w:i/>
        </w:rPr>
        <w:t>Schwefel</w:t>
      </w:r>
      <w:r>
        <w:rPr/>
        <w:t xml:space="preserve"> vgl. </w:t>
      </w:r>
      <w:r>
        <w:fldChar w:fldCharType="begin"/>
      </w:r>
      <w:r>
        <w:instrText> HYPERLINK "file:///wiki/Genesis_19" \l "s24"</w:instrText>
      </w:r>
      <w:r>
        <w:fldChar w:fldCharType="separate"/>
      </w:r>
      <w:r>
        <w:rPr>
          <w:rStyle w:val="Internetlink"/>
        </w:rPr>
        <w:t>Gen 19,24</w:t>
      </w:r>
      <w:r>
        <w:fldChar w:fldCharType="end"/>
      </w:r>
      <w:r>
        <w:rPr/>
        <w:t xml:space="preserve"> und </w:t>
      </w:r>
      <w:hyperlink r:id="rId73">
        <w:r>
          <w:rPr>
            <w:rStyle w:val="Internetlink"/>
          </w:rPr>
          <w:t>Ez 38,22</w:t>
        </w:r>
      </w:hyperlink>
      <w:r>
        <w:rPr/>
        <w:t xml:space="preserve">, wo Gott seine Feinde vernichtet, indem er Feuer und Schwefel vom Himmel regnen lässt. Auch „Wind“ kommt nach bibl. Vorstellung oder nach bibl. Idiom vom Himmel herab; in </w:t>
      </w:r>
      <w:r>
        <w:fldChar w:fldCharType="begin"/>
      </w:r>
      <w:r>
        <w:instrText> HYPERLINK "file:///wiki/Jona_1" \l "s4"</w:instrText>
      </w:r>
      <w:r>
        <w:fldChar w:fldCharType="separate"/>
      </w:r>
      <w:r>
        <w:rPr>
          <w:rStyle w:val="Internetlink"/>
        </w:rPr>
        <w:t>Jon 1,4</w:t>
      </w:r>
      <w:r>
        <w:fldChar w:fldCharType="end"/>
      </w:r>
      <w:r>
        <w:rPr/>
        <w:t xml:space="preserve">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i/>
        </w:rPr>
        <w:footnoteRef/>
        <w:tab/>
        <w:t>wird</w:t>
      </w:r>
      <w:r>
        <w:rPr/>
        <w:t xml:space="preserve">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i/>
        </w:rPr>
        <w:footnoteRef/>
        <w:tab/>
        <w:t>in meine Seele</w:t>
      </w:r>
      <w:r>
        <w:rPr/>
        <w:t xml:space="preserv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 xml:space="preserve">Zum </w:t>
      </w:r>
      <w:r>
        <w:rPr>
          <w:i/>
        </w:rPr>
        <w:t>Wanken</w:t>
      </w:r>
      <w:r>
        <w:rPr/>
        <w:t xml:space="preserve"> vgl. </w:t>
      </w:r>
      <w:r>
        <w:fldChar w:fldCharType="begin"/>
      </w:r>
      <w:r>
        <w:instrText> HYPERLINK "http://www.offene-bibel.de/wiki/index.php5?title=Psalm_30" \l "note_r"</w:instrText>
      </w:r>
      <w:r>
        <w:fldChar w:fldCharType="separate"/>
      </w:r>
      <w:r>
        <w:rPr>
          <w:rStyle w:val="Internetlink"/>
        </w:rPr>
        <w:t>FN r</w:t>
      </w:r>
      <w:r>
        <w:fldChar w:fldCharType="end"/>
      </w:r>
      <w:r>
        <w:rPr/>
        <w:t xml:space="preserve"> zu </w:t>
      </w:r>
      <w:r>
        <w:fldChar w:fldCharType="begin"/>
      </w:r>
      <w:r>
        <w:instrText> HYPERLINK "file:///wiki/Psalm_30" \l "s7"</w:instrText>
      </w:r>
      <w:r>
        <w:fldChar w:fldCharType="separate"/>
      </w:r>
      <w:r>
        <w:rPr>
          <w:rStyle w:val="Internetlink"/>
        </w:rPr>
        <w:t>Ps 30,7</w:t>
      </w:r>
      <w:r>
        <w:fldChar w:fldCharType="end"/>
      </w:r>
      <w:r>
        <w:rPr/>
        <w:t xml:space="preserve">: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w:t>
      </w:r>
      <w:r>
        <w:fldChar w:fldCharType="begin"/>
      </w:r>
      <w:r>
        <w:instrText> HYPERLINK "file:///wiki/Psalm_30" \l "s7"</w:instrText>
      </w:r>
      <w:r>
        <w:fldChar w:fldCharType="separate"/>
      </w:r>
      <w:r>
        <w:rPr>
          <w:rStyle w:val="Internetlink"/>
        </w:rPr>
        <w:t>Ps 30,7f</w:t>
      </w:r>
      <w:r>
        <w:fldChar w:fldCharType="end"/>
      </w:r>
      <w:r>
        <w:rPr/>
        <w:t>)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i/>
        </w:rPr>
        <w:footnoteRef/>
        <w:tab/>
        <w:t>Mein Herz (Ich)</w:t>
      </w:r>
      <w:r>
        <w:rPr/>
        <w:t xml:space="preserve">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i/>
        </w:rPr>
        <w:footnoteRef/>
        <w:tab/>
        <w:t>Himmel</w:t>
      </w:r>
      <w:r>
        <w:rPr/>
        <w:t xml:space="preserve"> ist im Hebräischen ein Pluralwort; damit erklärt sich der Plural „Die Himmel“, der in vielen Übersetzungen zu finden ist. Ins Deutsche muss mit Singular übertragen werden.</w:t>
      </w:r>
    </w:p>
  </w:footnote>
  <w:footnote w:id="714">
    <w:p>
      <w:pPr>
        <w:pStyle w:val="Funote"/>
        <w:rPr/>
      </w:pPr>
      <w:r>
        <w:rPr/>
        <w:footnoteRef/>
        <w:tab/>
        <w:t xml:space="preserve">Zur Vorstellung der „Herrlichkeit“ s. die </w:t>
      </w:r>
      <w:hyperlink w:anchor="Anliegen">
        <w:r>
          <w:rPr>
            <w:rStyle w:val="Internetlink"/>
          </w:rPr>
          <w:t>Anmerkungen</w:t>
        </w:r>
      </w:hyperlink>
      <w:r>
        <w:rPr/>
        <w:t>.</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i/>
        </w:rPr>
        <w:footnoteRef/>
        <w:tab/>
        <w:t>das Walten seiner Hände (sein Walten)</w:t>
      </w:r>
      <w:r>
        <w:rPr/>
        <w:t xml:space="preserve"> + </w:t>
      </w:r>
      <w:r>
        <w:rPr>
          <w:i/>
        </w:rPr>
        <w:t>die Reden meines Mundes (mein Reden)</w:t>
      </w:r>
      <w:r>
        <w:rPr/>
        <w:t xml:space="preserve"> + </w:t>
      </w:r>
      <w:r>
        <w:rPr>
          <w:i/>
        </w:rPr>
        <w:t>das sich-Äußern meines Herzens (mein sich-Äußern)</w:t>
      </w:r>
      <w:r>
        <w:rPr/>
        <w:t xml:space="preserve"> + </w:t>
      </w:r>
      <w:r>
        <w:rPr>
          <w:i/>
        </w:rPr>
        <w:t>vor deinem Gesicht (vor dir)</w:t>
      </w:r>
      <w:r>
        <w:rPr/>
        <w:t xml:space="preserve">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w:t>
      </w:r>
      <w:r>
        <w:rPr>
          <w:i/>
        </w:rPr>
        <w:t>Person</w:t>
      </w:r>
      <w:r>
        <w:rPr/>
        <w:t>.</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i/>
        </w:rPr>
        <w:footnoteRef/>
        <w:tab/>
        <w:t>Tag für Tag äußert es (Ein Tag äußert gegenüber dem nächsten Tag)</w:t>
      </w:r>
      <w:r>
        <w:rPr/>
        <w:t xml:space="preserve"> + </w:t>
      </w:r>
      <w:r>
        <w:rPr>
          <w:i/>
        </w:rPr>
        <w:t>Nacht für Nacht lehrt es (eine Nacht lehrt der nächsten Nacht)</w:t>
      </w:r>
      <w:r>
        <w:rPr/>
        <w:t xml:space="preserve">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w:t>
        <w:br/>
        <w:t>Theoretisch außerdem möglich: Verben in der 3. Pers. sing. mask. können im Hebräischen auch als impersonale Verben verwendet werden: „</w:t>
      </w:r>
      <w:r>
        <w:rPr>
          <w:i/>
        </w:rPr>
        <w:t>Man</w:t>
      </w:r>
      <w:r>
        <w:rPr/>
        <w:t xml:space="preserve"> äußert“ (vgl. </w:t>
      </w:r>
      <w:hyperlink r:id="rId74">
        <w:r>
          <w:rPr>
            <w:rStyle w:val="Internetlink"/>
          </w:rPr>
          <w:t>GKC §144d</w:t>
        </w:r>
      </w:hyperlink>
      <w:r>
        <w:rPr/>
        <w:t xml:space="preserve">); die Struktur von Vv. 2-3 würde dann der z.B. von </w:t>
      </w:r>
      <w:r>
        <w:fldChar w:fldCharType="begin"/>
      </w:r>
      <w:r>
        <w:instrText> HYPERLINK "file:///wiki/Psalm_8" \l "s2"</w:instrText>
      </w:r>
      <w:r>
        <w:fldChar w:fldCharType="separate"/>
      </w:r>
      <w:r>
        <w:rPr>
          <w:rStyle w:val="Internetlink"/>
        </w:rPr>
        <w:t>Ps 8,2</w:t>
      </w:r>
      <w:r>
        <w:fldChar w:fldCharType="end"/>
      </w:r>
      <w:r>
        <w:rPr/>
        <w:t xml:space="preserve">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i/>
        </w:rPr>
        <w:footnoteRef/>
        <w:tab/>
        <w:t>eine Nacht lehrt [der nächsten] Nacht Kenntnis, Nacht für Nacht lehrt man Kenntnis?</w:t>
      </w:r>
      <w:r>
        <w:rPr/>
        <w:t xml:space="preserve"> - s. </w:t>
      </w:r>
      <w:r>
        <w:fldChar w:fldCharType="begin"/>
      </w:r>
      <w:r>
        <w:instrText> HYPERLINK "http://www.offene-bibel.de/wiki/index.php5?title=Psalm_19" \l "note_i"</w:instrText>
      </w:r>
      <w:r>
        <w:fldChar w:fldCharType="separate"/>
      </w:r>
      <w:r>
        <w:rPr>
          <w:rStyle w:val="Internetlink"/>
        </w:rPr>
        <w:t>FN i</w:t>
      </w:r>
      <w:r>
        <w:fldChar w:fldCharType="end"/>
      </w:r>
      <w:r>
        <w:rPr/>
        <w:t>;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i/>
        </w:rPr>
        <w:footnoteRef/>
        <w:tab/>
        <w:t>Brautzelt (Zelt)</w:t>
      </w:r>
      <w:r>
        <w:rPr/>
        <w:t xml:space="preserve">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i/>
        </w:rPr>
        <w:footnoteRef/>
        <w:tab/>
        <w:t>Ende</w:t>
      </w:r>
      <w:r>
        <w:rPr/>
        <w:t xml:space="preserve"> - der äußerste Ort der Welt, an dem der Himmel auf den „Pfeilern des Himmels“ aufruht (für eine schöne grafische Darstellung des hebräischen Weltbildes s. </w:t>
      </w:r>
      <w:hyperlink r:id="rId75">
        <w:r>
          <w:rPr>
            <w:rStyle w:val="Internetlink"/>
          </w:rPr>
          <w:t>hier</w:t>
        </w:r>
      </w:hyperlink>
      <w:r>
        <w:rPr/>
        <w:t>). Die Sonne beginnt ihre Reise entlang des Firmaments also am östlichen „Ende des Himmels“ und vollendet ihn am westlichen Ende.</w:t>
      </w:r>
    </w:p>
  </w:footnote>
  <w:footnote w:id="731">
    <w:p>
      <w:pPr>
        <w:pStyle w:val="Funote"/>
        <w:rPr/>
      </w:pPr>
      <w:r>
        <w:rPr>
          <w:i/>
        </w:rPr>
        <w:footnoteRef/>
        <w:tab/>
        <w:t>der Himmel</w:t>
      </w:r>
      <w:r>
        <w:rPr/>
        <w:t xml:space="preserve"> - hierzu vgl. </w:t>
      </w:r>
      <w:r>
        <w:fldChar w:fldCharType="begin"/>
      </w:r>
      <w:r>
        <w:instrText> HYPERLINK "http://www.offene-bibel.de/wiki/index.php5?title=Psalm_19" \l "note_c"</w:instrText>
      </w:r>
      <w:r>
        <w:fldChar w:fldCharType="separate"/>
      </w:r>
      <w:r>
        <w:rPr>
          <w:rStyle w:val="Internetlink"/>
        </w:rPr>
        <w:t>FN c</w:t>
      </w:r>
      <w:r>
        <w:fldChar w:fldCharType="end"/>
      </w:r>
      <w:r>
        <w:rPr/>
        <w:t>.</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spacing w:before="0" w:after="283"/>
        <w:rPr/>
      </w:pPr>
      <w:r>
        <w:rPr>
          <w:i/>
        </w:rPr>
        <w:footnoteRef/>
        <w:tab/>
        <w:t>Gesetz</w:t>
      </w:r>
      <w:r>
        <w:rPr/>
        <w:t xml:space="preserve"> + </w:t>
      </w:r>
      <w:r>
        <w:rPr>
          <w:i/>
        </w:rPr>
        <w:t>Gebot</w:t>
      </w:r>
      <w:r>
        <w:rPr/>
        <w:t xml:space="preserve"> + </w:t>
      </w:r>
      <w:r>
        <w:rPr>
          <w:i/>
        </w:rPr>
        <w:t>Weisungen</w:t>
      </w:r>
      <w:r>
        <w:rPr/>
        <w:t xml:space="preserve"> + </w:t>
      </w:r>
      <w:r>
        <w:rPr>
          <w:i/>
        </w:rPr>
        <w:t>Satzung</w:t>
      </w:r>
      <w:r>
        <w:rPr/>
        <w:t xml:space="preserve"> + </w:t>
      </w:r>
      <w:r>
        <w:rPr>
          <w:i/>
        </w:rPr>
        <w:t>Wort</w:t>
      </w:r>
      <w:r>
        <w:rPr/>
        <w:t xml:space="preserve"> + </w:t>
      </w:r>
      <w:r>
        <w:rPr>
          <w:i/>
        </w:rPr>
        <w:t>Rechtssätze</w:t>
      </w:r>
      <w:r>
        <w:rPr/>
        <w:t xml:space="preserve"> - In den Vv. 8-10 stehen fünf Begriffe, die alle in etwa die selbe Bedeutung haben. Programmatisch beginnt die Begriffsreihe mit </w:t>
      </w:r>
      <w:r>
        <w:rPr>
          <w:i/>
        </w:rPr>
        <w:t>torah jhwh</w:t>
      </w:r>
      <w:r>
        <w:rPr/>
        <w:t>,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w:t>
      </w:r>
    </w:p>
    <w:p>
      <w:pPr>
        <w:pStyle w:val="Textkrper"/>
        <w:rPr/>
      </w:pPr>
      <w:r>
        <w:rPr/>
        <w:tab/>
        <w:t xml:space="preserve">V. 8b ist die Rede vom </w:t>
      </w:r>
      <w:r>
        <w:rPr>
          <w:i/>
        </w:rPr>
        <w:t>edut</w:t>
      </w:r>
      <w:r>
        <w:rPr/>
        <w:t xml:space="preserve"> JHWHs, was in der Bibel meist als </w:t>
      </w:r>
      <w:r>
        <w:rPr>
          <w:i/>
        </w:rPr>
        <w:t>terminus technicus</w:t>
      </w:r>
      <w:r>
        <w:rPr/>
        <w:t xml:space="preserve"> für die 10 Gebote fungiert - die Übersetzung „Zeugnisse“, die sich häufig in Üss. findet, ist zwar möglich, hier aber unpassend.</w:t>
        <w:br/>
      </w:r>
      <w:r>
        <w:rPr>
          <w:i/>
        </w:rPr>
        <w:t>piqudim</w:t>
      </w:r>
      <w:r>
        <w:rPr/>
        <w:t xml:space="preserve"> (V. 9a) als Ausdruck für die Anweisungen Gottes findet sich neben unserer Stelle nur in den späten Psalmen 103 (V. </w:t>
      </w:r>
      <w:hyperlink r:id="rId76">
        <w:r>
          <w:rPr>
            <w:rStyle w:val="Internetlink"/>
          </w:rPr>
          <w:t>18</w:t>
        </w:r>
      </w:hyperlink>
      <w:r>
        <w:rPr/>
        <w:t xml:space="preserve">), Ps 111 (V. </w:t>
      </w:r>
      <w:hyperlink r:id="rId77">
        <w:r>
          <w:rPr>
            <w:rStyle w:val="Internetlink"/>
          </w:rPr>
          <w:t>7</w:t>
        </w:r>
      </w:hyperlink>
      <w:r>
        <w:rPr/>
        <w:t xml:space="preserve">) und oft in </w:t>
      </w:r>
      <w:hyperlink r:id="rId78">
        <w:r>
          <w:rPr>
            <w:rStyle w:val="Internetlink"/>
          </w:rPr>
          <w:t>Ps 119</w:t>
        </w:r>
      </w:hyperlink>
      <w:r>
        <w:rPr/>
        <w:t xml:space="preserve">. Auffällig ist, dass das Wort oft zusammen mit </w:t>
      </w:r>
      <w:r>
        <w:rPr>
          <w:i/>
        </w:rPr>
        <w:t>derek</w:t>
      </w:r>
      <w:r>
        <w:rPr/>
        <w:t xml:space="preserve"> („Weg“) steht und als etwas geschildert wird, dem man „folgen“ kann (s. </w:t>
      </w:r>
      <w:hyperlink r:id="rId79">
        <w:r>
          <w:rPr>
            <w:rStyle w:val="Internetlink"/>
          </w:rPr>
          <w:t>Ps 119,15</w:t>
        </w:r>
      </w:hyperlink>
      <w:r>
        <w:rPr/>
        <w:t>.</w:t>
      </w:r>
      <w:hyperlink r:id="rId80">
        <w:r>
          <w:rPr>
            <w:rStyle w:val="Internetlink"/>
          </w:rPr>
          <w:t>27</w:t>
        </w:r>
      </w:hyperlink>
      <w:r>
        <w:rPr/>
        <w:t>.</w:t>
      </w:r>
      <w:hyperlink r:id="rId81">
        <w:r>
          <w:rPr>
            <w:rStyle w:val="Internetlink"/>
          </w:rPr>
          <w:t>45</w:t>
        </w:r>
      </w:hyperlink>
      <w:r>
        <w:rPr/>
        <w:t>.</w:t>
      </w:r>
      <w:hyperlink r:id="rId82">
        <w:r>
          <w:rPr>
            <w:rStyle w:val="Internetlink"/>
          </w:rPr>
          <w:t>104</w:t>
        </w:r>
      </w:hyperlink>
      <w:r>
        <w:rPr/>
        <w:t>.</w:t>
      </w:r>
      <w:hyperlink r:id="rId83">
        <w:r>
          <w:rPr>
            <w:rStyle w:val="Internetlink"/>
          </w:rPr>
          <w:t>110</w:t>
        </w:r>
      </w:hyperlink>
      <w:r>
        <w:rPr/>
        <w:t>.</w:t>
      </w:r>
      <w:hyperlink r:id="rId84">
        <w:r>
          <w:rPr>
            <w:rStyle w:val="Internetlink"/>
          </w:rPr>
          <w:t>128</w:t>
        </w:r>
      </w:hyperlink>
      <w:r>
        <w:rPr/>
        <w:t>) und kontrastiert wird mit Lügen und Betrug (</w:t>
      </w:r>
      <w:hyperlink r:id="rId85">
        <w:r>
          <w:rPr>
            <w:rStyle w:val="Internetlink"/>
          </w:rPr>
          <w:t>Ps 119,69</w:t>
        </w:r>
      </w:hyperlink>
      <w:r>
        <w:rPr/>
        <w:t>.</w:t>
      </w:r>
      <w:hyperlink r:id="rId86">
        <w:r>
          <w:rPr>
            <w:rStyle w:val="Internetlink"/>
          </w:rPr>
          <w:t>78</w:t>
        </w:r>
      </w:hyperlink>
      <w:r>
        <w:rPr/>
        <w:t>.</w:t>
      </w:r>
      <w:hyperlink r:id="rId87">
        <w:r>
          <w:rPr>
            <w:rStyle w:val="Internetlink"/>
          </w:rPr>
          <w:t>104</w:t>
        </w:r>
      </w:hyperlink>
      <w:r>
        <w:rPr/>
        <w:t xml:space="preserve">) - die </w:t>
      </w:r>
      <w:r>
        <w:rPr>
          <w:i/>
        </w:rPr>
        <w:t>piqudim</w:t>
      </w:r>
      <w:r>
        <w:rPr/>
        <w:t xml:space="preserve"> werden vorgestellt als eine Art „gute Wegbeschreibung“ (</w:t>
      </w:r>
      <w:hyperlink r:id="rId88">
        <w:r>
          <w:rPr>
            <w:rStyle w:val="Internetlink"/>
          </w:rPr>
          <w:t>Ps 119,110</w:t>
        </w:r>
      </w:hyperlink>
      <w:r>
        <w:rPr/>
        <w:t>.</w:t>
      </w:r>
      <w:hyperlink r:id="rId89">
        <w:r>
          <w:rPr>
            <w:rStyle w:val="Internetlink"/>
          </w:rPr>
          <w:t>128</w:t>
        </w:r>
      </w:hyperlink>
      <w:r>
        <w:rPr/>
        <w:t xml:space="preserve">!). Diese Vorstellung könnte auch hinter unserer Stelle stehen, denn die </w:t>
      </w:r>
      <w:r>
        <w:rPr>
          <w:i/>
        </w:rPr>
        <w:t>piqudim</w:t>
      </w:r>
      <w:r>
        <w:rPr/>
        <w:t xml:space="preserve"> JHWHs sind </w:t>
      </w:r>
      <w:r>
        <w:rPr>
          <w:i/>
        </w:rPr>
        <w:t>jescharim</w:t>
      </w:r>
      <w:r>
        <w:rPr/>
        <w:t>, „richtig, eben, angenehm zu befolgen“. Will man diese Vorstellung auch in der Übersetzung herauskommen lassen, empfähle sich die Übersetzung „Weisungen“.</w:t>
      </w:r>
    </w:p>
    <w:p>
      <w:pPr>
        <w:pStyle w:val="Textkrper"/>
        <w:spacing w:before="0" w:after="283"/>
        <w:rPr/>
      </w:pPr>
      <w:r>
        <w:rPr/>
        <w:tab/>
        <w:t xml:space="preserve">Die „Satzung“ (9b) und die „Rechtssätze“ (10b) dürften selbsterklärend sein; erwähnenswert ist, dass auch sie meist als satzhafte Vorgaben aufzufassen sind. Zum „Wort JHWHs“ s. </w:t>
      </w:r>
      <w:r>
        <w:rPr>
          <w:i/>
        </w:rPr>
        <w:t>ad loc</w:t>
      </w:r>
      <w:r>
        <w:rPr/>
        <w:t>.</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i/>
        </w:rPr>
        <w:footnoteRef/>
        <w:tab/>
        <w:t>Wahrheit (wahr)</w:t>
      </w:r>
      <w:r>
        <w:rPr/>
        <w:t xml:space="preserve">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i/>
        </w:rPr>
        <w:footnoteRef/>
        <w:tab/>
        <w:t>Honig des Honigs</w:t>
      </w:r>
      <w:r>
        <w:rPr/>
        <w:t xml:space="preserve"> - Der Psalmist verwendet in Vv. 11cd drei verschiedene Wörter mit der Bedeutung „Honig“: „süßer als Honig 1, / ja, als Honig 2 des Honig 3´s“. Diese Konstruktion dient der Intensivierung der gesamten Aussage - ähnlich, wie im häufigen „der Himmel und der Himmel der Himmel“ (</w:t>
      </w:r>
      <w:hyperlink r:id="rId90">
        <w:r>
          <w:rPr>
            <w:rStyle w:val="Internetlink"/>
          </w:rPr>
          <w:t>Dtn 10,14</w:t>
        </w:r>
      </w:hyperlink>
      <w:r>
        <w:rPr/>
        <w:t xml:space="preserve">; </w:t>
      </w:r>
      <w:hyperlink r:id="rId91">
        <w:r>
          <w:rPr>
            <w:rStyle w:val="Internetlink"/>
          </w:rPr>
          <w:t>8,27</w:t>
        </w:r>
      </w:hyperlink>
      <w:r>
        <w:rPr/>
        <w:t xml:space="preserve">; </w:t>
      </w:r>
      <w:hyperlink r:id="rId92">
        <w:r>
          <w:rPr>
            <w:rStyle w:val="Internetlink"/>
          </w:rPr>
          <w:t>2Chr 2,5</w:t>
        </w:r>
      </w:hyperlink>
      <w:r>
        <w:rPr/>
        <w:t xml:space="preserve">; </w:t>
      </w:r>
      <w:hyperlink r:id="rId93">
        <w:r>
          <w:rPr>
            <w:rStyle w:val="Internetlink"/>
          </w:rPr>
          <w:t>6,18</w:t>
        </w:r>
      </w:hyperlink>
      <w:r>
        <w:rPr/>
        <w:t>)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i/>
        </w:rPr>
        <w:footnoteRef/>
        <w:tab/>
        <w:t>[Doch]</w:t>
      </w:r>
      <w:r>
        <w:rPr/>
        <w:t xml:space="preserve">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i/>
        </w:rPr>
        <w:footnoteRef/>
        <w:tab/>
        <w:t>Verborgenen (ungewollte Sünden)</w:t>
      </w:r>
      <w:r>
        <w:rPr/>
        <w:t xml:space="preserve"> ist ein Begriff aus der israelitischen Rechtsterminologie; man bezeichnet damit Vergehen und Sünden, die ein Sünder unwissentlich begangen hat. Vgl. z.B. </w:t>
      </w:r>
      <w:hyperlink r:id="rId94">
        <w:r>
          <w:rPr>
            <w:rStyle w:val="Internetlink"/>
          </w:rPr>
          <w:t>Lev 4</w:t>
        </w:r>
      </w:hyperlink>
      <w:r>
        <w:rPr/>
        <w:t>-</w:t>
      </w:r>
      <w:hyperlink r:id="rId95">
        <w:r>
          <w:rPr>
            <w:rStyle w:val="Internetlink"/>
          </w:rPr>
          <w:t>5</w:t>
        </w:r>
      </w:hyperlink>
      <w:r>
        <w:rPr/>
        <w:t>.</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i/>
        </w:rPr>
        <w:footnoteRef/>
        <w:tab/>
        <w:t>Antworten</w:t>
      </w:r>
      <w:r>
        <w:rPr/>
        <w:t xml:space="preserve">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i/>
        </w:rPr>
        <w:footnoteRef/>
        <w:tab/>
        <w:t>Reißen die Lippe[n] auf, schütteln den Kopf</w:t>
      </w:r>
      <w:r>
        <w:rPr/>
        <w:t xml:space="preserve"> - Zwei Gesten der Verachtung. Zur ersten Geste s. noch </w:t>
      </w:r>
      <w:hyperlink r:id="rId96">
        <w:r>
          <w:rPr>
            <w:rStyle w:val="Internetlink"/>
          </w:rPr>
          <w:t>Ijob 16,10</w:t>
        </w:r>
      </w:hyperlink>
      <w:r>
        <w:rPr/>
        <w:t xml:space="preserve">; </w:t>
      </w:r>
      <w:hyperlink r:id="rId97">
        <w:r>
          <w:rPr>
            <w:rStyle w:val="Internetlink"/>
          </w:rPr>
          <w:t>Ps 35,21</w:t>
        </w:r>
      </w:hyperlink>
      <w:r>
        <w:rPr/>
        <w:t xml:space="preserve">; zur zweiten </w:t>
      </w:r>
      <w:hyperlink r:id="rId98">
        <w:r>
          <w:rPr>
            <w:rStyle w:val="Internetlink"/>
          </w:rPr>
          <w:t>Ps 44,14</w:t>
        </w:r>
      </w:hyperlink>
      <w:r>
        <w:rPr/>
        <w:t xml:space="preserve">; </w:t>
      </w:r>
      <w:hyperlink r:id="rId99">
        <w:r>
          <w:rPr>
            <w:rStyle w:val="Internetlink"/>
          </w:rPr>
          <w:t>64,8</w:t>
        </w:r>
      </w:hyperlink>
      <w:r>
        <w:rPr/>
        <w:t>.</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i/>
        </w:rPr>
        <w:footnoteRef/>
        <w:tab/>
        <w:t>aus dem Schoß hervorbrechen ließ</w:t>
      </w:r>
      <w:r>
        <w:rPr/>
        <w:t xml:space="preserve">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i/>
        </w:rPr>
        <w:footnoteRef/>
        <w:tab/>
        <w:t>Enge (Bedrängnis) ist nahe</w:t>
      </w:r>
      <w:r>
        <w:rPr/>
        <w:t xml:space="preserve"> - dazu s. </w:t>
      </w:r>
      <w:r>
        <w:fldChar w:fldCharType="begin"/>
      </w:r>
      <w:r>
        <w:instrText> HYPERLINK "file:///wiki/Psalm_4" \l "s2"</w:instrText>
      </w:r>
      <w:r>
        <w:fldChar w:fldCharType="separate"/>
      </w:r>
      <w:r>
        <w:rPr>
          <w:rStyle w:val="Internetlink"/>
        </w:rPr>
        <w:t>Ps 4,2</w:t>
      </w:r>
      <w:r>
        <w:fldChar w:fldCharType="end"/>
      </w:r>
      <w:r>
        <w:rPr/>
        <w:t xml:space="preserve"> (dazu </w:t>
      </w:r>
      <w:r>
        <w:fldChar w:fldCharType="begin"/>
      </w:r>
      <w:r>
        <w:instrText> HYPERLINK "http://offene-bibel.de/wiki/Psalm_4" \l "note_f"</w:instrText>
      </w:r>
      <w:r>
        <w:fldChar w:fldCharType="separate"/>
      </w:r>
      <w:r>
        <w:rPr>
          <w:rStyle w:val="Internetlink"/>
        </w:rPr>
        <w:t>FN f</w:t>
      </w:r>
      <w:r>
        <w:fldChar w:fldCharType="end"/>
      </w:r>
      <w:r>
        <w:rPr/>
        <w:t xml:space="preserve">); </w:t>
      </w:r>
      <w:hyperlink r:id="rId100">
        <w:r>
          <w:rPr>
            <w:rStyle w:val="Internetlink"/>
          </w:rPr>
          <w:t>25,17</w:t>
        </w:r>
      </w:hyperlink>
      <w:r>
        <w:rPr/>
        <w:t xml:space="preserve">: Not wird in der Bibel des Öfteren mit der Metapher des Beengt-seins ausgedrückt. Hier gleich doppelt: „die </w:t>
      </w:r>
      <w:r>
        <w:rPr>
          <w:i/>
        </w:rPr>
        <w:t>Enge</w:t>
      </w:r>
      <w:r>
        <w:rPr/>
        <w:t xml:space="preserve"> ist </w:t>
      </w:r>
      <w:r>
        <w:rPr>
          <w:i/>
        </w:rPr>
        <w:t>nahe</w:t>
      </w:r>
      <w:r>
        <w:rPr/>
        <w:t>“ - ganz im Gegensatz zum „fernen“ Gott, der den Psalmisten verlassen hat.</w:t>
      </w:r>
    </w:p>
  </w:footnote>
  <w:footnote w:id="772">
    <w:p>
      <w:pPr>
        <w:pStyle w:val="Funote"/>
        <w:rPr/>
      </w:pPr>
      <w:r>
        <w:rPr>
          <w:i/>
        </w:rPr>
        <w:footnoteRef/>
        <w:tab/>
        <w:t>Baschan[stiere]</w:t>
      </w:r>
      <w:r>
        <w:rPr/>
        <w:t xml:space="preserve"> - Baschan war eine äußerst fruchtbare Region; die „</w:t>
      </w:r>
      <w:r>
        <w:rPr>
          <w:i/>
        </w:rPr>
        <w:t>Baschan</w:t>
      </w:r>
      <w:r>
        <w:rPr/>
        <w:t xml:space="preserve">stiere“ sind daher hier noch mal als Steigerung der bloßen „Stiere“ erwähnt: als besonders gut genährte und daher besonders gefährliche Vertreter ihrer Art. Vgl. </w:t>
      </w:r>
      <w:r>
        <w:fldChar w:fldCharType="begin"/>
      </w:r>
      <w:r>
        <w:instrText> HYPERLINK "file:///wiki/Deuteronomium_32" \l "s14"</w:instrText>
      </w:r>
      <w:r>
        <w:fldChar w:fldCharType="separate"/>
      </w:r>
      <w:r>
        <w:rPr>
          <w:rStyle w:val="Internetlink"/>
        </w:rPr>
        <w:t>Dtn 32,14</w:t>
      </w:r>
      <w:r>
        <w:fldChar w:fldCharType="end"/>
      </w:r>
      <w:r>
        <w:rPr/>
        <w:t xml:space="preserve"> und </w:t>
      </w:r>
      <w:hyperlink r:id="rId101">
        <w:r>
          <w:rPr>
            <w:rStyle w:val="Internetlink"/>
          </w:rPr>
          <w:t>Ez 39,18</w:t>
        </w:r>
      </w:hyperlink>
      <w:r>
        <w:rPr/>
        <w:t xml:space="preserve">, wo die „Baschanstiere“ als besonders nahrhafte Vertreter ihrer Art genannt werden, und </w:t>
      </w:r>
      <w:r>
        <w:fldChar w:fldCharType="begin"/>
      </w:r>
      <w:r>
        <w:instrText> HYPERLINK "file:///wiki/Amos_4" \l "s1"</w:instrText>
      </w:r>
      <w:r>
        <w:fldChar w:fldCharType="separate"/>
      </w:r>
      <w:r>
        <w:rPr>
          <w:rStyle w:val="Internetlink"/>
        </w:rPr>
        <w:t>Am 4,1</w:t>
      </w:r>
      <w:r>
        <w:fldChar w:fldCharType="end"/>
      </w:r>
      <w:r>
        <w:rPr/>
        <w:t>, wo sie gar zur Metapher für trinkfreudige Bonzen werden.</w:t>
      </w:r>
    </w:p>
  </w:footnote>
  <w:footnote w:id="773">
    <w:p>
      <w:pPr>
        <w:pStyle w:val="Funote"/>
        <w:rPr/>
      </w:pPr>
      <w:r>
        <w:rPr>
          <w:i/>
        </w:rPr>
        <w:footnoteRef/>
        <w:tab/>
        <w:t>reißende, brüllende Löwen ([wie] ein reißender, brüllender Löwe)</w:t>
      </w:r>
      <w:r>
        <w:rPr/>
        <w:t xml:space="preserve"> steht im heb. Text im Sg. Viele denken daher, dass Subjekt des „Maul-Aufsperrens“ die (selbst schon metaphorischen) Baschanstiere wären, die danach noch einmal mit dem Vergleich „[wie] ein Löwe“ näher spezifiziert würden. Wahrscheinlicher ist, dass </w:t>
      </w:r>
      <w:r>
        <w:rPr>
          <w:i/>
        </w:rPr>
        <w:t>Löwe</w:t>
      </w:r>
      <w:r>
        <w:rPr/>
        <w:t xml:space="preserve"> hier ein sog. „kollektiver Singular“ mit Pluralbedeutung ist und als ein solcher mit dem Pluralverb „</w:t>
      </w:r>
      <w:r>
        <w:rPr>
          <w:i/>
        </w:rPr>
        <w:t>sie</w:t>
      </w:r>
      <w:r>
        <w:rPr/>
        <w:t xml:space="preserve"> sperr</w:t>
      </w:r>
      <w:r>
        <w:rPr>
          <w:i/>
        </w:rPr>
        <w:t>en ihr</w:t>
      </w:r>
      <w:r>
        <w:rPr/>
        <w:t xml:space="preserve"> Maul gegen mich auf“ konstruiert wird.</w:t>
        <w:br/>
        <w:t>Das „Maul-aufsperren“ ist hier nicht wie in V. 8 als Spottgeste zu verstehen, sondern wörtlich als Bild für die von den Löwen ausgehende Gefahr.</w:t>
      </w:r>
    </w:p>
  </w:footnote>
  <w:footnote w:id="774">
    <w:p>
      <w:pPr>
        <w:pStyle w:val="Funote"/>
        <w:rPr/>
      </w:pPr>
      <w:r>
        <w:rPr>
          <w:i/>
        </w:rPr>
        <w:footnoteRef/>
        <w:tab/>
        <w:t>{</w:t>
      </w:r>
      <w:r>
        <w:rPr>
          <w:i/>
          <w:strike/>
        </w:rPr>
        <w:t>das</w:t>
      </w:r>
      <w:r>
        <w:rPr>
          <w:i/>
        </w:rPr>
        <w:t>}</w:t>
      </w:r>
      <w:r>
        <w:rPr/>
        <w:t xml:space="preserve"> (V. 15); </w:t>
      </w:r>
      <w:r>
        <w:rPr>
          <w:i/>
        </w:rPr>
        <w:t>{</w:t>
      </w:r>
      <w:r>
        <w:rPr>
          <w:i/>
          <w:strike/>
        </w:rPr>
        <w:t>der</w:t>
      </w:r>
      <w:r>
        <w:rPr>
          <w:i/>
        </w:rPr>
        <w:t>} [ein]</w:t>
      </w:r>
      <w:r>
        <w:rPr/>
        <w:t xml:space="preserve">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i/>
        </w:rPr>
        <w:footnoteRef/>
        <w:tab/>
        <w:t>Aufgegraben sind ([wie] ein Löwe, gebunden sind)</w:t>
      </w:r>
      <w:r>
        <w:rPr/>
        <w:t xml:space="preserve">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 xml:space="preserve">Zu </w:t>
      </w:r>
      <w:r>
        <w:rPr>
          <w:i/>
        </w:rPr>
        <w:t>sei nicht fern</w:t>
      </w:r>
      <w:r>
        <w:rPr/>
        <w:t xml:space="preserve"> s.o. </w:t>
      </w:r>
      <w:r>
        <w:fldChar w:fldCharType="begin"/>
      </w:r>
      <w:r>
        <w:instrText> HYPERLINK "http://offene-bibel.de/wiki/Psalm_22" \l "note_c"</w:instrText>
      </w:r>
      <w:r>
        <w:fldChar w:fldCharType="separate"/>
      </w:r>
      <w:r>
        <w:rPr>
          <w:rStyle w:val="Internetlink"/>
        </w:rPr>
        <w:t>FN c</w:t>
      </w:r>
      <w:r>
        <w:fldChar w:fldCharType="end"/>
      </w:r>
      <w:r>
        <w:rPr/>
        <w:t>.</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i/>
        </w:rPr>
        <w:footnoteRef/>
        <w:tab/>
        <w:t>der Hunde</w:t>
      </w:r>
      <w:r>
        <w:rPr/>
        <w:t xml:space="preserve"> - W. „des Hundes“, kollektiver Sg. mit Pl.-Bed.</w:t>
      </w:r>
    </w:p>
  </w:footnote>
  <w:footnote w:id="785">
    <w:p>
      <w:pPr>
        <w:pStyle w:val="Funote"/>
        <w:rPr/>
      </w:pPr>
      <w:r>
        <w:rPr>
          <w:i/>
        </w:rPr>
        <w:footnoteRef/>
        <w:tab/>
        <w:t>Einzige</w:t>
      </w:r>
      <w:r>
        <w:rPr/>
        <w:t xml:space="preserve"> - wohl poet. Wechselbegriff für „Leben“, s. ebenso </w:t>
      </w:r>
      <w:hyperlink r:id="rId102">
        <w:r>
          <w:rPr>
            <w:rStyle w:val="Internetlink"/>
          </w:rPr>
          <w:t>Ps 35,17</w:t>
        </w:r>
      </w:hyperlink>
      <w:r>
        <w:rPr/>
        <w:t>.</w:t>
      </w:r>
    </w:p>
  </w:footnote>
  <w:footnote w:id="786">
    <w:p>
      <w:pPr>
        <w:pStyle w:val="Funote"/>
        <w:rPr/>
      </w:pPr>
      <w:r>
        <w:rPr>
          <w:i/>
        </w:rPr>
        <w:footnoteRef/>
        <w:tab/>
        <w:t>der Löwen</w:t>
      </w:r>
      <w:r>
        <w:rPr/>
        <w:t xml:space="preserve">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im Sticho ein Heilsorakel, ein Heilshandeln Gottes o.Ä. anzusetzen ist und der Beter also mitten im Sticho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i/>
        </w:rPr>
        <w:footnoteRef/>
        <w:tab/>
        <w:t>Nachkommen Jakobs</w:t>
      </w:r>
      <w:r>
        <w:rPr/>
        <w:t xml:space="preserve"> - Häufiger Wechselbegriff für die „Israeliten“, die Nachfahren ihres Stammvaters Jakob/Israel (vgl. </w:t>
      </w:r>
      <w:r>
        <w:fldChar w:fldCharType="begin"/>
      </w:r>
      <w:r>
        <w:instrText> HYPERLINK "https://www.bibelwissenschaft.de/stichwort/22151/" \l "h3"</w:instrText>
      </w:r>
      <w:r>
        <w:fldChar w:fldCharType="separate"/>
      </w:r>
      <w:r>
        <w:rPr>
          <w:rStyle w:val="Internetlink"/>
        </w:rPr>
        <w:t>Jakob (WiBiLex)</w:t>
      </w:r>
      <w:r>
        <w:fldChar w:fldCharType="end"/>
      </w:r>
      <w:r>
        <w:rPr/>
        <w:t>).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i/>
        </w:rPr>
        <w:footnoteRef/>
        <w:tab/>
        <w:t>Erschauert</w:t>
      </w:r>
      <w:r>
        <w:rPr/>
        <w:t>, nämlich in Ehrfurcht.</w:t>
      </w:r>
    </w:p>
  </w:footnote>
  <w:footnote w:id="792">
    <w:p>
      <w:pPr>
        <w:pStyle w:val="Funote"/>
        <w:rPr/>
      </w:pPr>
      <w:r>
        <w:rPr/>
        <w:footnoteRef/>
        <w:tab/>
        <w:t>Ein unnatürlich langer Sticho; vermutlich soll so stilistisch nachgebildet werden, dass der Psalmist hier seine eigene wörtliche Rede zitiert.</w:t>
      </w:r>
    </w:p>
  </w:footnote>
  <w:footnote w:id="793">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4">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 gibst mir Grund dafür, dich zu loben inmitten der großen Gemeinde.“</w:t>
      </w:r>
    </w:p>
  </w:footnote>
  <w:footnote w:id="795">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6">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7">
    <w:p>
      <w:pPr>
        <w:pStyle w:val="Funote"/>
        <w:rPr/>
      </w:pPr>
      <w:r>
        <w:rPr/>
        <w:footnoteRef/>
        <w:tab/>
        <w:t>die ihn verehren - W. »die ihn suchen«; in späteren Texten aber terminus technicus für den JHWH-Glauben (vgl. THAT I, Sp. 464: »sich zu Jahwe halten«).</w:t>
      </w:r>
    </w:p>
  </w:footnote>
  <w:footnote w:id="798">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9">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800">
    <w:p>
      <w:pPr>
        <w:pStyle w:val="Funote"/>
        <w:rPr/>
      </w:pPr>
      <w:r>
        <w:rPr>
          <w:i/>
        </w:rPr>
        <w:footnoteRef/>
        <w:tab/>
        <w:t>Alle Enden der Erde</w:t>
      </w:r>
      <w:r>
        <w:rPr/>
        <w:t xml:space="preserve"> = „die ganze Welt“.</w:t>
      </w:r>
    </w:p>
  </w:footnote>
  <w:footnote w:id="801">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2">
    <w:p>
      <w:pPr>
        <w:pStyle w:val="Funote"/>
        <w:rPr/>
      </w:pPr>
      <w:r>
        <w:rPr>
          <w:i/>
        </w:rPr>
        <w:footnoteRef/>
        <w:tab/>
        <w:t>[mit den Worten]</w:t>
      </w:r>
      <w:r>
        <w:rPr/>
        <w:t xml:space="preserve"> - Auch V. 29 ist wahrscheinlich ein Zitat; hier das Zitat von „allen Sippen der Völker“, die damit Gott als rechtmäßigen Herrscher über die Völker anerkennen. Das </w:t>
      </w:r>
      <w:r>
        <w:rPr>
          <w:i/>
        </w:rPr>
        <w:t>ki</w:t>
      </w:r>
      <w:r>
        <w:rPr/>
        <w:t xml:space="preserve"> („Ja!“, „denn“) ist dann wohl ein sog. „</w:t>
      </w:r>
      <w:r>
        <w:rPr>
          <w:i/>
        </w:rPr>
        <w:t>ki</w:t>
      </w:r>
      <w:r>
        <w:rPr/>
        <w:t xml:space="preserve"> recitativum“ und dient genau dem Zweck, das folgende als wörtliche Rede zu markieren.</w:t>
      </w:r>
    </w:p>
  </w:footnote>
  <w:footnote w:id="803">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4">
    <w:p>
      <w:pPr>
        <w:pStyle w:val="Funote"/>
        <w:rPr/>
      </w:pPr>
      <w:r>
        <w:rPr>
          <w:i/>
        </w:rPr>
        <w:footnoteRef/>
        <w:tab/>
        <w:t>seinem Gesicht</w:t>
      </w:r>
      <w:r>
        <w:rPr/>
        <w:t xml:space="preserve"> - d.h. „vor ihm“.</w:t>
      </w:r>
    </w:p>
  </w:footnote>
  <w:footnote w:id="805">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6">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7">
    <w:p>
      <w:pPr>
        <w:pStyle w:val="Funote"/>
        <w:rPr/>
      </w:pPr>
      <w:r>
        <w:rPr/>
        <w:footnoteRef/>
        <w:tab/>
        <w:t>[Status: Sehr gut]</w:t>
      </w:r>
    </w:p>
  </w:footnote>
  <w:footnote w:id="808">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9">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10">
    <w:p>
      <w:pPr>
        <w:pStyle w:val="Funote"/>
        <w:rPr/>
      </w:pPr>
      <w:r>
        <w:rPr/>
        <w:footnoteRef/>
        <w:tab/>
        <w:t>so Waltke 2010, S. 434</w:t>
      </w:r>
    </w:p>
  </w:footnote>
  <w:footnote w:id="811">
    <w:p>
      <w:pPr>
        <w:pStyle w:val="Funote"/>
        <w:rPr/>
      </w:pPr>
      <w:r>
        <w:rPr/>
        <w:footnoteRef/>
        <w:tab/>
        <w:t>Die Constructus-Verbindung hier kann verschieden aufgelöst werden. Diese Übersetzung ist wörtlicher; s.a. NGÜ, GNB.</w:t>
      </w:r>
    </w:p>
  </w:footnote>
  <w:footnote w:id="812">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3">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4">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t>
      </w:r>
      <w:hyperlink r:id="rId103">
        <w:r>
          <w:rPr>
            <w:rStyle w:val="Internetlink"/>
          </w:rPr>
          <w:t>Wibilex.de, Art. „Leben“</w:t>
        </w:r>
      </w:hyperlink>
      <w:r>
        <w:rPr/>
        <w:t xml:space="preserve">,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5">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6">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7">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8">
    <w:p>
      <w:pPr>
        <w:pStyle w:val="Funote"/>
        <w:rPr/>
      </w:pPr>
      <w:r>
        <w:rPr/>
        <w:footnoteRef/>
        <w:tab/>
        <w:t>vgl. Sabottka 1972, S. 129</w:t>
      </w:r>
    </w:p>
  </w:footnote>
  <w:footnote w:id="819">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20">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1">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2">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3">
    <w:p>
      <w:pPr>
        <w:pStyle w:val="Funote"/>
        <w:rPr/>
      </w:pPr>
      <w:r>
        <w:rPr/>
        <w:footnoteRef/>
        <w:tab/>
        <w:t>pluralis maiestatis / intensitatis; so Sabottka 1972, S. 129</w:t>
      </w:r>
    </w:p>
  </w:footnote>
  <w:footnote w:id="824">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5">
    <w:p>
      <w:pPr>
        <w:pStyle w:val="Funote"/>
        <w:rPr/>
      </w:pPr>
      <w:r>
        <w:rPr/>
        <w:footnoteRef/>
        <w:tab/>
        <w:t>„</w:t>
      </w:r>
      <w:r>
        <w:rPr/>
        <w:t xml:space="preserve">randvoll (fließt über)“ ist wörtlich eigentlich ein Substantiv: „Mein Becher [ist] Überfluss“; der Einsatz von Substantiven als Adjektiven ist aber ganz gewöhnlich im Hebräischen; s. z.B. </w:t>
      </w:r>
      <w:r>
        <w:fldChar w:fldCharType="begin"/>
      </w:r>
      <w:r>
        <w:instrText> HYPERLINK "http://en.wikisource.org/wiki/Gesenius'_Hebrew_Grammar/141._The_Noun-clause" \l "GHGpar-141-c"</w:instrText>
      </w:r>
      <w:r>
        <w:fldChar w:fldCharType="separate"/>
      </w:r>
      <w:r>
        <w:rPr>
          <w:rStyle w:val="Internetlink"/>
        </w:rPr>
        <w:t>GKC §141c</w:t>
      </w:r>
      <w:r>
        <w:fldChar w:fldCharType="end"/>
      </w:r>
      <w:r>
        <w:rPr/>
        <w:t>.</w:t>
      </w:r>
    </w:p>
  </w:footnote>
  <w:footnote w:id="826">
    <w:p>
      <w:pPr>
        <w:pStyle w:val="Funote"/>
        <w:rPr/>
      </w:pPr>
      <w:r>
        <w:rPr/>
        <w:footnoteRef/>
        <w:tab/>
        <w:t>An dieser Stelle kann das Wort sowohl bekräftigend als auch einschränkend verstanden werden.</w:t>
      </w:r>
    </w:p>
  </w:footnote>
  <w:footnote w:id="827">
    <w:p>
      <w:pPr>
        <w:pStyle w:val="Funote"/>
        <w:rPr/>
      </w:pPr>
      <w:r>
        <w:rPr/>
        <w:footnoteRef/>
        <w:tab/>
        <w:t>nach Knauf 2001, S. 556.</w:t>
      </w:r>
    </w:p>
  </w:footnote>
  <w:footnote w:id="828">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9">
    <w:p>
      <w:pPr>
        <w:pStyle w:val="Funote"/>
        <w:rPr/>
      </w:pPr>
      <w:r>
        <w:rPr/>
        <w:footnoteRef/>
        <w:tab/>
        <w:t>[Status: Zuverlässig]</w:t>
      </w:r>
    </w:p>
  </w:footnote>
  <w:footnote w:id="830">
    <w:p>
      <w:pPr>
        <w:pStyle w:val="Funote"/>
        <w:rPr/>
      </w:pPr>
      <w:r>
        <w:rPr/>
        <w:footnoteRef/>
        <w:tab/>
        <w:t xml:space="preserve">Die „Tempelweihe“ ist das seit 165 v. Chr. begangene Fest der Wiederherstellung des Tempels (vgl. </w:t>
      </w:r>
      <w:hyperlink r:id="rId104">
        <w:r>
          <w:rPr>
            <w:rStyle w:val="Internetlink"/>
          </w:rPr>
          <w:t>1Makk 4,52ff</w:t>
        </w:r>
      </w:hyperlink>
      <w:r>
        <w:rPr/>
        <w:t xml:space="preserve">; </w:t>
      </w:r>
      <w:hyperlink r:id="rId105">
        <w:r>
          <w:rPr>
            <w:rStyle w:val="Internetlink"/>
          </w:rPr>
          <w:t>2Makk 10,5ff</w:t>
        </w:r>
      </w:hyperlink>
      <w:r>
        <w:rPr/>
        <w:t xml:space="preserve">; </w:t>
      </w:r>
      <w:r>
        <w:fldChar w:fldCharType="begin"/>
      </w:r>
      <w:r>
        <w:instrText> HYPERLINK "file:///wiki/Johannes_10" \l "s22"</w:instrText>
      </w:r>
      <w:r>
        <w:fldChar w:fldCharType="separate"/>
      </w:r>
      <w:r>
        <w:rPr>
          <w:rStyle w:val="Internetlink"/>
        </w:rPr>
        <w:t>Joh 10,22</w:t>
      </w:r>
      <w:r>
        <w:fldChar w:fldCharType="end"/>
      </w:r>
      <w:r>
        <w:rPr/>
        <w:t>). Nach Sopherim 18,2 wurde der Psalm in der Tat zu dieser Gelegenheit gesungen.</w:t>
      </w:r>
    </w:p>
  </w:footnote>
  <w:footnote w:id="831">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2">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3">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4">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5">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6">
    <w:p>
      <w:pPr>
        <w:pStyle w:val="Funote"/>
        <w:rPr/>
      </w:pPr>
      <w:r>
        <w:rPr/>
        <w:footnoteRef/>
        <w:tab/>
        <w:t>W. „meine Seele“, doch im Hebräischen dient dies fast stets als Wechselbegriff für „mich“ (vgl. ad loc. Briggs 1906, S. 262; Terrien 2003, S. 282); übersetze durchaus wie vorgeschlagen.</w:t>
      </w:r>
    </w:p>
  </w:footnote>
  <w:footnote w:id="837">
    <w:p>
      <w:pPr>
        <w:pStyle w:val="Funote"/>
        <w:rPr/>
      </w:pPr>
      <w:r>
        <w:rPr/>
        <w:footnoteRef/>
        <w:tab/>
        <w:t>gut verständlich ALB, HfA: „du hast mich dem Tode entrissen“</w:t>
      </w:r>
    </w:p>
  </w:footnote>
  <w:footnote w:id="838">
    <w:p>
      <w:pPr>
        <w:pStyle w:val="Funote"/>
        <w:rPr/>
      </w:pPr>
      <w:r>
        <w:rPr/>
        <w:footnoteRef/>
        <w:tab/>
        <w:t xml:space="preserve">zu „Grube“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p>
  </w:footnote>
  <w:footnote w:id="839">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40">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1">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2">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3">
    <w:p>
      <w:pPr>
        <w:pStyle w:val="Funote"/>
        <w:rPr/>
      </w:pPr>
      <w:r>
        <w:rPr/>
        <w:footnoteRef/>
        <w:tab/>
        <w:t xml:space="preserve">emphatisches </w:t>
      </w:r>
      <w:r>
        <w:rPr>
          <w:rtl w:val="true"/>
          <w:lang w:bidi="he-IL"/>
        </w:rPr>
        <w:t>כי</w:t>
      </w:r>
      <w:r>
        <w:rPr/>
        <w:t>, so auch Deissler 1989; Kraus 1961. Im Deutschen nicht zu übersetzen.</w:t>
      </w:r>
    </w:p>
  </w:footnote>
  <w:footnote w:id="844">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5">
    <w:p>
      <w:pPr>
        <w:pStyle w:val="Funote"/>
        <w:rPr/>
      </w:pPr>
      <w:r>
        <w:rPr/>
        <w:footnoteRef/>
        <w:tab/>
        <w:t>verbringt man die Nacht auch weinend - so sinnvoll Buttenwieser 1938. Wegen des Parallelismus ist aber doch die Standard-Deutung vorzuziehen.</w:t>
      </w:r>
    </w:p>
  </w:footnote>
  <w:footnote w:id="846">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7">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8">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9">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50">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1">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2">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3">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4">
    <w:p>
      <w:pPr>
        <w:pStyle w:val="Funote"/>
        <w:rPr/>
      </w:pPr>
      <w:r>
        <w:rPr/>
        <w:footnoteRef/>
        <w:tab/>
        <w:t xml:space="preserve">zu „Schacht“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r>
        <w:rPr/>
        <w:t>.</w:t>
      </w:r>
    </w:p>
  </w:footnote>
  <w:footnote w:id="855">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6">
    <w:p>
      <w:pPr>
        <w:pStyle w:val="Funote"/>
        <w:rPr/>
      </w:pPr>
      <w:r>
        <w:rPr/>
        <w:footnoteRef/>
        <w:tab/>
        <w:t xml:space="preserve">W. </w:t>
      </w:r>
      <w:r>
        <w:rPr>
          <w:i/>
        </w:rPr>
        <w:t>hören</w:t>
      </w:r>
      <w:r>
        <w:rPr/>
        <w:t xml:space="preserve">, ein häufiger </w:t>
      </w:r>
      <w:r>
        <w:rPr>
          <w:i/>
        </w:rPr>
        <w:t>term. tech.</w:t>
      </w:r>
      <w:r>
        <w:rPr/>
        <w:t xml:space="preserve"> für die Gebetserhörung; so wohl auch hier.</w:t>
      </w:r>
    </w:p>
  </w:footnote>
  <w:footnote w:id="857">
    <w:p>
      <w:pPr>
        <w:pStyle w:val="Funote"/>
        <w:rPr/>
      </w:pPr>
      <w:r>
        <w:rPr/>
        <w:footnoteRef/>
        <w:tab/>
        <w:t>Da hast du gut nach EÜ; Gerstenberger 1972; GUAR; Schmidt 1934; Zenger 1987; ZÜR: V. 12 schildert die Reaktion Gottes auf den Flehruf des Psalmisten.</w:t>
      </w:r>
    </w:p>
  </w:footnote>
  <w:footnote w:id="858">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9">
    <w:p>
      <w:pPr>
        <w:pStyle w:val="Funote"/>
        <w:rPr/>
      </w:pPr>
      <w:r>
        <w:rPr/>
        <w:footnoteRef/>
        <w:tab/>
        <w:t xml:space="preserve">zu kausalem </w:t>
      </w:r>
      <w:r>
        <w:rPr>
          <w:rtl w:val="true"/>
          <w:lang w:bidi="he-IL"/>
        </w:rPr>
        <w:t>לְמַעַן</w:t>
      </w:r>
      <w:r>
        <w:rPr/>
        <w:t xml:space="preserve"> </w:t>
      </w:r>
      <w:r>
        <w:rPr/>
        <w:t>vgl. Fürst 847; Ges18 713; Kön 237.</w:t>
      </w:r>
    </w:p>
  </w:footnote>
  <w:footnote w:id="860">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1">
    <w:p>
      <w:pPr>
        <w:pStyle w:val="Funote"/>
        <w:rPr/>
      </w:pPr>
      <w:r>
        <w:rPr/>
        <w:footnoteRef/>
        <w:tab/>
        <w:t>[Status: Sehr gut]</w:t>
      </w:r>
    </w:p>
  </w:footnote>
  <w:footnote w:id="862">
    <w:p>
      <w:pPr>
        <w:pStyle w:val="Funote"/>
        <w:rPr/>
      </w:pPr>
      <w:r>
        <w:rPr/>
        <w:footnoteRef/>
        <w:tab/>
        <w:t>Für den obersten Musiker Manche Übersetzungen verstehen dieses Wort als Anweisung, den Psalm vorzusingen (LUT, GNB).</w:t>
      </w:r>
    </w:p>
  </w:footnote>
  <w:footnote w:id="863">
    <w:p>
      <w:pPr>
        <w:pStyle w:val="Funote"/>
        <w:rPr/>
      </w:pPr>
      <w:r>
        <w:rPr>
          <w:i/>
        </w:rPr>
        <w:footnoteRef/>
        <w:tab/>
        <w:t>Mit Saiteninstrumenten (fröhlicher Musik, Zupfinstrumenten)</w:t>
      </w:r>
      <w:r>
        <w:rPr/>
        <w:t xml:space="preserve"> Das Wort heißt etwa „fröhliche (in anderen Kontexten: spottende) Musik, die auf zu zupfenden Saiteninstrumenten gespielt wird“, bezeichnet in Psalmentiteln aber die Instrumente an sich (BDB 618.3; TWOT 1292.1; DBLH 5593; Kraus </w:t>
      </w:r>
      <w:r>
        <w:rPr>
          <w:position w:val="7"/>
          <w:sz w:val="16"/>
        </w:rPr>
        <w:t>2</w:t>
      </w:r>
      <w:r>
        <w:rPr/>
        <w:t>1962, XXIV).</w:t>
      </w:r>
    </w:p>
  </w:footnote>
  <w:footnote w:id="864">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5">
    <w:p>
      <w:pPr>
        <w:pStyle w:val="Funote"/>
        <w:rPr/>
      </w:pPr>
      <w:r>
        <w:rPr/>
        <w:footnoteRef/>
        <w:tab/>
        <w:t xml:space="preserve">Vers 2 ist eine freie Wiedergabe des "aaronitischen Segens" aus </w:t>
      </w:r>
      <w:r>
        <w:fldChar w:fldCharType="begin"/>
      </w:r>
      <w:r>
        <w:instrText> HYPERLINK "file:///wiki/Numeri_6" \l "s24"</w:instrText>
      </w:r>
      <w:r>
        <w:fldChar w:fldCharType="separate"/>
      </w:r>
      <w:r>
        <w:rPr>
          <w:rStyle w:val="Internetlink"/>
        </w:rPr>
        <w:t>Num 6,24-26</w:t>
      </w:r>
      <w:r>
        <w:fldChar w:fldCharType="end"/>
      </w:r>
      <w:r>
        <w:rPr/>
        <w:t xml:space="preserve">. Dieses bekannte Gebet wurde vermutlich beim Gottesdienst im Tempel häufig vorgetragen (Talstra/Bosma, </w:t>
      </w:r>
      <w:r>
        <w:rPr>
          <w:i/>
        </w:rPr>
        <w:t>Psalm 67. Blessing, Harvest and History</w:t>
      </w:r>
      <w:r>
        <w:rPr/>
        <w:t xml:space="preserve">, 311). Der Autor gibt hier nur die Teile des Gebets wieder, die Gottes Segen für den Betenden einfordern. </w:t>
      </w:r>
    </w:p>
  </w:footnote>
  <w:footnote w:id="866">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7">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8">
    <w:p>
      <w:pPr>
        <w:pStyle w:val="Funote"/>
        <w:rPr/>
      </w:pPr>
      <w:r>
        <w:rPr>
          <w:i/>
        </w:rPr>
        <w:footnoteRef/>
        <w:tab/>
        <w:t>deine rettende Kraft (Hilfe, Rettung, dein Eingeifen, Heil)</w:t>
      </w:r>
      <w:r>
        <w:rPr/>
        <w:t xml:space="preserve"> So wie V. 5 Gottes „Weg“ (3a) genauer beschreibt, erklärt der Verfasser in V. 7-8 Aspekte von Gottes „rettender Kraft“. Sein Heilshandeln kommt einerseits in Form der ertragreichen Ernte zum Ausdruck. Sie war im Bund zwischen Gott und Israel ein konkretes Zeichen von Gottes Wohlwollen. In </w:t>
      </w:r>
      <w:r>
        <w:fldChar w:fldCharType="begin"/>
      </w:r>
      <w:r>
        <w:instrText> HYPERLINK "file:///wiki/Levitikus_26" \l "s4"</w:instrText>
      </w:r>
      <w:r>
        <w:fldChar w:fldCharType="separate"/>
      </w:r>
      <w:r>
        <w:rPr>
          <w:rStyle w:val="Internetlink"/>
        </w:rPr>
        <w:t>Lev 26,4-5</w:t>
      </w:r>
      <w:r>
        <w:fldChar w:fldCharType="end"/>
      </w:r>
      <w:r>
        <w:rPr/>
        <w:t>.</w:t>
      </w:r>
      <w:r>
        <w:fldChar w:fldCharType="begin"/>
      </w:r>
      <w:r>
        <w:instrText> HYPERLINK "file:///wiki/Levitikus_26" \l "s10"</w:instrText>
      </w:r>
      <w:r>
        <w:fldChar w:fldCharType="separate"/>
      </w:r>
      <w:r>
        <w:rPr>
          <w:rStyle w:val="Internetlink"/>
        </w:rPr>
        <w:t>10</w:t>
      </w:r>
      <w:r>
        <w:fldChar w:fldCharType="end"/>
      </w:r>
      <w:r>
        <w:rPr/>
        <w:t xml:space="preserve">; </w:t>
      </w:r>
      <w:hyperlink r:id="rId106">
        <w:r>
          <w:rPr>
            <w:rStyle w:val="Internetlink"/>
          </w:rPr>
          <w:t>Dtn 28,4</w:t>
        </w:r>
      </w:hyperlink>
      <w:r>
        <w:rPr/>
        <w:t>.</w:t>
      </w:r>
      <w:hyperlink r:id="rId107">
        <w:r>
          <w:rPr>
            <w:rStyle w:val="Internetlink"/>
          </w:rPr>
          <w:t>11-12</w:t>
        </w:r>
      </w:hyperlink>
      <w:r>
        <w:rPr/>
        <w:t xml:space="preserve"> ist sie Teil des Segens, den Gott für Israels Bundesgehorsam verspricht. Andererseits äußert sich Gottes Heilshandeln darin, dass auch die anderen Völker ihn erkennen werden. Israel </w:t>
      </w:r>
      <w:r>
        <w:rPr>
          <w:i/>
        </w:rPr>
        <w:t>als Folge</w:t>
      </w:r>
      <w:r>
        <w:rPr/>
        <w:t xml:space="preserve"> der Segnung Israels, als der höchsten Form des geistlichen Segens. </w:t>
      </w:r>
    </w:p>
  </w:footnote>
  <w:footnote w:id="869">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70">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1">
    <w:p>
      <w:pPr>
        <w:pStyle w:val="Funote"/>
        <w:rPr/>
      </w:pPr>
      <w:r>
        <w:rPr/>
        <w:footnoteRef/>
        <w:tab/>
        <w:t>Die zweite und dritte Zeile des Verses (5bc) stellen zwei Aspekte von Gottes „Weg“ (</w:t>
      </w:r>
      <w:r>
        <w:fldChar w:fldCharType="begin"/>
      </w:r>
      <w:r>
        <w:instrText> HYPERLINK "file:///wiki/Psalm_67" \l "s3"</w:instrText>
      </w:r>
      <w:r>
        <w:fldChar w:fldCharType="separate"/>
      </w:r>
      <w:r>
        <w:rPr>
          <w:rStyle w:val="Internetlink"/>
        </w:rPr>
        <w:t>3a</w:t>
      </w:r>
      <w:r>
        <w:fldChar w:fldCharType="end"/>
      </w:r>
      <w:r>
        <w:rPr/>
        <w:t xml:space="preserve">) dar – sie erklären also, warum Gott Lobpreis zusteht, nachdem die Völker seine Herrschaft erkannt haben. Dieses Anliegen durchzieht den ganzen Psalm. Vgl. </w:t>
      </w:r>
      <w:r>
        <w:fldChar w:fldCharType="begin"/>
      </w:r>
      <w:r>
        <w:instrText> HYPERLINK "file:///wiki/Psalm_67" \l "note_f"</w:instrText>
      </w:r>
      <w:r>
        <w:fldChar w:fldCharType="separate"/>
      </w:r>
      <w:r>
        <w:rPr>
          <w:rStyle w:val="Internetlink"/>
        </w:rPr>
        <w:t>Fußnote f</w:t>
      </w:r>
      <w:r>
        <w:fldChar w:fldCharType="end"/>
      </w:r>
      <w:r>
        <w:rPr/>
        <w:t>.</w:t>
      </w:r>
    </w:p>
  </w:footnote>
  <w:footnote w:id="872">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3">
    <w:p>
      <w:pPr>
        <w:pStyle w:val="Funote"/>
        <w:rPr/>
      </w:pPr>
      <w:r>
        <w:rPr>
          <w:i/>
        </w:rPr>
        <w:footnoteRef/>
        <w:tab/>
        <w:t>fürchten</w:t>
      </w:r>
      <w:r>
        <w:rPr/>
        <w:t xml:space="preserve"> (Hebr. </w:t>
      </w:r>
      <w:r>
        <w:rPr>
          <w:rtl w:val="true"/>
          <w:lang w:bidi="he-IL"/>
        </w:rPr>
        <w:t>יָרֵא</w:t>
      </w:r>
      <w:r>
        <w:rPr/>
        <w:t xml:space="preserve"> </w:t>
      </w:r>
      <w:r>
        <w:rPr/>
        <w:t xml:space="preserve">steht hier für religiöse Verehrung (vgl. </w:t>
      </w:r>
      <w:r>
        <w:fldChar w:fldCharType="begin"/>
      </w:r>
      <w:r>
        <w:instrText> HYPERLINK "file:///wiki/Psalm_33" \l "s8"</w:instrText>
      </w:r>
      <w:r>
        <w:fldChar w:fldCharType="separate"/>
      </w:r>
      <w:r>
        <w:rPr>
          <w:rStyle w:val="Internetlink"/>
        </w:rPr>
        <w:t>Ps 33,8</w:t>
      </w:r>
      <w:r>
        <w:fldChar w:fldCharType="end"/>
      </w:r>
      <w:r>
        <w:rPr/>
        <w:t xml:space="preserve">; </w:t>
      </w:r>
      <w:hyperlink r:id="rId108">
        <w:r>
          <w:rPr>
            <w:rStyle w:val="Internetlink"/>
          </w:rPr>
          <w:t>34,10</w:t>
        </w:r>
      </w:hyperlink>
      <w:r>
        <w:rPr/>
        <w:t xml:space="preserve">; </w:t>
      </w:r>
      <w:hyperlink r:id="rId109">
        <w:r>
          <w:rPr>
            <w:rStyle w:val="Internetlink"/>
          </w:rPr>
          <w:t>47,3</w:t>
        </w:r>
      </w:hyperlink>
      <w:r>
        <w:rPr/>
        <w:t xml:space="preserve">; </w:t>
      </w:r>
      <w:hyperlink r:id="rId110">
        <w:r>
          <w:rPr>
            <w:rStyle w:val="Internetlink"/>
          </w:rPr>
          <w:t>64,10</w:t>
        </w:r>
      </w:hyperlink>
      <w:r>
        <w:rPr/>
        <w:t xml:space="preserve">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w:t>
        <w:br/>
        <w:t xml:space="preserve">Die zweite Zeile des Verses könnte man auch so übersetzen: „und alle Enden der Erde sollen (mögen, werden) ihn fürchten“ </w:t>
      </w:r>
    </w:p>
  </w:footnote>
  <w:footnote w:id="874">
    <w:p>
      <w:pPr>
        <w:pStyle w:val="Funote"/>
        <w:rPr/>
      </w:pPr>
      <w:r>
        <w:rPr/>
        <w:footnoteRef/>
        <w:tab/>
        <w:t>[Status: Zuverlässig]</w:t>
      </w:r>
    </w:p>
  </w:footnote>
  <w:footnote w:id="875">
    <w:p>
      <w:pPr>
        <w:pStyle w:val="Funote"/>
        <w:rPr/>
      </w:pPr>
      <w:r>
        <w:rPr/>
        <w:footnoteRef/>
        <w:tab/>
        <w:t>D.h. wahrscheinlich „in allen Generationen“</w:t>
      </w:r>
    </w:p>
  </w:footnote>
  <w:footnote w:id="876">
    <w:p>
      <w:pPr>
        <w:pStyle w:val="Funote"/>
        <w:rPr/>
      </w:pPr>
      <w:r>
        <w:rPr/>
        <w:footnoteRef/>
        <w:tab/>
        <w:t xml:space="preserve">Dieses Wort hat keinen allumfassenden Sinn wie „Kosmos“, sondern ist i.d.R. mit „Erde“ Synonym – hier klar ein Hendiadyoin. </w:t>
      </w:r>
    </w:p>
  </w:footnote>
  <w:footnote w:id="877">
    <w:p>
      <w:pPr>
        <w:pStyle w:val="Funote"/>
        <w:rPr/>
      </w:pPr>
      <w:r>
        <w:rPr/>
        <w:footnoteRef/>
        <w:tab/>
        <w:t xml:space="preserve">Das Verb heißt eigentlich „sich (in Schmerzen) winden“ und steht oft in Zusammenhang mit der Geburt. Hier wird es bildhaft verwendet. Die Grenzen der deutschen Sprache machen eine genauere Übersetzung nicht möglich. </w:t>
      </w:r>
    </w:p>
  </w:footnote>
  <w:footnote w:id="878">
    <w:p>
      <w:pPr>
        <w:pStyle w:val="Funote"/>
        <w:rPr/>
      </w:pPr>
      <w:r>
        <w:rPr/>
        <w:footnoteRef/>
        <w:tab/>
        <w:t>Nach der LXX und anderen Zeugen kein Polel, sondern Polal → Passiv: „Bevor … die Erde und die Welt hervorgebracht waren“ (NET Ps 90,2 Fußnote 3)</w:t>
      </w:r>
    </w:p>
  </w:footnote>
  <w:footnote w:id="879">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80">
    <w:p>
      <w:pPr>
        <w:pStyle w:val="Funote"/>
        <w:rPr/>
      </w:pPr>
      <w:r>
        <w:rPr/>
        <w:footnoteRef/>
        <w:tab/>
        <w:t>LXX: „Du lässt nicht zurückkehren“ (vgl. letzte Fußnote V. 5)</w:t>
      </w:r>
    </w:p>
  </w:footnote>
  <w:footnote w:id="881">
    <w:p>
      <w:pPr>
        <w:pStyle w:val="Funote"/>
        <w:rPr/>
      </w:pPr>
      <w:r>
        <w:rPr/>
        <w:footnoteRef/>
        <w:tab/>
        <w:t xml:space="preserve">Eigentlich ein (zeitloses) Imperfekt. Im Kontext des gestrigen Tages als Vergangenheit übersetzt. </w:t>
      </w:r>
    </w:p>
  </w:footnote>
  <w:footnote w:id="882">
    <w:p>
      <w:pPr>
        <w:pStyle w:val="Funote"/>
        <w:rPr/>
      </w:pPr>
      <w:r>
        <w:rPr/>
        <w:footnoteRef/>
        <w:tab/>
        <w:t>Kann sich auf die israelitische Nachtzeiteinheit „Nachtwache“ beziehen (NET Ps 90,4 Fußnote 8).</w:t>
      </w:r>
    </w:p>
  </w:footnote>
  <w:footnote w:id="883">
    <w:p>
      <w:pPr>
        <w:pStyle w:val="Funote"/>
        <w:rPr/>
      </w:pPr>
      <w:r>
        <w:rPr/>
        <w:footnoteRef/>
        <w:tab/>
        <w:t>Die genaue Bedeutung des Verbs ist unklar. NET: „beendest ihr Leben“</w:t>
      </w:r>
    </w:p>
  </w:footnote>
  <w:footnote w:id="884">
    <w:p>
      <w:pPr>
        <w:pStyle w:val="Funote"/>
        <w:rPr/>
      </w:pPr>
      <w:r>
        <w:rPr/>
        <w:footnoteRef/>
        <w:tab/>
        <w:t>Oder: „[wie] Schlaf am Morgen, wie Gras“</w:t>
      </w:r>
    </w:p>
  </w:footnote>
  <w:footnote w:id="885">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6">
    <w:p>
      <w:pPr>
        <w:pStyle w:val="Funote"/>
        <w:rPr/>
      </w:pPr>
      <w:r>
        <w:rPr/>
        <w:footnoteRef/>
        <w:tab/>
        <w:t>EÜ: „wird es geschnitten“</w:t>
      </w:r>
    </w:p>
  </w:footnote>
  <w:footnote w:id="887">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8">
    <w:p>
      <w:pPr>
        <w:pStyle w:val="Funote"/>
        <w:rPr/>
      </w:pPr>
      <w:r>
        <w:rPr/>
        <w:footnoteRef/>
        <w:tab/>
        <w:t>Die meisten deutschen Übersetzungen halten es hier mit Luther: „wenn es hoch kommt“</w:t>
      </w:r>
    </w:p>
  </w:footnote>
  <w:footnote w:id="889">
    <w:p>
      <w:pPr>
        <w:pStyle w:val="Funote"/>
        <w:rPr/>
      </w:pPr>
      <w:r>
        <w:rPr/>
        <w:footnoteRef/>
        <w:tab/>
        <w:t>D.h. der Stolz der Jahre → die Blüte des Lebens.</w:t>
      </w:r>
    </w:p>
  </w:footnote>
  <w:footnote w:id="890">
    <w:p>
      <w:pPr>
        <w:pStyle w:val="Funote"/>
        <w:rPr/>
      </w:pPr>
      <w:r>
        <w:rPr/>
        <w:footnoteRef/>
        <w:tab/>
        <w:t>D.h. „die Furcht vor dir“.</w:t>
      </w:r>
    </w:p>
  </w:footnote>
  <w:footnote w:id="891">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2">
    <w:p>
      <w:pPr>
        <w:pStyle w:val="Funote"/>
        <w:rPr/>
      </w:pPr>
      <w:r>
        <w:rPr/>
        <w:footnoteRef/>
        <w:tab/>
        <w:t>REB: „Lass an deinen Knechten sichtbar werden“</w:t>
      </w:r>
    </w:p>
  </w:footnote>
  <w:footnote w:id="893">
    <w:p>
      <w:pPr>
        <w:pStyle w:val="Funote"/>
        <w:rPr/>
      </w:pPr>
      <w:r>
        <w:rPr/>
        <w:footnoteRef/>
        <w:tab/>
        <w:t>SLT: „fördere“, EÜ: „lass gedeihen“</w:t>
      </w:r>
    </w:p>
  </w:footnote>
  <w:footnote w:id="894">
    <w:p>
      <w:pPr>
        <w:pStyle w:val="Funote"/>
        <w:rPr/>
      </w:pPr>
      <w:r>
        <w:rPr/>
        <w:footnoteRef/>
        <w:tab/>
        <w:t>[Status: Zuverlässig]</w:t>
      </w:r>
    </w:p>
  </w:footnote>
  <w:footnote w:id="895">
    <w:p>
      <w:pPr>
        <w:pStyle w:val="Funote"/>
        <w:rPr/>
      </w:pPr>
      <w:r>
        <w:rPr/>
        <w:footnoteRef/>
        <w:tab/>
        <w:t>Wechselgesang - so kürzlich Amzallag 2014, doch ist das eher unwahrscheinlich.</w:t>
      </w:r>
    </w:p>
  </w:footnote>
  <w:footnote w:id="896">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7">
    <w:p>
      <w:pPr>
        <w:pStyle w:val="Funote"/>
        <w:rPr/>
      </w:pPr>
      <w:r>
        <w:rPr/>
        <w:footnoteRef/>
        <w:tab/>
        <w:t xml:space="preserve">Im Hebräischen Plural, da natürlich „ganze Erde“ - gleich, wie es genau zu deuten ist (s. nächste FN) - auf die </w:t>
      </w:r>
      <w:r>
        <w:rPr>
          <w:i/>
        </w:rPr>
        <w:t>Bewohner</w:t>
      </w:r>
      <w:r>
        <w:rPr/>
        <w:t xml:space="preserve"> dieser Erde zu beziehen ist.</w:t>
      </w:r>
    </w:p>
  </w:footnote>
  <w:footnote w:id="898">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9">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900">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1">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2">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3">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4">
    <w:p>
      <w:pPr>
        <w:pStyle w:val="Funote"/>
        <w:rPr/>
      </w:pPr>
      <w:r>
        <w:rPr/>
        <w:footnoteRef/>
        <w:tab/>
        <w:t>Zu ergänzen aus Sticho 3b (-&gt;Brachylogie).</w:t>
      </w:r>
    </w:p>
  </w:footnote>
  <w:footnote w:id="905">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6">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7">
    <w:p>
      <w:pPr>
        <w:pStyle w:val="Funote"/>
        <w:rPr/>
      </w:pPr>
      <w:r>
        <w:rPr/>
        <w:footnoteRef/>
        <w:tab/>
        <w:t xml:space="preserve">s. zur Alternative </w:t>
      </w:r>
      <w:r>
        <w:fldChar w:fldCharType="begin"/>
      </w:r>
      <w:r>
        <w:instrText> HYPERLINK "http://www.offene-bibel.de/wiki/index.php5?title=Psalm_100" \l "note_f"</w:instrText>
      </w:r>
      <w:r>
        <w:fldChar w:fldCharType="separate"/>
      </w:r>
      <w:r>
        <w:rPr>
          <w:rStyle w:val="Internetlink"/>
        </w:rPr>
        <w:t>FN f</w:t>
      </w:r>
      <w:r>
        <w:fldChar w:fldCharType="end"/>
      </w:r>
    </w:p>
  </w:footnote>
  <w:footnote w:id="908">
    <w:p>
      <w:pPr>
        <w:pStyle w:val="Funote"/>
        <w:rPr/>
      </w:pPr>
      <w:r>
        <w:rPr/>
        <w:footnoteRef/>
        <w:tab/>
        <w:t>Hier wird das selbe Wort wie in der Überschrift wiederholt; zu den Übersetzungsvarianten vgl. die erste FN.</w:t>
      </w:r>
    </w:p>
  </w:footnote>
  <w:footnote w:id="909">
    <w:p>
      <w:pPr>
        <w:pStyle w:val="Funote"/>
        <w:rPr/>
      </w:pPr>
      <w:r>
        <w:rPr/>
        <w:footnoteRef/>
        <w:tab/>
        <w:t>Zu ergänzen aus Sticho 4a (-&gt;Brachylogie).</w:t>
      </w:r>
    </w:p>
  </w:footnote>
  <w:footnote w:id="910">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1">
    <w:p>
      <w:pPr>
        <w:pStyle w:val="Funote"/>
        <w:rPr/>
      </w:pPr>
      <w:r>
        <w:rPr/>
        <w:footnoteRef/>
        <w:tab/>
        <w:t>Besonders im Kontext von Aussagen über JHWH steht sein „Name“ meist metonymisch für JHWH selbst; man bezeichnet so JHWH „im Menschenmund“.</w:t>
      </w:r>
    </w:p>
  </w:footnote>
  <w:footnote w:id="912">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3">
    <w:p>
      <w:pPr>
        <w:pStyle w:val="Funote"/>
        <w:rPr/>
      </w:pPr>
      <w:r>
        <w:rPr/>
        <w:footnoteRef/>
        <w:tab/>
        <w:t>[Status: Zuverlässig]</w:t>
      </w:r>
    </w:p>
  </w:footnote>
  <w:footnote w:id="914">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5">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6">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7">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8">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9">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20">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1">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2">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3">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4">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5">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6">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7">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8">
    <w:p>
      <w:pPr>
        <w:pStyle w:val="Funote"/>
        <w:rPr/>
      </w:pPr>
      <w:r>
        <w:rPr/>
        <w:footnoteRef/>
        <w:tab/>
        <w:t>[Status: Zuverlässig]</w:t>
      </w:r>
    </w:p>
  </w:footnote>
  <w:footnote w:id="929">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30">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1">
    <w:p>
      <w:pPr>
        <w:pStyle w:val="Funote"/>
        <w:rPr/>
      </w:pPr>
      <w:r>
        <w:rPr/>
        <w:footnoteRef/>
        <w:tab/>
        <w:t>Besonders im Kontext von Aussagen über JHWH steht sein „Name“ meist metonymisch für JHWH selbst; man bezeichnet so JHWH „im Menschenmund“.</w:t>
      </w:r>
    </w:p>
  </w:footnote>
  <w:footnote w:id="932">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3">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4">
    <w:p>
      <w:pPr>
        <w:pStyle w:val="Funote"/>
        <w:rPr/>
      </w:pPr>
      <w:r>
        <w:rPr>
          <w:i/>
        </w:rPr>
        <w:footnoteRef/>
        <w:tab/>
        <w:t>Als</w:t>
      </w:r>
      <w:r>
        <w:rPr/>
        <w:t xml:space="preserve"> W. eher </w:t>
      </w:r>
      <w:r>
        <w:rPr>
          <w:i/>
        </w:rPr>
        <w:t>An [dem] Tag, [an dem]</w:t>
      </w:r>
      <w:r>
        <w:rPr/>
        <w:t xml:space="preserve">. </w:t>
      </w:r>
      <w:r>
        <w:rPr>
          <w:rtl w:val="true"/>
          <w:lang w:bidi="he-IL"/>
        </w:rPr>
        <w:t>בּיוֹם</w:t>
      </w:r>
      <w:r>
        <w:rPr/>
        <w:t xml:space="preserve"> </w:t>
      </w:r>
      <w:r>
        <w:rPr/>
        <w:t>bezieht sich meist nicht auf einen tatsächlichen „Tag“, sondern fungiert als unbestimmte Zeitangabe.</w:t>
      </w:r>
    </w:p>
  </w:footnote>
  <w:footnote w:id="935">
    <w:p>
      <w:pPr>
        <w:pStyle w:val="Funote"/>
        <w:rPr/>
      </w:pPr>
      <w:r>
        <w:rPr/>
        <w:footnoteRef/>
        <w:tab/>
        <w:t>Wenn von JHWH's „Antworten“ in Folge auf ein „Anrufen“ die Rede ist, hat es fast durchgehend die Bedeutung „erhören“.</w:t>
      </w:r>
    </w:p>
  </w:footnote>
  <w:footnote w:id="936">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7">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8">
    <w:p>
      <w:pPr>
        <w:pStyle w:val="Funote"/>
        <w:rPr/>
      </w:pPr>
      <w:r>
        <w:rPr>
          <w:i/>
        </w:rPr>
        <w:footnoteRef/>
        <w:tab/>
        <w:t>Walten (Wegen)</w:t>
      </w:r>
      <w:r>
        <w:rPr/>
        <w:t xml:space="preserve"> Dass JHWHs „Wege“ sein herrschendes Walten bezeichnen, geht nicht nur aus ähnlichen Formulierungen im AT hervor. Dahood (1970, 278) sieht diese Deutung auch aus ugaritischen Texten (einer dem Hebräischen verwandten Sprache) bestätigt, dort im Zusammenhang mit Königen. </w:t>
      </w:r>
    </w:p>
  </w:footnote>
  <w:footnote w:id="939">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40">
    <w:p>
      <w:pPr>
        <w:pStyle w:val="Funote"/>
        <w:rPr/>
      </w:pPr>
      <w:r>
        <w:rPr>
          <w:i/>
        </w:rPr>
        <w:footnoteRef/>
        <w:tab/>
        <w:t>Waw apodoseos</w:t>
      </w:r>
      <w:r>
        <w:rPr/>
        <w:t xml:space="preserve">, es dient nur dazu, den Hauptsatz nach einem Vordersatz zu markieren und muss im Deutschen gestrichen werden; vgl. vgl. Lexikon / </w:t>
      </w:r>
      <w:hyperlink r:id="rId111">
        <w:r>
          <w:rPr>
            <w:rStyle w:val="Internetlink"/>
          </w:rPr>
          <w:t xml:space="preserve">Lemma </w:t>
        </w:r>
        <w:r>
          <w:rPr>
            <w:rStyle w:val="Internetlink"/>
            <w:rtl w:val="true"/>
            <w:lang w:bidi="he-IL"/>
          </w:rPr>
          <w:t>וְ</w:t>
        </w:r>
      </w:hyperlink>
      <w:r>
        <w:rPr/>
        <w:t>.</w:t>
      </w:r>
    </w:p>
  </w:footnote>
  <w:footnote w:id="941">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2">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3">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4">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5">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6">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7">
    <w:p>
      <w:pPr>
        <w:pStyle w:val="Funote"/>
        <w:rPr/>
      </w:pPr>
      <w:r>
        <w:rPr/>
        <w:footnoteRef/>
        <w:tab/>
        <w:t>[Status: Zuverlässig]</w:t>
      </w:r>
    </w:p>
  </w:footnote>
  <w:footnote w:id="948">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9">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50">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1">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2">
    <w:p>
      <w:pPr>
        <w:pStyle w:val="Funote"/>
        <w:rPr/>
      </w:pPr>
      <w:r>
        <w:rPr/>
        <w:footnoteRef/>
        <w:tab/>
        <w:t xml:space="preserve">Der „Name Gottes“ steht in der Bibel fast stets metonymisch für Gott selbst; man bezeichnet damit „Gott im Menschenmund“. Übersetze daher: „Sie sollen </w:t>
      </w:r>
      <w:r>
        <w:rPr>
          <w:i/>
        </w:rPr>
        <w:t>ihn</w:t>
      </w:r>
      <w:r>
        <w:rPr/>
        <w:t xml:space="preserve"> preisen“.</w:t>
      </w:r>
    </w:p>
  </w:footnote>
  <w:footnote w:id="953">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4">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5">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6">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7">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8">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9">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60">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1">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2">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3">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4">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5">
    <w:p>
      <w:pPr>
        <w:pStyle w:val="Funote"/>
        <w:rPr/>
      </w:pPr>
      <w:r>
        <w:rPr/>
        <w:footnoteRef/>
        <w:tab/>
        <w:t>Übersetzungsalternativen nach Hossfeld/Zenger 2008, S. 857.</w:t>
      </w:r>
    </w:p>
  </w:footnote>
  <w:footnote w:id="966">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7">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8">
    <w:p>
      <w:pPr>
        <w:pStyle w:val="Funote"/>
        <w:rPr/>
      </w:pPr>
      <w:r>
        <w:rPr/>
        <w:footnoteRef/>
        <w:tab/>
        <w:t>[Status: Zuverlässig]</w:t>
      </w:r>
    </w:p>
  </w:footnote>
  <w:footnote w:id="969">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70">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1">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2">
    <w:p>
      <w:pPr>
        <w:pStyle w:val="Funote"/>
        <w:rPr/>
      </w:pPr>
      <w:hyperlink r:id="rId112">
        <w:r>
          <w:rPr>
            <w:rStyle w:val="Internetlink"/>
          </w:rPr>
          <w:footnoteRef/>
          <w:tab/>
          <w:t>generisches Maskulinum</w:t>
        </w:r>
      </w:hyperlink>
    </w:p>
  </w:footnote>
  <w:footnote w:id="973">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4">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5">
    <w:p>
      <w:pPr>
        <w:pStyle w:val="Funote"/>
        <w:rPr/>
      </w:pPr>
      <w:r>
        <w:rPr/>
        <w:footnoteRef/>
        <w:tab/>
        <w:t>„</w:t>
      </w:r>
      <w:r>
        <w:rPr/>
        <w:t xml:space="preserve">Den Mund verschließen“ ist wohl als Geste der Verehrung zu verstehen; vgl. </w:t>
      </w:r>
      <w:hyperlink r:id="rId113">
        <w:r>
          <w:rPr>
            <w:rStyle w:val="Internetlink"/>
          </w:rPr>
          <w:t>Ijob 29,9</w:t>
        </w:r>
      </w:hyperlink>
      <w:r>
        <w:rPr/>
        <w:t xml:space="preserve">; </w:t>
      </w:r>
      <w:hyperlink r:id="rId114">
        <w:r>
          <w:rPr>
            <w:rStyle w:val="Internetlink"/>
          </w:rPr>
          <w:t>40,4</w:t>
        </w:r>
      </w:hyperlink>
      <w:r>
        <w:rPr/>
        <w:t xml:space="preserve"> (; </w:t>
      </w:r>
      <w:hyperlink r:id="rId115">
        <w:r>
          <w:rPr>
            <w:rStyle w:val="Internetlink"/>
          </w:rPr>
          <w:t>Mic 7,16</w:t>
        </w:r>
      </w:hyperlink>
      <w:r>
        <w:rPr/>
        <w:t>).</w:t>
      </w:r>
    </w:p>
  </w:footnote>
  <w:footnote w:id="976">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7">
    <w:p>
      <w:pPr>
        <w:pStyle w:val="Funote"/>
        <w:rPr/>
      </w:pPr>
      <w:r>
        <w:rPr/>
        <w:footnoteRef/>
        <w:tab/>
        <w:t>[Status: Zuverlässig]</w:t>
      </w:r>
    </w:p>
  </w:footnote>
  <w:footnote w:id="978">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9">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80">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1">
    <w:p>
      <w:pPr>
        <w:pStyle w:val="Funote"/>
        <w:rPr/>
      </w:pPr>
      <w:r>
        <w:rPr/>
        <w:footnoteRef/>
        <w:tab/>
        <w:t>»Schössling« nach Baltzer 1999; Blenkinsopp 2002; Edel 1964; Niccacci 2005; vgl. auch ZLH, S. 882 ad loc..</w:t>
      </w:r>
    </w:p>
  </w:footnote>
  <w:footnote w:id="982">
    <w:p>
      <w:pPr>
        <w:pStyle w:val="Funote"/>
        <w:rPr/>
      </w:pPr>
      <w:r>
        <w:rPr>
          <w:i/>
        </w:rPr>
        <w:footnoteRef/>
        <w:tab/>
        <w:t>keine Gestalt und keine Schönheit</w:t>
      </w:r>
      <w:r>
        <w:rPr/>
        <w:t xml:space="preserve">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3">
    <w:p>
      <w:pPr>
        <w:pStyle w:val="Funote"/>
        <w:rPr/>
      </w:pPr>
      <w:hyperlink r:id="rId116">
        <w:r>
          <w:rPr>
            <w:rStyle w:val="Internetlink"/>
          </w:rPr>
          <w:footnoteRef/>
          <w:tab/>
          <w:t>Generisches Maskulinum</w:t>
        </w:r>
      </w:hyperlink>
    </w:p>
  </w:footnote>
  <w:footnote w:id="984">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5">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6">
    <w:p>
      <w:pPr>
        <w:pStyle w:val="Funote"/>
        <w:rPr/>
      </w:pPr>
      <w:r>
        <w:rPr/>
        <w:footnoteRef/>
        <w:tab/>
        <w:t>Textkritik: eine Handschrift: »und wir haben ihn ausgeplündert«</w:t>
      </w:r>
    </w:p>
  </w:footnote>
  <w:footnote w:id="987">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8">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9">
    <w:p>
      <w:pPr>
        <w:pStyle w:val="Funote"/>
        <w:rPr/>
      </w:pPr>
      <w:r>
        <w:rPr/>
        <w:footnoteRef/>
        <w:tab/>
        <w:t>»verletzt« nach Joachimsen 2011; Watts 1987; »zerrüttet« nach ZLH, S. 172.</w:t>
      </w:r>
    </w:p>
  </w:footnote>
  <w:footnote w:id="990">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1">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2">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3">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4">
    <w:p>
      <w:pPr>
        <w:pStyle w:val="Funote"/>
        <w:rPr/>
      </w:pPr>
      <w:r>
        <w:rPr/>
        <w:footnoteRef/>
        <w:tab/>
        <w:t>Vgl. Vers 12.</w:t>
      </w:r>
    </w:p>
  </w:footnote>
  <w:footnote w:id="995">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6">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7">
    <w:p>
      <w:pPr>
        <w:pStyle w:val="Funote"/>
        <w:rPr/>
      </w:pPr>
      <w:r>
        <w:rPr/>
        <w:footnoteRef/>
        <w:tab/>
        <w:t>Die Übersetzung dieses Verses wird in der Wissenschaft kontrovers diskutiert. Vgl. Childs 2001, S. 416 und Kraus 1990, S. 150.</w:t>
      </w:r>
    </w:p>
  </w:footnote>
  <w:footnote w:id="998">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9">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000">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1">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2">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3">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4">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5">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6">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7">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8">
    <w:p>
      <w:pPr>
        <w:pStyle w:val="Funote"/>
        <w:rPr/>
      </w:pPr>
      <w:r>
        <w:rPr/>
        <w:footnoteRef/>
        <w:tab/>
        <w:t>Die meisten Exegeten ergänzen nach 1QJesab, 4QJesd und LXX das Objekt »Licht«, einige aber nicht (z.B. Childs 2001, 409; Schmidt 2013, 227; Seeligmann 2004).</w:t>
      </w:r>
    </w:p>
  </w:footnote>
  <w:footnote w:id="1009">
    <w:p>
      <w:pPr>
        <w:pStyle w:val="Funote"/>
        <w:rPr/>
      </w:pPr>
      <w:r>
        <w:rPr/>
        <w:footnoteRef/>
        <w:tab/>
        <w:t>Oder: „Er wird satt. In seiner Erkenntnis macht er gerecht, der Gerechte, mein Getreuer, für die Vielen.“</w:t>
        <w:br/>
        <w:t xml:space="preserve">Zu </w:t>
      </w:r>
      <w:r>
        <w:rPr>
          <w:rtl w:val="true"/>
          <w:lang w:bidi="he-IL"/>
        </w:rPr>
        <w:t>עַבְדִּי</w:t>
      </w:r>
      <w:r>
        <w:rPr/>
        <w:t xml:space="preserve"> </w:t>
      </w:r>
      <w:r>
        <w:rPr/>
        <w:t xml:space="preserve">(mein Getreuer/Diener/Knecht) siehe die Fußnote in </w:t>
      </w:r>
      <w:r>
        <w:fldChar w:fldCharType="begin"/>
      </w:r>
      <w:r>
        <w:instrText> HYPERLINK "file:///wiki/Jesaja_52" \l "s13"</w:instrText>
      </w:r>
      <w:r>
        <w:fldChar w:fldCharType="separate"/>
      </w:r>
      <w:r>
        <w:rPr>
          <w:rStyle w:val="Internetlink"/>
        </w:rPr>
        <w:t>Jes52,13</w:t>
      </w:r>
      <w:r>
        <w:fldChar w:fldCharType="end"/>
      </w:r>
      <w:r>
        <w:rPr/>
        <w:t>.</w:t>
      </w:r>
    </w:p>
  </w:footnote>
  <w:footnote w:id="1010">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1">
    <w:p>
      <w:pPr>
        <w:pStyle w:val="Funote"/>
        <w:rPr/>
      </w:pPr>
      <w:r>
        <w:rPr/>
        <w:footnoteRef/>
        <w:tab/>
        <w:t>[Beute] - double-duty-Objekt (-&gt;Brachylogie) aus Sticho b; vgl. z.B. Dillmann 1898, S. 457</w:t>
      </w:r>
    </w:p>
  </w:footnote>
  <w:footnote w:id="1012">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3">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4">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5">
    <w:p>
      <w:pPr>
        <w:pStyle w:val="Funote"/>
        <w:rPr/>
      </w:pPr>
      <w:r>
        <w:rPr/>
        <w:footnoteRef/>
        <w:tab/>
        <w:t>[Status: Zuverlässig]</w:t>
      </w:r>
    </w:p>
  </w:footnote>
  <w:footnote w:id="1016">
    <w:p>
      <w:pPr>
        <w:pStyle w:val="Funote"/>
        <w:rPr/>
      </w:pPr>
      <w:r>
        <w:rPr>
          <w:i/>
        </w:rPr>
        <w:footnoteRef/>
        <w:tab/>
        <w:t>Jona</w:t>
      </w:r>
      <w:r>
        <w:rPr/>
        <w:t xml:space="preserve"> wird sonst nur in </w:t>
      </w:r>
      <w:hyperlink r:id="rId117">
        <w:r>
          <w:rPr>
            <w:rStyle w:val="Internetlink"/>
          </w:rPr>
          <w:t>2. Könige 14,25</w:t>
        </w:r>
      </w:hyperlink>
      <w:r>
        <w:rPr/>
        <w:t xml:space="preserve"> erwähnt und dort als Prophet bezeichnet. Er lebte im 8. Jahrhundert v. Chr. (Price 1978, 50). Die Sprache des Jonabuchs deutet darauf hin, dass es wesentlich später (6.–4. Jh. v. Chr.) geschrieben wurde (Golka </w:t>
      </w:r>
      <w:r>
        <w:rPr>
          <w:position w:val="7"/>
          <w:sz w:val="16"/>
        </w:rPr>
        <w:t>2</w:t>
      </w:r>
      <w:r>
        <w:rPr/>
        <w:t xml:space="preserve">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w:t>
      </w:r>
      <w:r>
        <w:rPr>
          <w:position w:val="7"/>
          <w:sz w:val="16"/>
        </w:rPr>
        <w:t>2</w:t>
      </w:r>
      <w:r>
        <w:rPr/>
        <w:t>2007, 48)</w:t>
        <w:br/>
      </w:r>
      <w:r>
        <w:rPr>
          <w:i/>
        </w:rPr>
        <w:t>Und das Wort Gottes kam</w:t>
      </w:r>
      <w:r>
        <w:rPr/>
        <w:t xml:space="preserve"> kann daher im Sinne von „Es war einmal …“ verstanden werden (Golka </w:t>
      </w:r>
      <w:r>
        <w:rPr>
          <w:position w:val="7"/>
          <w:sz w:val="16"/>
        </w:rPr>
        <w:t>2</w:t>
      </w:r>
      <w:r>
        <w:rPr/>
        <w:t>2007, 48). Eine noch bessere deutsche Übertragung wäre vielleicht: „Eines Tages...“ oder „Einmal...“ (Price 1978, 48). So erklärt sich der Anfang mit „und“.</w:t>
      </w:r>
    </w:p>
  </w:footnote>
  <w:footnote w:id="1017">
    <w:p>
      <w:pPr>
        <w:pStyle w:val="Funote"/>
        <w:rPr/>
      </w:pPr>
      <w:r>
        <w:rPr>
          <w:i/>
        </w:rPr>
        <w:footnoteRef/>
        <w:tab/>
        <w:t>rufe [die Anklage] gegen sie</w:t>
      </w:r>
      <w:r>
        <w:rPr/>
        <w:t xml:space="preserve"> Die Formulierung „rufen gegen“ (</w:t>
      </w:r>
      <w:r>
        <w:rPr>
          <w:rtl w:val="true"/>
          <w:lang w:bidi="he-IL"/>
        </w:rPr>
        <w:t>קרא על</w:t>
      </w:r>
      <w:r>
        <w:rPr/>
        <w:t>) wird an anderen Stellen der hebräischen Bibel zur Bezeichnung von Anklagen (</w:t>
      </w:r>
      <w:hyperlink r:id="rId118">
        <w:r>
          <w:rPr>
            <w:rStyle w:val="Internetlink"/>
          </w:rPr>
          <w:t>Dtn 15,9</w:t>
        </w:r>
      </w:hyperlink>
      <w:r>
        <w:rPr/>
        <w:t xml:space="preserve">, </w:t>
      </w:r>
      <w:hyperlink r:id="rId119">
        <w:r>
          <w:rPr>
            <w:rStyle w:val="Internetlink"/>
          </w:rPr>
          <w:t>Dtn 24,15</w:t>
        </w:r>
      </w:hyperlink>
      <w:r>
        <w:rPr/>
        <w:t xml:space="preserve">, </w:t>
      </w:r>
      <w:hyperlink r:id="rId120">
        <w:r>
          <w:rPr>
            <w:rStyle w:val="Internetlink"/>
          </w:rPr>
          <w:t>1 Kön 13,2</w:t>
        </w:r>
      </w:hyperlink>
      <w:r>
        <w:rPr/>
        <w:t>) und Angriffsrufen (</w:t>
      </w:r>
      <w:r>
        <w:fldChar w:fldCharType="begin"/>
      </w:r>
      <w:r>
        <w:instrText> HYPERLINK "file:///wiki/Klagelieder_1" \l "S15"</w:instrText>
      </w:r>
      <w:r>
        <w:fldChar w:fldCharType="separate"/>
      </w:r>
      <w:r>
        <w:rPr>
          <w:rStyle w:val="Internetlink"/>
        </w:rPr>
        <w:t>Klgl 1:15</w:t>
      </w:r>
      <w:r>
        <w:fldChar w:fldCharType="end"/>
      </w:r>
      <w:r>
        <w:rPr/>
        <w:t xml:space="preserve">, </w:t>
      </w:r>
      <w:hyperlink r:id="rId121">
        <w:r>
          <w:rPr>
            <w:rStyle w:val="Internetlink"/>
          </w:rPr>
          <w:t>Ez 38,21</w:t>
        </w:r>
      </w:hyperlink>
      <w:r>
        <w:rPr/>
        <w:t>) verwendet.</w:t>
      </w:r>
    </w:p>
  </w:footnote>
  <w:footnote w:id="1018">
    <w:p>
      <w:pPr>
        <w:pStyle w:val="Funote"/>
        <w:rPr/>
      </w:pPr>
      <w:r>
        <w:rPr>
          <w:i/>
        </w:rPr>
        <w:footnoteRef/>
        <w:tab/>
        <w:t>ihre</w:t>
      </w:r>
      <w:r>
        <w:rPr/>
        <w:t xml:space="preserve"> bezieht sich im Hebräischen nicht auf die Stadt, sondern auf ein nicht genanntes Objekt in der dritten Person Plural, wahrscheinlich ihre Bewohner (Hebr. </w:t>
      </w:r>
      <w:r>
        <w:rPr>
          <w:rtl w:val="true"/>
          <w:lang w:bidi="he-IL"/>
        </w:rPr>
        <w:t>יֹשְׁבִים</w:t>
      </w:r>
      <w:r>
        <w:rPr/>
        <w:t xml:space="preserve">; </w:t>
      </w:r>
      <w:hyperlink r:id="rId122">
        <w:r>
          <w:rPr>
            <w:rStyle w:val="Internetlink"/>
          </w:rPr>
          <w:t>Constructio ad sensum</w:t>
        </w:r>
      </w:hyperlink>
      <w:r>
        <w:rPr/>
        <w:t>). Am Sinn ändert das jedoch nichts.</w:t>
      </w:r>
    </w:p>
  </w:footnote>
  <w:footnote w:id="1019">
    <w:p>
      <w:pPr>
        <w:pStyle w:val="Funote"/>
        <w:rPr/>
      </w:pPr>
      <w:r>
        <w:rPr>
          <w:i/>
        </w:rPr>
        <w:footnoteRef/>
        <w:tab/>
        <w:t>Tarschisch</w:t>
      </w:r>
      <w:r>
        <w:rPr/>
        <w:t xml:space="preserve"> war vermutlich ein Ort an der spanischen Küste, also in entgegengesetzter Richtung und am anderen Ende des Mittelmeers (vgl. Price 1978, 52).</w:t>
      </w:r>
    </w:p>
  </w:footnote>
  <w:footnote w:id="1020">
    <w:p>
      <w:pPr>
        <w:pStyle w:val="Funote"/>
        <w:rPr/>
      </w:pPr>
      <w:r>
        <w:rPr>
          <w:i/>
        </w:rPr>
        <w:footnoteRef/>
        <w:tab/>
        <w:t>traf auf</w:t>
      </w:r>
      <w:r>
        <w:rPr/>
        <w:t xml:space="preserve"> Oder „fand“. Gemeint ist jedoch nicht das Ergebnis einer Suche, sondern ein Finden im Sinne des zufälligen Antreffens (Price 1978, 52). </w:t>
      </w:r>
    </w:p>
  </w:footnote>
  <w:footnote w:id="1021">
    <w:p>
      <w:pPr>
        <w:pStyle w:val="Funote"/>
        <w:rPr/>
      </w:pPr>
      <w:r>
        <w:rPr>
          <w:i/>
        </w:rPr>
        <w:footnoteRef/>
        <w:tab/>
        <w:t>das im Begriff war ... zu fahren</w:t>
      </w:r>
      <w:r>
        <w:rPr/>
        <w:t xml:space="preserve"> ist die freie Wiedergabe eines Partizips, das etwa so zu verstehen ist. </w:t>
      </w:r>
    </w:p>
  </w:footnote>
  <w:footnote w:id="1022">
    <w:p>
      <w:pPr>
        <w:pStyle w:val="Funote"/>
        <w:rPr/>
      </w:pPr>
      <w:r>
        <w:rPr>
          <w:i/>
        </w:rPr>
        <w:footnoteRef/>
        <w:tab/>
        <w:t>mit ihnen</w:t>
      </w:r>
      <w:r>
        <w:rPr/>
        <w:t xml:space="preserve"> D.h. mit der Besatzung. Aus dieser Wendung lässt sich vielleicht schließen, dass Jona Teil der Besatzung wurde (Price 1978, 52). </w:t>
      </w:r>
    </w:p>
  </w:footnote>
  <w:footnote w:id="1023">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4">
    <w:p>
      <w:pPr>
        <w:pStyle w:val="Funote"/>
        <w:rPr/>
      </w:pPr>
      <w:r>
        <w:rPr>
          <w:i/>
        </w:rPr>
        <w:footnoteRef/>
        <w:tab/>
        <w:t>ließ ... los</w:t>
      </w:r>
      <w:r>
        <w:rPr/>
        <w:t xml:space="preserve"> W. etwa „schleuderte“. </w:t>
      </w:r>
    </w:p>
  </w:footnote>
  <w:footnote w:id="1025">
    <w:p>
      <w:pPr>
        <w:pStyle w:val="Funote"/>
        <w:rPr/>
      </w:pPr>
      <w:r>
        <w:rPr/>
        <w:footnoteRef/>
        <w:tab/>
        <w:t>Im Hebräischen ist hier ein Anklang oder Wortspiel, der sich auf Deutsch am ehesten mit einem Reim wiedergeben ließe, z.B.: „so kam das Boot in große Not“</w:t>
      </w:r>
    </w:p>
  </w:footnote>
  <w:footnote w:id="1026">
    <w:p>
      <w:pPr>
        <w:pStyle w:val="Funote"/>
        <w:rPr/>
      </w:pPr>
      <w:r>
        <w:rPr>
          <w:i/>
        </w:rPr>
        <w:footnoteRef/>
        <w:tab/>
        <w:t>Gegenstände (Ladung, Ausrüstung)</w:t>
      </w:r>
      <w:r>
        <w:rPr/>
        <w:t xml:space="preserve"> Viele Übersetzungen entscheiden sich für „Ladung“, aber das zugrunde liegende hebräische Wort bezeichnet recht allgemein </w:t>
      </w:r>
      <w:r>
        <w:rPr>
          <w:i/>
        </w:rPr>
        <w:t>Gegenstände</w:t>
      </w:r>
      <w:r>
        <w:rPr/>
        <w:t xml:space="preserve">, bei denen es sich hier sowohl (aber nicht nur) um die Ladung als auch um die Ausrüstung handeln könnte (vgl. Price 1978, 56. </w:t>
      </w:r>
    </w:p>
  </w:footnote>
  <w:footnote w:id="1027">
    <w:p>
      <w:pPr>
        <w:pStyle w:val="Funote"/>
        <w:rPr/>
      </w:pPr>
      <w:r>
        <w:rPr/>
        <w:footnoteRef/>
        <w:tab/>
        <w:t>um [das Schiff] {von ihnen} leichter zu machen W. „um [sich/das Schiff] von ihnen (d.h. ihrer) zu erleichtern“. Einige Übersetzungen: „um die Gefahr zu verringern“ (z.B. GNB).</w:t>
      </w:r>
    </w:p>
  </w:footnote>
  <w:footnote w:id="1028">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9">
    <w:p>
      <w:pPr>
        <w:pStyle w:val="Funote"/>
        <w:rPr/>
      </w:pPr>
      <w:r>
        <w:rPr>
          <w:i/>
        </w:rPr>
        <w:footnoteRef/>
        <w:tab/>
        <w:t>der Oberste der Seeleute</w:t>
      </w:r>
      <w:r>
        <w:rPr/>
        <w:t xml:space="preserve"> D.h. wohl der Kapitän. </w:t>
      </w:r>
    </w:p>
  </w:footnote>
  <w:footnote w:id="1030">
    <w:p>
      <w:pPr>
        <w:pStyle w:val="Funote"/>
        <w:rPr/>
      </w:pPr>
      <w:r>
        <w:rPr>
          <w:i/>
        </w:rPr>
        <w:footnoteRef/>
        <w:tab/>
        <w:t>kam ... in seine Nähe</w:t>
      </w:r>
      <w:r>
        <w:rPr/>
        <w:t xml:space="preserve"> Das Verb heißt eigentlich „näherkommen“ oder „zu jmdm. kommen“. Hier ist es offenbar so zu verstehen, dass der Mann zufällig auf Jona stieß (Price 1978, 58). </w:t>
      </w:r>
    </w:p>
  </w:footnote>
  <w:footnote w:id="1031">
    <w:p>
      <w:pPr>
        <w:pStyle w:val="Funote"/>
        <w:rPr/>
      </w:pPr>
      <w:r>
        <w:rPr>
          <w:i/>
        </w:rPr>
        <w:footnoteRef/>
        <w:tab/>
        <w:t>Warum schläfst du?</w:t>
      </w:r>
      <w:r>
        <w:rPr/>
        <w:t xml:space="preserve"> Wörtlich: </w:t>
      </w:r>
      <w:r>
        <w:rPr>
          <w:i/>
        </w:rPr>
        <w:t>Was [ist mit] dir, (fest) Schlafender?</w:t>
      </w:r>
      <w:r>
        <w:rPr/>
        <w:t xml:space="preserve"> Die Frage hat einen zurechtweisenden Tonfall (Preice 1978, 58). </w:t>
      </w:r>
    </w:p>
  </w:footnote>
  <w:footnote w:id="1032">
    <w:p>
      <w:pPr>
        <w:pStyle w:val="Funote"/>
        <w:rPr/>
      </w:pPr>
      <w:r>
        <w:rPr>
          <w:i/>
        </w:rPr>
        <w:footnoteRef/>
        <w:tab/>
        <w:t>zueinander</w:t>
      </w:r>
      <w:r>
        <w:rPr/>
        <w:t xml:space="preserve"> W. „einer/ein jeder zu seinem Nachbarn/Nächsten“.</w:t>
      </w:r>
    </w:p>
  </w:footnote>
  <w:footnote w:id="1033">
    <w:p>
      <w:pPr>
        <w:pStyle w:val="Funote"/>
        <w:rPr/>
      </w:pPr>
      <w:r>
        <w:rPr>
          <w:i/>
        </w:rPr>
        <w:footnoteRef/>
        <w:tab/>
        <w:t>wie es kommt, dass</w:t>
      </w:r>
      <w:r>
        <w:rPr/>
        <w:t xml:space="preserve"> (V. 7 und 8) bzw. </w:t>
      </w:r>
      <w:r>
        <w:rPr>
          <w:i/>
        </w:rPr>
        <w:t>wer daran schuld ist, dass</w:t>
      </w:r>
      <w:r>
        <w:rPr/>
        <w:t xml:space="preserve"> (Alternative in V. 7) gibt eine Anhäufung von Partikeln wieder, die sich nicht wörtlich übersetzen lässt. Sie fragt im Grunde nach der Verantwortlichkeit (vgl. GK §150k). </w:t>
      </w:r>
    </w:p>
  </w:footnote>
  <w:footnote w:id="1034">
    <w:p>
      <w:pPr>
        <w:pStyle w:val="Funote"/>
        <w:rPr/>
      </w:pPr>
      <w:r>
        <w:rPr>
          <w:i/>
        </w:rPr>
        <w:footnoteRef/>
        <w:tab/>
        <w:t>Was [ist] dein Beruf</w:t>
      </w:r>
      <w:r>
        <w:rPr/>
        <w:t xml:space="preserve"> oder vielleicht „Was ist deine Mission“ im Sinne von „Was machst du eigentlich auf diesem Schiff?“ (Price 1978, 61). </w:t>
      </w:r>
    </w:p>
  </w:footnote>
  <w:footnote w:id="1035">
    <w:p>
      <w:pPr>
        <w:pStyle w:val="Funote"/>
        <w:rPr/>
      </w:pPr>
      <w:r>
        <w:rPr/>
        <w:footnoteRef/>
        <w:tab/>
        <w:t>„</w:t>
      </w:r>
      <w:r>
        <w:rPr/>
        <w:t xml:space="preserve">Himmelsgott“ ist in der persischen Verwaltungssprache die amtliche Bezeichung für den Gott der Juden (Golka </w:t>
      </w:r>
      <w:r>
        <w:rPr>
          <w:position w:val="7"/>
          <w:sz w:val="16"/>
        </w:rPr>
        <w:t>2</w:t>
      </w:r>
      <w:r>
        <w:rPr/>
        <w:t>2007, 56).</w:t>
      </w:r>
    </w:p>
  </w:footnote>
  <w:footnote w:id="1036">
    <w:p>
      <w:pPr>
        <w:pStyle w:val="Funote"/>
        <w:rPr/>
      </w:pPr>
      <w:r>
        <w:rPr/>
        <w:footnoteRef/>
        <w:tab/>
        <w:t xml:space="preserve">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 </w:t>
      </w:r>
    </w:p>
  </w:footnote>
  <w:footnote w:id="1037">
    <w:p>
      <w:pPr>
        <w:pStyle w:val="Funote"/>
        <w:rPr/>
      </w:pPr>
      <w:r>
        <w:rPr/>
        <w:footnoteRef/>
        <w:tab/>
        <w:t>vor JHWH Die Betonung (Kursivschreibung) ist auf die hebräische Satzstellung zurückzuführen. Dieser Zusammenhang ist also der Grund für das Erschrecken der Seeleute.</w:t>
      </w:r>
    </w:p>
  </w:footnote>
  <w:footnote w:id="1038">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9">
    <w:p>
      <w:pPr>
        <w:pStyle w:val="Funote"/>
        <w:rPr/>
      </w:pPr>
      <w:r>
        <w:rPr>
          <w:i/>
        </w:rPr>
        <w:footnoteRef/>
        <w:tab/>
        <w:t>stürmte immer heftiger</w:t>
      </w:r>
      <w:r>
        <w:rPr/>
        <w:t xml:space="preserve"> den(V. 11 und V. 13) Hier stehen im Hebräischen zwei Partizipien nebeneinander: „gehend und stürmend“. Das Ptz. „gehend“ von </w:t>
      </w:r>
      <w:r>
        <w:rPr>
          <w:rtl w:val="true"/>
          <w:lang w:bidi="he-IL"/>
        </w:rPr>
        <w:t>הלך</w:t>
      </w:r>
      <w:r>
        <w:rPr/>
        <w:t xml:space="preserve"> </w:t>
      </w:r>
      <w:r>
        <w:rPr/>
        <w:t xml:space="preserve">mit einem anderen Ptz. drückt (sich steigernde) Fortdauer aus (GK §113u; Price 1978, 65f.). </w:t>
      </w:r>
    </w:p>
  </w:footnote>
  <w:footnote w:id="1040">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1">
    <w:p>
      <w:pPr>
        <w:pStyle w:val="Funote"/>
        <w:rPr/>
      </w:pPr>
      <w:r>
        <w:rPr>
          <w:i/>
        </w:rPr>
        <w:footnoteRef/>
        <w:tab/>
        <w:t>Blut</w:t>
      </w:r>
      <w:r>
        <w:rPr/>
        <w:t xml:space="preserve"> steht stellvertretend für das genommene Leben, für den Tod Jonas, den die Seeleute für sicher halten, wenn sie ihn ins Meer werfen. Das Stilmittel ist wohl eine Metonymie (Konkretes für Abstraktes; Wirkung für Ursache) oder Synekdoche (Generelles für Spezifisches). </w:t>
      </w:r>
    </w:p>
  </w:footnote>
  <w:footnote w:id="1042">
    <w:p>
      <w:pPr>
        <w:pStyle w:val="Funote"/>
        <w:rPr/>
      </w:pPr>
      <w:r>
        <w:rPr/>
        <w:footnoteRef/>
        <w:tab/>
        <w:t xml:space="preserve">Dieser Vers enthält gleich drei figurae etymologicae. W. etwa „Da fürchteten sie große Furcht und da opferten sie Opfer und da gelobten sie Gelübde.“ </w:t>
      </w:r>
      <w:r>
        <w:rPr>
          <w:i/>
        </w:rPr>
        <w:t>Opfer</w:t>
      </w:r>
      <w:r>
        <w:rPr/>
        <w:t xml:space="preserve"> und </w:t>
      </w:r>
      <w:r>
        <w:rPr>
          <w:i/>
        </w:rPr>
        <w:t>Gelübde</w:t>
      </w:r>
      <w:r>
        <w:rPr/>
        <w:t xml:space="preserv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 </w:t>
      </w:r>
    </w:p>
  </w:footnote>
  <w:footnote w:id="1043">
    <w:p>
      <w:pPr>
        <w:pStyle w:val="Funote"/>
        <w:rPr/>
      </w:pPr>
      <w:r>
        <w:rPr/>
        <w:footnoteRef/>
        <w:tab/>
        <w:t>[Status: Zuverlässig]</w:t>
      </w:r>
    </w:p>
  </w:footnote>
  <w:footnote w:id="1044">
    <w:p>
      <w:pPr>
        <w:pStyle w:val="Funote"/>
        <w:rPr/>
      </w:pPr>
      <w:r>
        <w:rPr>
          <w:i/>
        </w:rPr>
        <w:footnoteRef/>
        <w:tab/>
        <w:t>in zukünftigen (späteren, letzten) Tagen (zu einer späteren Zeit, am Ende der Zeit)</w:t>
      </w:r>
      <w:r>
        <w:rPr/>
        <w:t xml:space="preserve"> Die so übersetzte Phrase </w:t>
      </w:r>
      <w:r>
        <w:rPr>
          <w:rtl w:val="true"/>
          <w:lang w:bidi="he-IL"/>
        </w:rPr>
        <w:t>בְּאַחֲרִ֣ית הַיָּמִ֗ים</w:t>
      </w:r>
      <w:r>
        <w:rPr/>
        <w:t xml:space="preserve"> </w:t>
      </w:r>
      <w:r>
        <w:rPr/>
        <w:t xml:space="preserve">kommt im AT 13 mal vor. Entgegen der aus der </w:t>
      </w:r>
      <w:hyperlink r:id="rId123">
        <w:r>
          <w:rPr>
            <w:rStyle w:val="Internetlink"/>
          </w:rPr>
          <w:t>LXX</w:t>
        </w:r>
      </w:hyperlink>
      <w:r>
        <w:rPr/>
        <w:t xml:space="preserve">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 </w:t>
      </w:r>
    </w:p>
  </w:footnote>
  <w:footnote w:id="1045">
    <w:p>
      <w:pPr>
        <w:pStyle w:val="Funote"/>
        <w:rPr/>
      </w:pPr>
      <w:r>
        <w:rPr>
          <w:i/>
        </w:rPr>
        <w:footnoteRef/>
        <w:tab/>
        <w:t>Berg [mit dem] Haus</w:t>
      </w:r>
      <w:r>
        <w:rPr/>
        <w:t xml:space="preserve"> Appositiver Genitiv, der das Objekt näher identifiziert. </w:t>
      </w:r>
    </w:p>
  </w:footnote>
  <w:footnote w:id="1046">
    <w:p>
      <w:pPr>
        <w:pStyle w:val="Funote"/>
        <w:rPr/>
      </w:pPr>
      <w:r>
        <w:rPr>
          <w:i/>
        </w:rPr>
        <w:footnoteRef/>
        <w:tab/>
        <w:t>als Herausragender (Wichtigster, Höchster, Gipfel, Anführer) der Berge</w:t>
      </w:r>
      <w:r>
        <w:rPr/>
        <w:t xml:space="preserv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 xml:space="preserve">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w:t>
      </w:r>
      <w:r>
        <w:rPr>
          <w:i/>
        </w:rPr>
        <w:t>höher</w:t>
      </w:r>
      <w:r>
        <w:rPr/>
        <w:t xml:space="preserve">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 </w:t>
      </w:r>
    </w:p>
  </w:footnote>
  <w:footnote w:id="1047">
    <w:p>
      <w:pPr>
        <w:pStyle w:val="Funote"/>
        <w:rPr/>
      </w:pPr>
      <w:r>
        <w:rPr>
          <w:i/>
        </w:rPr>
        <w:footnoteRef/>
        <w:tab/>
        <w:t>wird … gefestigt sein</w:t>
      </w:r>
      <w:r>
        <w:rPr/>
        <w:t xml:space="preserve">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 </w:t>
      </w:r>
    </w:p>
  </w:footnote>
  <w:footnote w:id="1048">
    <w:p>
      <w:pPr>
        <w:pStyle w:val="Funote"/>
        <w:rPr/>
      </w:pPr>
      <w:r>
        <w:rPr>
          <w:i/>
        </w:rPr>
        <w:footnoteRef/>
        <w:tab/>
        <w:t>anhand seiner Wege</w:t>
      </w:r>
      <w:r>
        <w:rPr/>
        <w:t xml:space="preserve"> und </w:t>
      </w:r>
      <w:r>
        <w:rPr>
          <w:i/>
        </w:rPr>
        <w:t>nach seiner Art leben/auf seinen Pfaden wandeln</w:t>
      </w:r>
      <w:r>
        <w:rPr/>
        <w:t xml:space="preserve"> sind parallel und sagen mit anderen Worten das gleiche aus. Die beiden Zeilen sind wiederum parallel zu den beiden folgenden Zeilen, wo (wiederum mit gleicher Aussage in anderen Worten) von </w:t>
      </w:r>
      <w:r>
        <w:rPr>
          <w:i/>
        </w:rPr>
        <w:t>Weisung/Torah</w:t>
      </w:r>
      <w:r>
        <w:rPr/>
        <w:t xml:space="preserve"> und J</w:t>
      </w:r>
      <w:r>
        <w:rPr>
          <w:i/>
        </w:rPr>
        <w:t>HWHs Botschaft aus Jerusalem</w:t>
      </w:r>
      <w:r>
        <w:rPr/>
        <w:t xml:space="preserve">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w:t>
      </w:r>
      <w:r>
        <w:fldChar w:fldCharType="begin"/>
      </w:r>
      <w:r>
        <w:instrText> HYPERLINK "file:///wiki/Lukas_24" \l "s47"</w:instrText>
      </w:r>
      <w:r>
        <w:fldChar w:fldCharType="separate"/>
      </w:r>
      <w:r>
        <w:rPr>
          <w:rStyle w:val="Internetlink"/>
        </w:rPr>
        <w:t>Lk 24,47</w:t>
      </w:r>
      <w:r>
        <w:fldChar w:fldCharType="end"/>
      </w:r>
      <w:r>
        <w:rPr/>
        <w:t xml:space="preserve">). </w:t>
      </w:r>
    </w:p>
  </w:footnote>
  <w:footnote w:id="1049">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i/>
        </w:rPr>
        <w:t>denn</w:t>
      </w:r>
      <w:r>
        <w:rPr/>
        <w:t xml:space="preserve">) die Grundlage für den in so großen Worten beschriebenen prophetischen Völkerzug zum Zion. Beide Möglichkeiten sind denkbar: dass die Angehörigen der anderen Völker sich auch diese Begründung zurufen, oder dass der Prophet sie als Erklärung für ihr Verhalten festhält. </w:t>
      </w:r>
    </w:p>
  </w:footnote>
  <w:footnote w:id="1050">
    <w:p>
      <w:pPr>
        <w:pStyle w:val="Funote"/>
        <w:rPr/>
      </w:pPr>
      <w:r>
        <w:rPr>
          <w:i/>
        </w:rPr>
        <w:footnoteRef/>
        <w:tab/>
        <w:t>[das] Schwert erheben</w:t>
      </w:r>
      <w:r>
        <w:rPr/>
        <w:t xml:space="preserve"> Es handelt sich um eine Metonymie der Adjunktion für die Provokation oder die Führung eines Kriegs. Dazu passt der parallele zweite Versteil. </w:t>
      </w:r>
    </w:p>
  </w:footnote>
  <w:footnote w:id="1051">
    <w:p>
      <w:pPr>
        <w:pStyle w:val="Funote"/>
        <w:rPr/>
      </w:pPr>
      <w:r>
        <w:rPr>
          <w:i/>
        </w:rPr>
        <w:footnoteRef/>
        <w:tab/>
        <w:t>niemanden, der [ihnen] Angst einflößt ([sie] aufstört, zum Zittern bringt)</w:t>
      </w:r>
      <w:r>
        <w:rPr/>
        <w:t xml:space="preserve">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 </w:t>
      </w:r>
    </w:p>
  </w:footnote>
  <w:footnote w:id="1052">
    <w:p>
      <w:pPr>
        <w:pStyle w:val="Funote"/>
        <w:rPr/>
      </w:pPr>
      <w:r>
        <w:rPr>
          <w:i/>
        </w:rPr>
        <w:footnoteRef/>
        <w:tab/>
        <w:t>die Hinkenden</w:t>
      </w:r>
      <w:r>
        <w:rPr/>
        <w:t xml:space="preserve"> und </w:t>
      </w:r>
      <w:r>
        <w:rPr>
          <w:i/>
        </w:rPr>
        <w:t>die Vertriebenen</w:t>
      </w:r>
      <w:r>
        <w:rPr/>
        <w:t xml:space="preserve">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 </w:t>
      </w:r>
    </w:p>
  </w:footnote>
  <w:footnote w:id="1053">
    <w:p>
      <w:pPr>
        <w:pStyle w:val="Funote"/>
        <w:rPr/>
      </w:pPr>
      <w:r>
        <w:rPr>
          <w:i/>
        </w:rPr>
        <w:footnoteRef/>
        <w:tab/>
        <w:t>will ich zusammenführen … sammeln</w:t>
      </w:r>
      <w:r>
        <w:rPr/>
        <w:t xml:space="preserve"> Kohortativ (Imperativ der 1. Person), hier modal übersetzt. </w:t>
      </w:r>
    </w:p>
  </w:footnote>
  <w:footnote w:id="1054">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5">
    <w:p>
      <w:pPr>
        <w:pStyle w:val="Funote"/>
        <w:rPr/>
      </w:pPr>
      <w:r>
        <w:rPr>
          <w:i/>
        </w:rPr>
        <w:footnoteRef/>
        <w:tab/>
        <w:t>mächtigen Volk</w:t>
      </w:r>
      <w:r>
        <w:rPr/>
        <w:t xml:space="preserve"> Hier wird die Formulierung aus V. 3 aufgegriffen. </w:t>
      </w:r>
    </w:p>
  </w:footnote>
  <w:footnote w:id="1056">
    <w:p>
      <w:pPr>
        <w:pStyle w:val="Funote"/>
        <w:spacing w:before="0" w:after="283"/>
        <w:rPr/>
      </w:pPr>
      <w:r>
        <w:rPr>
          <w:i/>
        </w:rPr>
        <w:footnoteRef/>
        <w:tab/>
        <w:t>Turm der Herde (Migdal Eder)</w:t>
      </w:r>
      <w:r>
        <w:rPr/>
        <w:t xml:space="preserve"> (Hebr. </w:t>
      </w:r>
      <w:r>
        <w:rPr>
          <w:rtl w:val="true"/>
          <w:lang w:bidi="he-IL"/>
        </w:rPr>
        <w:t>מִגְדַּל־עֵדֶר</w:t>
      </w:r>
      <w:r>
        <w:rPr/>
        <w:t xml:space="preserve">) Je nach Interpretation ein poetischer Name für Jerusalem oder ein entsprechender Ortsname (wie Gen 35:21). In dieser dreifachen Anrede scheint es jedoch am einfachsten und logischsten anzunehmen, dass sich wie </w:t>
      </w:r>
      <w:r>
        <w:rPr>
          <w:i/>
        </w:rPr>
        <w:t>Tochter Zions</w:t>
      </w:r>
      <w:r>
        <w:rPr/>
        <w:t xml:space="preserve"> auch </w:t>
      </w:r>
      <w:r>
        <w:rPr>
          <w:i/>
        </w:rPr>
        <w:t>Turm der Herde</w:t>
      </w:r>
      <w:r>
        <w:rPr/>
        <w:t xml:space="preserve"> und </w:t>
      </w:r>
      <w:r>
        <w:rPr>
          <w:i/>
        </w:rPr>
        <w:t>Ophel</w:t>
      </w:r>
      <w:r>
        <w:rPr/>
        <w:t xml:space="preserve"> auf Jerusalem beziehen (bzw. metonymisch auf den israelitischen König; so Waltke, Micah, S. 229-31; Kessler, Micha, S. 199; Andersen, Micah, S. 439). Das AT bezeichnet den König häufiger als Hirten seines Volkes. Der Turm Davids aus Hld 4,4 könnte </w:t>
      </w:r>
    </w:p>
    <w:p>
      <w:pPr>
        <w:pStyle w:val="Textkrper"/>
        <w:rPr/>
      </w:pPr>
      <w:r>
        <w:rPr>
          <w:i/>
        </w:rPr>
        <w:tab/>
        <w:t>Ophel</w:t>
      </w:r>
      <w:r>
        <w:rPr/>
        <w:t xml:space="preserve"> (Hebr. </w:t>
      </w:r>
      <w:r>
        <w:rPr>
          <w:rtl w:val="true"/>
          <w:lang w:bidi="he-IL"/>
        </w:rPr>
        <w:t>עֹפֶל</w:t>
      </w:r>
      <w:r>
        <w:rPr/>
        <w:t xml:space="preserve">) kommt im AT achtmal vor und bezeichnet einen Ort in Jerusalem, nämlich eine Hügelfestung in der alten Davidsstadt (Wolff, Micha, S. 96). Obwohl der Bezug nicht ganz sicher ist, ist er der am besten belegte. </w:t>
      </w:r>
    </w:p>
    <w:p>
      <w:pPr>
        <w:pStyle w:val="Textkrper"/>
        <w:spacing w:before="0" w:after="283"/>
        <w:rPr/>
      </w:pPr>
      <w:r>
        <w:rPr>
          <w:i/>
        </w:rPr>
        <w:tab/>
        <w:t>Tochter Zions</w:t>
      </w:r>
      <w:r>
        <w:rPr/>
        <w:t xml:space="preserve"> Eine im AT häufige poetische Bezeichnung Jerusalems. </w:t>
      </w:r>
      <w:r>
        <w:rPr>
          <w:i/>
        </w:rPr>
        <w:t>Zion</w:t>
      </w:r>
      <w:r>
        <w:rPr/>
        <w:t xml:space="preserve"> ist der Tempelhügel. </w:t>
      </w:r>
    </w:p>
  </w:footnote>
  <w:footnote w:id="1057">
    <w:p>
      <w:pPr>
        <w:pStyle w:val="Funote"/>
        <w:rPr/>
      </w:pPr>
      <w:r>
        <w:rPr>
          <w:i/>
        </w:rPr>
        <w:footnoteRef/>
        <w:tab/>
        <w:t>Tochter Jerusalems</w:t>
      </w:r>
      <w:r>
        <w:rPr/>
        <w:t xml:space="preserve"> Wie </w:t>
      </w:r>
      <w:r>
        <w:rPr>
          <w:i/>
        </w:rPr>
        <w:t>Tochter Zions</w:t>
      </w:r>
      <w:r>
        <w:rPr/>
        <w:t xml:space="preserve"> eine poetische Bezeichnung Jerusalems (s. vorige Fußnote). </w:t>
      </w:r>
    </w:p>
  </w:footnote>
  <w:footnote w:id="1058">
    <w:p>
      <w:pPr>
        <w:pStyle w:val="Funote"/>
        <w:rPr/>
      </w:pPr>
      <w:r>
        <w:rPr/>
        <w:footnoteRef/>
        <w:tab/>
        <w:t>[Status: Zuverlässig]</w:t>
      </w:r>
    </w:p>
  </w:footnote>
  <w:footnote w:id="1059">
    <w:p>
      <w:pPr>
        <w:pStyle w:val="Funote"/>
        <w:rPr/>
      </w:pPr>
      <w:r>
        <w:rPr/>
        <w:footnoteRef/>
        <w:tab/>
        <w:t>Kann auch „worfeln“ bedeuten; vgl. Koh 20,8.</w:t>
      </w:r>
    </w:p>
  </w:footnote>
  <w:footnote w:id="1060">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1">
    <w:p>
      <w:pPr>
        <w:pStyle w:val="Funote"/>
        <w:rPr/>
      </w:pPr>
      <w:r>
        <w:rPr/>
        <w:footnoteRef/>
        <w:tab/>
        <w:t>Auch: mit Steinen beschmeißen.</w:t>
      </w:r>
    </w:p>
  </w:footnote>
  <w:footnote w:id="1062">
    <w:p>
      <w:pPr>
        <w:pStyle w:val="Funote"/>
        <w:rPr/>
      </w:pPr>
      <w:r>
        <w:rPr>
          <w:rtl w:val="true"/>
          <w:lang w:bidi="he-IL"/>
        </w:rPr>
        <w:footnoteRef/>
        <w:tab/>
        <w:t>הַגֹּויִם</w:t>
      </w:r>
      <w:r>
        <w:rPr/>
        <w:t xml:space="preserve"> </w:t>
      </w:r>
      <w:r>
        <w:rPr/>
        <w:t>meint die fremden, nicht jüdischen Völker.</w:t>
      </w:r>
    </w:p>
  </w:footnote>
  <w:footnote w:id="1063">
    <w:p>
      <w:pPr>
        <w:pStyle w:val="Funote"/>
        <w:rPr/>
      </w:pPr>
      <w:r>
        <w:rPr/>
        <w:footnoteRef/>
        <w:tab/>
        <w:t>Die anderen dt. Übersetzungen sagen: „zu messen“; die hier verwendete Übersetzung folgt Gesenius</w:t>
      </w:r>
      <w:r>
        <w:rPr>
          <w:position w:val="7"/>
          <w:sz w:val="16"/>
        </w:rPr>
        <w:t>17</w:t>
      </w:r>
      <w:r>
        <w:rPr/>
        <w:t>, S. 387.</w:t>
      </w:r>
    </w:p>
  </w:footnote>
  <w:footnote w:id="1064">
    <w:p>
      <w:pPr>
        <w:pStyle w:val="Funote"/>
        <w:rPr/>
      </w:pPr>
      <w:r>
        <w:rPr/>
        <w:footnoteRef/>
        <w:tab/>
        <w:t>Also für Jerusalem.</w:t>
      </w:r>
    </w:p>
  </w:footnote>
  <w:footnote w:id="1065">
    <w:p>
      <w:pPr>
        <w:pStyle w:val="Funote"/>
        <w:rPr/>
      </w:pPr>
      <w:r>
        <w:rPr/>
        <w:footnoteRef/>
        <w:tab/>
        <w:t xml:space="preserve">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 </w:t>
      </w:r>
    </w:p>
  </w:footnote>
  <w:footnote w:id="1066">
    <w:p>
      <w:pPr>
        <w:pStyle w:val="Funote"/>
        <w:rPr/>
      </w:pPr>
      <w:r>
        <w:rPr/>
        <w:footnoteRef/>
        <w:tab/>
        <w:t>Alternativübersetzung: »[nach] Zion entkomme« (Menge, GNB, ESV, NRSV).</w:t>
      </w:r>
    </w:p>
  </w:footnote>
  <w:footnote w:id="1067">
    <w:p>
      <w:pPr>
        <w:pStyle w:val="Funote"/>
        <w:rPr/>
      </w:pPr>
      <w:r>
        <w:rPr/>
        <w:footnoteRef/>
        <w:tab/>
        <w:t xml:space="preserve">Attributives </w:t>
      </w:r>
      <w:hyperlink r:id="rId124">
        <w:r>
          <w:rPr>
            <w:rStyle w:val="Internetlink"/>
          </w:rPr>
          <w:t>Ptz.</w:t>
        </w:r>
      </w:hyperlink>
      <w:r>
        <w:rPr/>
        <w:t>.</w:t>
      </w:r>
    </w:p>
  </w:footnote>
  <w:footnote w:id="1068">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9">
    <w:p>
      <w:pPr>
        <w:pStyle w:val="Funote"/>
        <w:rPr/>
      </w:pPr>
      <w:r>
        <w:rPr/>
        <w:footnoteRef/>
        <w:tab/>
        <w:t xml:space="preserve">Subst. </w:t>
      </w:r>
      <w:hyperlink r:id="rId125">
        <w:r>
          <w:rPr>
            <w:rStyle w:val="Internetlink"/>
          </w:rPr>
          <w:t>Ptz.</w:t>
        </w:r>
      </w:hyperlink>
      <w:r>
        <w:rPr/>
        <w:t xml:space="preserve"> Pl.</w:t>
      </w:r>
    </w:p>
  </w:footnote>
  <w:footnote w:id="1070">
    <w:p>
      <w:pPr>
        <w:pStyle w:val="Funote"/>
        <w:rPr/>
      </w:pPr>
      <w:r>
        <w:rPr/>
        <w:footnoteRef/>
        <w:tab/>
        <w:t xml:space="preserve">Attributives </w:t>
      </w:r>
      <w:hyperlink r:id="rId126">
        <w:r>
          <w:rPr>
            <w:rStyle w:val="Internetlink"/>
          </w:rPr>
          <w:t>Ptz.</w:t>
        </w:r>
      </w:hyperlink>
      <w:r>
        <w:rPr/>
        <w:t>.</w:t>
      </w:r>
    </w:p>
  </w:footnote>
  <w:footnote w:id="1071">
    <w:p>
      <w:pPr>
        <w:pStyle w:val="Funote"/>
        <w:rPr/>
      </w:pPr>
      <w:r>
        <w:rPr/>
        <w:footnoteRef/>
        <w:tab/>
        <w:t>Wörtlich: „Zentrum/Pupille seines Auges“.</w:t>
      </w:r>
    </w:p>
  </w:footnote>
  <w:footnote w:id="1072">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3">
    <w:p>
      <w:pPr>
        <w:pStyle w:val="Funote"/>
        <w:rPr/>
      </w:pPr>
      <w:r>
        <w:rPr/>
        <w:footnoteRef/>
        <w:tab/>
        <w:t xml:space="preserve">Prädikatives </w:t>
      </w:r>
      <w:hyperlink r:id="rId127">
        <w:r>
          <w:rPr>
            <w:rStyle w:val="Internetlink"/>
          </w:rPr>
          <w:t>Ptz.</w:t>
        </w:r>
      </w:hyperlink>
      <w:r>
        <w:rPr/>
        <w:t>; auch futurisch „werde schütteln“.</w:t>
      </w:r>
    </w:p>
  </w:footnote>
  <w:footnote w:id="1074">
    <w:p>
      <w:pPr>
        <w:pStyle w:val="Funote"/>
        <w:rPr/>
      </w:pPr>
      <w:r>
        <w:rPr/>
        <w:footnoteRef/>
        <w:tab/>
        <w:t>D.h. „ich werde sie bestrafen“ (s. NET Sach 2,9 Fußnote 12).</w:t>
      </w:r>
    </w:p>
  </w:footnote>
  <w:footnote w:id="1075">
    <w:p>
      <w:pPr>
        <w:pStyle w:val="Funote"/>
        <w:rPr/>
      </w:pPr>
      <w:r>
        <w:rPr/>
        <w:footnoteRef/>
        <w:tab/>
        <w:t>Direkter Rückbezug zu „ausplündern“ in V. 12 durch Verwendung derselben Wurzel (</w:t>
      </w:r>
      <w:r>
        <w:rPr>
          <w:rtl w:val="true"/>
          <w:lang w:bidi="he-IL"/>
        </w:rPr>
        <w:t>שלל</w:t>
      </w:r>
      <w:r>
        <w:rPr/>
        <w:t>).</w:t>
      </w:r>
    </w:p>
  </w:footnote>
  <w:footnote w:id="1076">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7">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8">
    <w:p>
      <w:pPr>
        <w:pStyle w:val="Funote"/>
        <w:rPr/>
      </w:pPr>
      <w:r>
        <w:rPr/>
        <w:footnoteRef/>
        <w:tab/>
        <w:t>Selbe Wendung wie in 1,17; wirkt als Klammer um die Kapitel 1-2.</w:t>
      </w:r>
    </w:p>
  </w:footnote>
  <w:footnote w:id="1079">
    <w:p>
      <w:pPr>
        <w:pStyle w:val="Funote"/>
        <w:rPr/>
      </w:pPr>
      <w:r>
        <w:rPr/>
        <w:footnoteRef/>
        <w:tab/>
        <w:t>[Status: Zuverlässig]</w:t>
      </w:r>
    </w:p>
  </w:footnote>
  <w:footnote w:id="1080">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1">
    <w:p>
      <w:pPr>
        <w:pStyle w:val="Funote"/>
        <w:rPr/>
      </w:pPr>
      <w:r>
        <w:rPr>
          <w:i/>
        </w:rPr>
        <w:footnoteRef/>
        <w:tab/>
        <w:t>im Himmel</w:t>
      </w:r>
      <w:r>
        <w:rPr/>
        <w:t xml:space="preserve"> - W. „in den Himmeln“; idiomatischer Plural, der sich häufiger im NT findet (wohl ein Semitismus). In der LF sollte mit Einzahl übersetzt werden.</w:t>
      </w:r>
    </w:p>
  </w:footnote>
  <w:footnote w:id="1082">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3">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4">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5">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6">
    <w:p>
      <w:pPr>
        <w:pStyle w:val="Funote"/>
        <w:rPr/>
      </w:pPr>
      <w:r>
        <w:rPr>
          <w:i/>
        </w:rPr>
        <w:footnoteRef/>
        <w:tab/>
        <w:t>kommen</w:t>
      </w:r>
      <w:r>
        <w:rPr/>
        <w:t xml:space="preserve">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7">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8">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9">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90">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1">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2">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3">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4">
    <w:p>
      <w:pPr>
        <w:pStyle w:val="Funote"/>
        <w:rPr/>
      </w:pPr>
      <w:r>
        <w:rPr/>
        <w:footnoteRef/>
        <w:tab/>
        <w:t>[Status: Zuverlässig]</w:t>
      </w:r>
    </w:p>
  </w:footnote>
  <w:footnote w:id="1095">
    <w:p>
      <w:pPr>
        <w:pStyle w:val="Funote"/>
        <w:rPr/>
      </w:pPr>
      <w:r>
        <w:rPr>
          <w:i/>
        </w:rPr>
        <w:footnoteRef/>
        <w:tab/>
        <w:t>{</w:t>
      </w:r>
      <w:r>
        <w:rPr>
          <w:i/>
          <w:strike/>
        </w:rPr>
        <w:t>Und</w:t>
      </w:r>
      <w:r>
        <w:rPr>
          <w:i/>
        </w:rPr>
        <w:t>}</w:t>
      </w:r>
      <w:r>
        <w:rPr/>
        <w:t xml:space="preserve"> - Übliche Markierung im Griechischen zur Eröffnung eines neuen Abschnittes. Im Dt. ist dies unüblich.</w:t>
      </w:r>
    </w:p>
  </w:footnote>
  <w:footnote w:id="1096">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7">
    <w:p>
      <w:pPr>
        <w:pStyle w:val="Funote"/>
        <w:rPr/>
      </w:pPr>
      <w:r>
        <w:rPr>
          <w:i/>
        </w:rPr>
        <w:footnoteRef/>
        <w:tab/>
        <w:t>Zeit</w:t>
      </w:r>
      <w:r>
        <w:rPr/>
        <w:t xml:space="preserve"> - W. „Zeiten“.</w:t>
      </w:r>
    </w:p>
  </w:footnote>
  <w:footnote w:id="1098">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9">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100">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1">
    <w:p>
      <w:pPr>
        <w:pStyle w:val="Funote"/>
        <w:rPr/>
      </w:pPr>
      <w:r>
        <w:rPr>
          <w:i/>
        </w:rPr>
        <w:footnoteRef/>
        <w:tab/>
        <w:t>an das jenseitige [Ufer]</w:t>
      </w:r>
      <w:r>
        <w:rPr/>
        <w:t xml:space="preserve"> - W. „an das Jenseitige“; stehende Formulierung für eine Überquerung des Sees Gennesaret.</w:t>
      </w:r>
    </w:p>
  </w:footnote>
  <w:footnote w:id="1102">
    <w:p>
      <w:pPr>
        <w:pStyle w:val="Funote"/>
        <w:rPr/>
      </w:pPr>
      <w:r>
        <w:rPr/>
        <w:footnoteRef/>
        <w:tab/>
        <w:t>Als die Jünger ... kamen - Nach der Darstellung des Mt ist offenbar Jesus in Mt 15,39 allein nach Magadan gefahren; die Jünger stoßen nun nachträglich zu ihm (vgl. z.B. Luz 1990, S. 447).</w:t>
      </w:r>
    </w:p>
  </w:footnote>
  <w:footnote w:id="1103">
    <w:p>
      <w:pPr>
        <w:pStyle w:val="Funote"/>
        <w:rPr/>
      </w:pPr>
      <w:r>
        <w:rPr>
          <w:i/>
        </w:rPr>
        <w:footnoteRef/>
        <w:tab/>
        <w:t>[gerade]</w:t>
      </w:r>
      <w:r>
        <w:rPr/>
        <w:t xml:space="preserve"> - Das Verb steht im Gr. im Imperfekt, um zu markieren, dass die Handlung gerade im Vollzug ist.</w:t>
      </w:r>
    </w:p>
  </w:footnote>
  <w:footnote w:id="1104">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5">
    <w:p>
      <w:pPr>
        <w:pStyle w:val="Funote"/>
        <w:rPr/>
      </w:pPr>
      <w:r>
        <w:rPr>
          <w:i/>
        </w:rPr>
        <w:footnoteRef/>
        <w:tab/>
        <w:t>dass (weil)</w:t>
      </w:r>
      <w:r>
        <w:rPr/>
        <w:t xml:space="preserve"> - Auch hier steht ein </w:t>
      </w:r>
      <w:r>
        <w:rPr>
          <w:i/>
        </w:rPr>
        <w:t>hoti</w:t>
      </w:r>
      <w:r>
        <w:rPr/>
        <w:t xml:space="preserve">; die Übersetzung hängt ab von der Deutung des </w:t>
      </w:r>
      <w:r>
        <w:rPr>
          <w:i/>
        </w:rPr>
        <w:t>hoti</w:t>
      </w:r>
      <w:r>
        <w:rPr/>
        <w:t xml:space="preserve"> in V. 7 (s. </w:t>
      </w:r>
      <w:r>
        <w:fldChar w:fldCharType="begin"/>
      </w:r>
      <w:r>
        <w:instrText> HYPERLINK "http://offene-bibel.de/mediawiki/index.php?title=Matthäus_16" \l "note_j"</w:instrText>
      </w:r>
      <w:r>
        <w:fldChar w:fldCharType="separate"/>
      </w:r>
      <w:r>
        <w:rPr>
          <w:rStyle w:val="Internetlink"/>
        </w:rPr>
        <w:t>FN j</w:t>
      </w:r>
      <w:r>
        <w:fldChar w:fldCharType="end"/>
      </w:r>
      <w:r>
        <w:rPr/>
        <w:t>).</w:t>
      </w:r>
    </w:p>
  </w:footnote>
  <w:footnote w:id="1106">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7">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8">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9">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10">
    <w:p>
      <w:pPr>
        <w:pStyle w:val="Funote"/>
        <w:rPr/>
      </w:pPr>
      <w:r>
        <w:rPr>
          <w:i/>
        </w:rPr>
        <w:footnoteRef/>
        <w:tab/>
        <w:t>der Gesalbte</w:t>
      </w:r>
      <w:r>
        <w:rPr/>
        <w:t xml:space="preserve"> - Gr. </w:t>
      </w:r>
      <w:r>
        <w:rPr>
          <w:i/>
        </w:rPr>
        <w:t>christos</w:t>
      </w:r>
      <w:r>
        <w:rPr/>
        <w:t xml:space="preserve">. Im Alten Israel wurden Könige durch eine „Salbung“ eingesetzt. Zur Zeit Jesu war die Hoffnung verbreitet, dass dereinst ein endzeitlicher König erstehen und Israel retten werde (s. z.B. </w:t>
      </w:r>
      <w:r>
        <w:fldChar w:fldCharType="begin"/>
      </w:r>
      <w:r>
        <w:instrText> HYPERLINK "https://www.bibelwissenschaft.de/stichwort/51997/" \l "h1"</w:instrText>
      </w:r>
      <w:r>
        <w:fldChar w:fldCharType="separate"/>
      </w:r>
      <w:r>
        <w:rPr>
          <w:rStyle w:val="Internetlink"/>
        </w:rPr>
        <w:t>Messias / Christus (WiBiLex)</w:t>
      </w:r>
      <w:r>
        <w:fldChar w:fldCharType="end"/>
      </w:r>
      <w:r>
        <w:rPr/>
        <w:t>). Als diesen endzeitlichen König identifiziert Petrus hier Jesus.</w:t>
      </w:r>
    </w:p>
  </w:footnote>
  <w:footnote w:id="1111">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2">
    <w:p>
      <w:pPr>
        <w:pStyle w:val="Funote"/>
        <w:rPr/>
      </w:pPr>
      <w:r>
        <w:rPr>
          <w:i/>
        </w:rPr>
        <w:footnoteRef/>
        <w:tab/>
        <w:t>bar Jona</w:t>
      </w:r>
      <w:r>
        <w:rPr/>
        <w:t xml:space="preserve"> - W. „Sohn des Jona“. Solche sog. „Patronyme“ waren im Alten Israel in etwa die Entsprechung eines Nachnamens.</w:t>
      </w:r>
    </w:p>
  </w:footnote>
  <w:footnote w:id="1113">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4">
    <w:p>
      <w:pPr>
        <w:pStyle w:val="Funote"/>
        <w:rPr/>
      </w:pPr>
      <w:r>
        <w:rPr>
          <w:i/>
        </w:rPr>
        <w:footnoteRef/>
        <w:tab/>
        <w:t>Himmel</w:t>
      </w:r>
      <w:r>
        <w:rPr/>
        <w:t xml:space="preserve"> - Im Gr. Plural; „Himmel“ steht im Gr. meist im Pl., wo das Dt. Sg. verwenden würde.</w:t>
      </w:r>
    </w:p>
  </w:footnote>
  <w:footnote w:id="1115">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6">
    <w:p>
      <w:pPr>
        <w:pStyle w:val="Funote"/>
        <w:rPr/>
      </w:pPr>
      <w:r>
        <w:rPr/>
        <w:footnoteRef/>
        <w:tab/>
        <w:t>Die Pforten des Hades sind im Weltbild des Alten Israel die Eingänge zur Unterwelt, dem »Hades«. S. auch dazu die Anmerkungen und vgl. zu Näherem z.B. Lewis 1995.</w:t>
      </w:r>
    </w:p>
  </w:footnote>
  <w:footnote w:id="1117">
    <w:p>
      <w:pPr>
        <w:pStyle w:val="Funote"/>
        <w:rPr/>
      </w:pPr>
      <w:r>
        <w:rPr/>
        <w:footnoteRef/>
        <w:tab/>
        <w:t>sie (es) - Gr. autäs könnte sich entweder beziehen auf petra (»Gefels«) oder, syntaktisch wahrscheinlicher, ekkläsia (»Gemeinde«); vgl. z.B. Luz 1990, S. 464.</w:t>
      </w:r>
    </w:p>
  </w:footnote>
  <w:footnote w:id="1118">
    <w:p>
      <w:pPr>
        <w:pStyle w:val="Funote"/>
        <w:rPr/>
      </w:pPr>
      <w:r>
        <w:rPr/>
        <w:footnoteRef/>
        <w:tab/>
        <w:t>Zu diesem Vers s. die Anmerkungen.</w:t>
      </w:r>
    </w:p>
  </w:footnote>
  <w:footnote w:id="1119">
    <w:p>
      <w:pPr>
        <w:pStyle w:val="Funote"/>
        <w:rPr/>
      </w:pPr>
      <w:r>
        <w:rPr>
          <w:i/>
        </w:rPr>
        <w:footnoteRef/>
        <w:tab/>
        <w:t>müsse</w:t>
      </w:r>
      <w:r>
        <w:rPr/>
        <w:t xml:space="preserve"> - Signalwort im NT: Was </w:t>
      </w:r>
      <w:r>
        <w:rPr>
          <w:i/>
        </w:rPr>
        <w:t>dei</w:t>
      </w:r>
      <w:r>
        <w:rPr/>
        <w:t xml:space="preserve"> („[sein] muss“), ist Teil des göttlichen Heilsplans: Gott hat die in V. 21 zusammengefassten Begebenheiten vorausgeplant und sie spielen eine wichtige Rolle in seinem Plan für seine Schöpfung.</w:t>
      </w:r>
    </w:p>
  </w:footnote>
  <w:footnote w:id="1120">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1">
    <w:p>
      <w:pPr>
        <w:pStyle w:val="Funote"/>
        <w:rPr/>
      </w:pPr>
      <w:r>
        <w:rPr>
          <w:i/>
        </w:rPr>
        <w:footnoteRef/>
        <w:tab/>
        <w:t>Geh hinter mich (geh weg von mir, lass mich in Ruhe)</w:t>
      </w:r>
      <w:r>
        <w:rPr/>
        <w:t xml:space="preserve"> - Gr. </w:t>
      </w:r>
      <w:r>
        <w:rPr>
          <w:i/>
        </w:rPr>
        <w:t>hupage opiso mou</w:t>
      </w:r>
      <w:r>
        <w:rPr/>
        <w:t xml:space="preserve">; mehrdeutiger Ausdruck: Er könnte sowohl eine eine entschiedene Zurückweisung sein („Weg von mir!“) als auch ein Aufruf zur Nachfolge, was v.a. die ganz ähnlich formulierte Rede von der Nachfolge im nächsten Vers nahelegt: </w:t>
      </w:r>
      <w:r>
        <w:rPr>
          <w:i/>
        </w:rPr>
        <w:t>ei tis thelei opiso mou elthein</w:t>
      </w:r>
      <w:r>
        <w:rPr/>
        <w:t xml:space="preserve"> („Wenn einer hinter mir gehen will“, d.h. „mir nachfolgen will“).</w:t>
      </w:r>
    </w:p>
  </w:footnote>
  <w:footnote w:id="1122">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3">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4">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5">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6">
    <w:p>
      <w:pPr>
        <w:pStyle w:val="Funote"/>
        <w:rPr/>
      </w:pPr>
      <w:r>
        <w:rPr/>
        <w:footnoteRef/>
        <w:tab/>
        <w:t>[Status: Zuverlässig]</w:t>
      </w:r>
    </w:p>
  </w:footnote>
  <w:footnote w:id="1127">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8">
    <w:p>
      <w:pPr>
        <w:pStyle w:val="Funote"/>
        <w:rPr/>
      </w:pPr>
      <w:r>
        <w:rPr/>
        <w:footnoteRef/>
        <w:tab/>
        <w:t xml:space="preserve">Die Formulierung </w:t>
      </w:r>
      <w:r>
        <w:rPr>
          <w:lang w:val="el-GR"/>
        </w:rPr>
        <w:t>ἄγγελος κύριου</w:t>
      </w:r>
      <w:r>
        <w:rPr/>
        <w:t xml:space="preserve"> („Bote des Herrn“) bezeichnet in der Septuaginta Gottes Engel (vgl. </w:t>
      </w:r>
      <w:hyperlink r:id="rId128">
        <w:r>
          <w:rPr>
            <w:rStyle w:val="Internetlink"/>
          </w:rPr>
          <w:t>Exodus 3</w:t>
        </w:r>
      </w:hyperlink>
      <w:r>
        <w:rPr/>
        <w:t xml:space="preserve"> und </w:t>
      </w:r>
      <w:hyperlink r:id="rId129">
        <w:r>
          <w:rPr>
            <w:rStyle w:val="Internetlink"/>
          </w:rPr>
          <w:t>Richter 6</w:t>
        </w:r>
      </w:hyperlink>
      <w:r>
        <w:rPr/>
        <w:t>). Hier im Neuen Testament bezieht sich „der Herr“ gleichzeitig auch auf Jesus.</w:t>
      </w:r>
    </w:p>
  </w:footnote>
  <w:footnote w:id="1129">
    <w:p>
      <w:pPr>
        <w:pStyle w:val="Funote"/>
        <w:rPr/>
      </w:pPr>
      <w:r>
        <w:rPr/>
        <w:footnoteRef/>
        <w:tab/>
        <w:t>Partizipien Aorist Aktiv</w:t>
      </w:r>
    </w:p>
  </w:footnote>
  <w:footnote w:id="1130">
    <w:p>
      <w:pPr>
        <w:pStyle w:val="Funote"/>
        <w:rPr/>
      </w:pPr>
      <w:r>
        <w:rPr/>
        <w:footnoteRef/>
        <w:tab/>
        <w:t>Einige Handschriften ergänzen: „vom Eingang“ oder „vom Eingang des Grabes“.</w:t>
      </w:r>
    </w:p>
  </w:footnote>
  <w:footnote w:id="1131">
    <w:p>
      <w:pPr>
        <w:pStyle w:val="Funote"/>
        <w:rPr/>
      </w:pPr>
      <w:r>
        <w:rPr/>
        <w:footnoteRef/>
        <w:tab/>
        <w:t>Partizip Aorist Deponens</w:t>
      </w:r>
    </w:p>
  </w:footnote>
  <w:footnote w:id="1132">
    <w:p>
      <w:pPr>
        <w:pStyle w:val="Funote"/>
        <w:rPr/>
      </w:pPr>
      <w:r>
        <w:rPr/>
        <w:footnoteRef/>
        <w:tab/>
        <w:t>Das »ihr« ist sprachlich betont. (Siehe die Übersetzung bei U.Luz 2002, 395).</w:t>
      </w:r>
    </w:p>
  </w:footnote>
  <w:footnote w:id="1133">
    <w:p>
      <w:pPr>
        <w:pStyle w:val="Funote"/>
        <w:rPr/>
      </w:pPr>
      <w:r>
        <w:rPr/>
        <w:footnoteRef/>
        <w:tab/>
        <w:t>Einige Handschriften: „wo der Herr“.</w:t>
      </w:r>
    </w:p>
  </w:footnote>
  <w:footnote w:id="1134">
    <w:p>
      <w:pPr>
        <w:pStyle w:val="Funote"/>
        <w:rPr/>
      </w:pPr>
      <w:r>
        <w:rPr/>
        <w:footnoteRef/>
        <w:tab/>
        <w:t>Partizip Aorist Deponens</w:t>
      </w:r>
    </w:p>
  </w:footnote>
  <w:footnote w:id="1135">
    <w:p>
      <w:pPr>
        <w:pStyle w:val="Funote"/>
        <w:rPr/>
      </w:pPr>
      <w:hyperlink r:id="rId130">
        <w:r>
          <w:rPr>
            <w:rStyle w:val="Internetlink"/>
          </w:rPr>
          <w:footnoteRef/>
          <w:tab/>
          <w:t>Generisches Maskulinum</w:t>
        </w:r>
      </w:hyperlink>
      <w:r>
        <w:rPr/>
        <w:t>.</w:t>
      </w:r>
    </w:p>
  </w:footnote>
  <w:footnote w:id="1136">
    <w:p>
      <w:pPr>
        <w:pStyle w:val="Funote"/>
        <w:rPr/>
      </w:pPr>
      <w:r>
        <w:rPr/>
        <w:footnoteRef/>
        <w:tab/>
        <w:t>Partizip Aorist Aktiv</w:t>
      </w:r>
    </w:p>
  </w:footnote>
  <w:footnote w:id="1137">
    <w:p>
      <w:pPr>
        <w:pStyle w:val="Funote"/>
        <w:rPr/>
      </w:pPr>
      <w:r>
        <w:rPr/>
        <w:footnoteRef/>
        <w:tab/>
        <w:t>Viele Handschriften: „hinaus aus dem Grab“. Bei dem vermutlich ursprünglichen „hinaus“ bleibt offen, ob die Frauen ins Grab gehen oder nicht. (Vgl. U.Luz 2002, 395, Fußnote 5.)</w:t>
      </w:r>
    </w:p>
  </w:footnote>
  <w:footnote w:id="1138">
    <w:p>
      <w:pPr>
        <w:pStyle w:val="Funote"/>
        <w:rPr/>
      </w:pPr>
      <w:r>
        <w:rPr/>
        <w:footnoteRef/>
        <w:tab/>
        <w:t>Die Bibel in gerechter Sprache übersetzt: „mit Ehrfurcht“. Gegen diese Deutung spricht die Wortverwandtschaft mit „Fürchtet euch nicht“ (Vers 5).</w:t>
      </w:r>
    </w:p>
  </w:footnote>
  <w:footnote w:id="1139">
    <w:p>
      <w:pPr>
        <w:pStyle w:val="Funote"/>
        <w:rPr/>
      </w:pPr>
      <w:r>
        <w:rPr/>
        <w:footnoteRef/>
        <w:tab/>
        <w:t>Viele Handschriften ergänzen: „als (während, weil) sie gingen, um es seinen Jüngern (Jüngerinnen) zu berichten“.</w:t>
      </w:r>
    </w:p>
  </w:footnote>
  <w:footnote w:id="1140">
    <w:p>
      <w:pPr>
        <w:pStyle w:val="Funote"/>
        <w:rPr/>
      </w:pPr>
      <w:r>
        <w:rPr/>
        <w:footnoteRef/>
        <w:tab/>
        <w:t>Partizip Präsens Aktiv</w:t>
      </w:r>
    </w:p>
  </w:footnote>
  <w:footnote w:id="1141">
    <w:p>
      <w:pPr>
        <w:pStyle w:val="Funote"/>
        <w:rPr/>
      </w:pPr>
      <w:r>
        <w:rPr/>
        <w:footnoteRef/>
        <w:tab/>
        <w:t>„</w:t>
      </w:r>
      <w:r>
        <w:rPr/>
        <w:t>Freut euch“ ist eine griechische Grußformel (Bauer/Aland).</w:t>
      </w:r>
    </w:p>
  </w:footnote>
  <w:footnote w:id="1142">
    <w:p>
      <w:pPr>
        <w:pStyle w:val="Funote"/>
        <w:rPr/>
      </w:pPr>
      <w:r>
        <w:rPr/>
        <w:footnoteRef/>
        <w:tab/>
        <w:t>Partizip Aorist Aktiv</w:t>
      </w:r>
    </w:p>
  </w:footnote>
  <w:footnote w:id="1143">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4">
    <w:p>
      <w:pPr>
        <w:pStyle w:val="Funote"/>
        <w:rPr/>
      </w:pPr>
      <w:r>
        <w:rPr/>
        <w:footnoteRef/>
        <w:tab/>
        <w:t xml:space="preserve">Partizip Präsens Deponens im </w:t>
      </w:r>
      <w:hyperlink r:id="rId131">
        <w:r>
          <w:rPr>
            <w:rStyle w:val="Internetlink"/>
          </w:rPr>
          <w:t>Genitivus absolutus</w:t>
        </w:r>
      </w:hyperlink>
    </w:p>
  </w:footnote>
  <w:footnote w:id="1145">
    <w:p>
      <w:pPr>
        <w:pStyle w:val="Funote"/>
        <w:rPr/>
      </w:pPr>
      <w:r>
        <w:rPr/>
        <w:footnoteRef/>
        <w:tab/>
        <w:t>Partizip Aorist Aktiv</w:t>
      </w:r>
    </w:p>
  </w:footnote>
  <w:footnote w:id="1146">
    <w:p>
      <w:pPr>
        <w:pStyle w:val="Funote"/>
        <w:rPr/>
      </w:pPr>
      <w:r>
        <w:rPr/>
        <w:footnoteRef/>
        <w:tab/>
        <w:t>Partizipien Aorist Passiv und Aorist Aktiv</w:t>
      </w:r>
    </w:p>
  </w:footnote>
  <w:footnote w:id="1147">
    <w:p>
      <w:pPr>
        <w:pStyle w:val="Funote"/>
        <w:rPr/>
      </w:pPr>
      <w:r>
        <w:rPr/>
        <w:footnoteRef/>
        <w:tab/>
        <w:t>Partizip Präsens Aktiv</w:t>
      </w:r>
    </w:p>
  </w:footnote>
  <w:footnote w:id="1148">
    <w:p>
      <w:pPr>
        <w:pStyle w:val="Funote"/>
        <w:rPr/>
      </w:pPr>
      <w:hyperlink r:id="rId132">
        <w:r>
          <w:rPr>
            <w:rStyle w:val="Internetlink"/>
          </w:rPr>
          <w:footnoteRef/>
          <w:tab/>
          <w:t>Ὅτι recitativum"&gt;</w:t>
        </w:r>
        <w:r>
          <w:rPr>
            <w:rStyle w:val="Internetlink"/>
            <w:lang w:val="el-GR"/>
          </w:rPr>
          <w:t>Ὅτι</w:t>
        </w:r>
        <w:r>
          <w:rPr>
            <w:rStyle w:val="Internetlink"/>
          </w:rPr>
          <w:t xml:space="preserve"> recitativum</w:t>
        </w:r>
      </w:hyperlink>
    </w:p>
  </w:footnote>
  <w:footnote w:id="1149">
    <w:p>
      <w:pPr>
        <w:pStyle w:val="Funote"/>
        <w:rPr/>
      </w:pPr>
      <w:r>
        <w:rPr/>
        <w:footnoteRef/>
        <w:tab/>
        <w:t>Partizip Aorist Aktiv</w:t>
      </w:r>
    </w:p>
  </w:footnote>
  <w:footnote w:id="1150">
    <w:p>
      <w:pPr>
        <w:pStyle w:val="Funote"/>
        <w:rPr/>
      </w:pPr>
      <w:r>
        <w:rPr/>
        <w:footnoteRef/>
        <w:tab/>
        <w:t>Partizip Präsens Passiv</w:t>
      </w:r>
    </w:p>
  </w:footnote>
  <w:footnote w:id="1151">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2">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3">
    <w:p>
      <w:pPr>
        <w:pStyle w:val="Funote"/>
        <w:rPr/>
      </w:pPr>
      <w:r>
        <w:rPr/>
        <w:footnoteRef/>
        <w:tab/>
        <w:t>wörtlich: und euch sorgenfrei machen</w:t>
      </w:r>
    </w:p>
  </w:footnote>
  <w:footnote w:id="1154">
    <w:p>
      <w:pPr>
        <w:pStyle w:val="Funote"/>
        <w:rPr/>
      </w:pPr>
      <w:r>
        <w:rPr/>
        <w:footnoteRef/>
        <w:tab/>
        <w:t>Partizip Aorist Aktiv</w:t>
      </w:r>
    </w:p>
  </w:footnote>
  <w:footnote w:id="1155">
    <w:p>
      <w:pPr>
        <w:pStyle w:val="Funote"/>
        <w:rPr/>
      </w:pPr>
      <w:r>
        <w:rPr/>
        <w:footnoteRef/>
        <w:tab/>
        <w:t>andere Handschriften: erschien</w:t>
      </w:r>
    </w:p>
  </w:footnote>
  <w:footnote w:id="1156">
    <w:p>
      <w:pPr>
        <w:pStyle w:val="Funote"/>
        <w:rPr/>
      </w:pPr>
      <w:r>
        <w:rPr/>
        <w:footnoteRef/>
        <w:tab/>
        <w:t>Es handelt sich nicht um alle Juden, da im Text kein bestimmter Artikel steht (U.Luz 2002, 423–425).</w:t>
      </w:r>
    </w:p>
  </w:footnote>
  <w:footnote w:id="1157">
    <w:p>
      <w:pPr>
        <w:pStyle w:val="Funote"/>
        <w:rPr/>
      </w:pPr>
      <w:r>
        <w:rPr/>
        <w:footnoteRef/>
        <w:tab/>
        <w:t>Partizip Präsens Aktiv</w:t>
      </w:r>
    </w:p>
  </w:footnote>
  <w:footnote w:id="1158">
    <w:p>
      <w:pPr>
        <w:pStyle w:val="Funote"/>
        <w:rPr/>
      </w:pPr>
      <w:r>
        <w:rPr/>
        <w:footnoteRef/>
        <w:tab/>
        <w:t>Siehe Fußnote zu Vers 9.</w:t>
      </w:r>
    </w:p>
  </w:footnote>
  <w:footnote w:id="1159">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60">
    <w:p>
      <w:pPr>
        <w:pStyle w:val="Funote"/>
        <w:rPr/>
      </w:pPr>
      <w:r>
        <w:rPr/>
        <w:footnoteRef/>
        <w:tab/>
        <w:t>Partizip Präsens aktiv</w:t>
      </w:r>
    </w:p>
  </w:footnote>
  <w:footnote w:id="1161">
    <w:p>
      <w:pPr>
        <w:pStyle w:val="Funote"/>
        <w:rPr/>
      </w:pPr>
      <w:hyperlink r:id="rId133">
        <w:r>
          <w:rPr>
            <w:rStyle w:val="Internetlink"/>
          </w:rPr>
          <w:footnoteRef/>
          <w:tab/>
          <w:t>Passivum divinum</w:t>
        </w:r>
      </w:hyperlink>
    </w:p>
  </w:footnote>
  <w:footnote w:id="1162">
    <w:p>
      <w:pPr>
        <w:pStyle w:val="Funote"/>
        <w:rPr/>
      </w:pPr>
      <w:r>
        <w:rPr/>
        <w:footnoteRef/>
        <w:tab/>
        <w:t>Der bestimmte Artikel fehlt in vielen wichtigen Handschriften.</w:t>
      </w:r>
    </w:p>
  </w:footnote>
  <w:footnote w:id="1163">
    <w:p>
      <w:pPr>
        <w:pStyle w:val="Funote"/>
        <w:rPr/>
      </w:pPr>
      <w:r>
        <w:rPr/>
        <w:footnoteRef/>
        <w:tab/>
        <w:t>Partizip Präsens aktiv</w:t>
      </w:r>
    </w:p>
  </w:footnote>
  <w:footnote w:id="1164">
    <w:p>
      <w:pPr>
        <w:pStyle w:val="Funote"/>
        <w:rPr/>
      </w:pPr>
      <w:r>
        <w:rPr/>
        <w:footnoteRef/>
        <w:tab/>
        <w:t>[Status: Sehr gut]</w:t>
      </w:r>
    </w:p>
  </w:footnote>
  <w:footnote w:id="1165">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vom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 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6">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 Jesus Christus, dem Sohn Gottes Der Zusatz „dem Sohn Gottes“ fehlt in einigen Handschriften und ist möglicherweise eine nachträgliche Einfügung. Wahrscheinlich gehören die beiden Wörter jedoch zum ursprünglichen Text. Wie diese Variante entstanden ist, lässt sich nicht sicher rekonstruieren. Viele Kommentare lassen die Frage daher offen oder tendieren eher zum kürzeren Text. Eine stemmatische Analyse hat jedoch ergeben, dass es der längere Text wahrscheinlich ursprünglich ist (Wasserman 2015).</w:t>
      </w:r>
    </w:p>
  </w:footnote>
  <w:footnote w:id="1167">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8">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9">
    <w:p>
      <w:pPr>
        <w:pStyle w:val="Funote"/>
        <w:rPr/>
      </w:pPr>
      <w:r>
        <w:rPr>
          <w:i/>
        </w:rPr>
        <w:footnoteRef/>
        <w:tab/>
        <w:t>Stimme eines Rufenden in der Wüste</w:t>
      </w:r>
      <w:r>
        <w:rPr/>
        <w:t xml:space="preserve"> Dass hier kein Verb steht, liegt daran, dass der griechische AT-Text sehr wörtlich aus dem Hebräischen übersetzt ist, wo solche gerafften, verblosen Formulierungen nicht ungewöhnlich sind. </w:t>
      </w:r>
    </w:p>
  </w:footnote>
  <w:footnote w:id="1170">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1171">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2">
    <w:p>
      <w:pPr>
        <w:pStyle w:val="Funote"/>
        <w:rPr/>
      </w:pPr>
      <w:r>
        <w:rPr>
          <w:i/>
        </w:rPr>
        <w:footnoteRef/>
        <w:tab/>
        <w:t>Johannes der Täufer</w:t>
      </w:r>
      <w:r>
        <w:rPr/>
        <w:t xml:space="preserve"> und </w:t>
      </w:r>
      <w:r>
        <w:rPr>
          <w:i/>
        </w:rPr>
        <w:t>Johannes, der in der Wüste taufte</w:t>
      </w:r>
      <w:r>
        <w:rPr/>
        <w:t>: Es gibt an dieser Stelle leicht verschiedene Lesarten in den Handschriften.</w:t>
      </w:r>
    </w:p>
  </w:footnote>
  <w:footnote w:id="1173">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4">
    <w:p>
      <w:pPr>
        <w:pStyle w:val="Funote"/>
        <w:rPr/>
      </w:pPr>
      <w:r>
        <w:rPr>
          <w:i/>
        </w:rPr>
        <w:footnoteRef/>
        <w:tab/>
        <w:t>das gesamte judäische Gebiet</w:t>
      </w:r>
      <w:r>
        <w:rPr/>
        <w:t xml:space="preserve"> Hier sind zwei Stilmittel verflochten. Das </w:t>
      </w:r>
      <w:r>
        <w:rPr>
          <w:i/>
        </w:rPr>
        <w:t>judäische Gebiet</w:t>
      </w:r>
      <w:r>
        <w:rPr/>
        <w:t xml:space="preserve"> steht für dessen Bewohner (Metonymie des Subjekts). Und dass es alle waren, ist natürlich eine Übertreibung (Hyperbel).</w:t>
      </w:r>
    </w:p>
  </w:footnote>
  <w:footnote w:id="1175">
    <w:p>
      <w:pPr>
        <w:pStyle w:val="Funote"/>
        <w:rPr/>
      </w:pPr>
      <w:r>
        <w:rPr>
          <w:i/>
        </w:rPr>
        <w:footnoteRef/>
        <w:tab/>
        <w:t>begaben sich hinaus</w:t>
      </w:r>
      <w:r>
        <w:rPr/>
        <w:t xml:space="preserve"> Im Griechischen im Sg., als Prädikat zur „gesamten judäischen Region“.</w:t>
      </w:r>
    </w:p>
  </w:footnote>
  <w:footnote w:id="1176">
    <w:p>
      <w:pPr>
        <w:pStyle w:val="Funote"/>
        <w:rPr/>
      </w:pPr>
      <w:r>
        <w:rPr/>
        <w:footnoteRef/>
        <w:tab/>
        <w:t xml:space="preserve">Die beiden Imperfekte </w:t>
      </w:r>
      <w:r>
        <w:rPr>
          <w:i/>
        </w:rPr>
        <w:t>begaben sich hinaus</w:t>
      </w:r>
      <w:r>
        <w:rPr/>
        <w:t xml:space="preserve"> und </w:t>
      </w:r>
      <w:r>
        <w:rPr>
          <w:i/>
        </w:rPr>
        <w:t>ließen sich taufen</w:t>
      </w:r>
      <w:r>
        <w:rPr/>
        <w:t xml:space="preserve"> bringen in V. 5 zum Ausdruck, dass Johannes über einen längeren Zeitraum hinweg Menschenmengen anzog. </w:t>
      </w:r>
    </w:p>
  </w:footnote>
  <w:footnote w:id="1177">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8">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9">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80">
    <w:p>
      <w:pPr>
        <w:pStyle w:val="Funote"/>
        <w:rPr/>
      </w:pPr>
      <w:r>
        <w:rPr>
          <w:i/>
        </w:rPr>
        <w:footnoteRef/>
        <w:tab/>
        <w:t>predigte</w:t>
      </w:r>
      <w:r>
        <w:rPr/>
        <w:t xml:space="preserve"> Das </w:t>
      </w:r>
      <w:hyperlink r:id="rId134">
        <w:r>
          <w:rPr>
            <w:rStyle w:val="Internetlink"/>
          </w:rPr>
          <w:t>Imperfekt</w:t>
        </w:r>
      </w:hyperlink>
      <w:r>
        <w:rPr/>
        <w:t xml:space="preserve">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 </w:t>
      </w:r>
    </w:p>
  </w:footnote>
  <w:footnote w:id="1181">
    <w:p>
      <w:pPr>
        <w:pStyle w:val="Funote"/>
        <w:rPr/>
      </w:pPr>
      <w:r>
        <w:rPr>
          <w:i/>
        </w:rPr>
        <w:footnoteRef/>
        <w:tab/>
        <w:t>[einer], der mächtiger [ist] als ich</w:t>
      </w:r>
      <w:r>
        <w:rPr/>
        <w:t xml:space="preserve"> Gr. </w:t>
      </w:r>
      <w:r>
        <w:rPr>
          <w:lang w:val="el-GR"/>
        </w:rPr>
        <w:t>ὁ ἰσχυρότερός μου</w:t>
      </w:r>
      <w:r>
        <w:rPr/>
        <w:t xml:space="preserve">, W. „der Mächtigere als ich“. </w:t>
      </w:r>
    </w:p>
  </w:footnote>
  <w:footnote w:id="1182">
    <w:p>
      <w:pPr>
        <w:pStyle w:val="Funote"/>
        <w:rPr/>
      </w:pPr>
      <w:r>
        <w:rPr/>
        <w:footnoteRef/>
        <w:tab/>
        <w:t>mich zu bücken und Adverbiales Partizip Aorist aktiv, hier einmal gleichzeitig übersetzt (modal; vgl. NSS). In der Klammer ist das griechische mit dem deutschen Partizip 2 übersetzt.</w:t>
      </w:r>
    </w:p>
  </w:footnote>
  <w:footnote w:id="1183">
    <w:p>
      <w:pPr>
        <w:pStyle w:val="Funote"/>
        <w:rPr/>
      </w:pPr>
      <w:r>
        <w:rPr>
          <w:i/>
        </w:rPr>
        <w:footnoteRef/>
        <w:tab/>
        <w:t>ihm</w:t>
      </w:r>
      <w:r>
        <w:rPr/>
        <w:t xml:space="preserve"> Eigentlich ein Relativpronomen („dem“), das den Satz vom vorigen abhängig macht: „dem ich nicht würdig bin...“</w:t>
      </w:r>
    </w:p>
  </w:footnote>
  <w:footnote w:id="1184">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5">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6">
    <w:p>
      <w:pPr>
        <w:pStyle w:val="Funote"/>
        <w:rPr/>
      </w:pPr>
      <w:r>
        <w:rPr>
          <w:i/>
        </w:rPr>
        <w:footnoteRef/>
        <w:tab/>
        <w:t>als … stieg</w:t>
      </w:r>
      <w:r>
        <w:rPr/>
        <w:t xml:space="preserve"> </w:t>
      </w:r>
      <w:hyperlink r:id="rId135">
        <w:r>
          <w:rPr>
            <w:rStyle w:val="Internetlink"/>
          </w:rPr>
          <w:t>Partizip</w:t>
        </w:r>
      </w:hyperlink>
      <w:r>
        <w:rPr/>
        <w:t xml:space="preserve"> Präsens aktiv (temporal übersetztes Ptz. conj.).</w:t>
      </w:r>
    </w:p>
  </w:footnote>
  <w:footnote w:id="1187">
    <w:p>
      <w:pPr>
        <w:pStyle w:val="Funote"/>
        <w:rPr/>
      </w:pPr>
      <w:r>
        <w:rPr/>
        <w:footnoteRef/>
        <w:tab/>
        <w:t>Gr. im Pl. „die Himmel“</w:t>
      </w:r>
    </w:p>
  </w:footnote>
  <w:footnote w:id="1188">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9">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90">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1">
    <w:p>
      <w:pPr>
        <w:pStyle w:val="Funote"/>
        <w:rPr/>
      </w:pPr>
      <w:r>
        <w:rPr>
          <w:i/>
        </w:rPr>
        <w:footnoteRef/>
        <w:tab/>
        <w:t>dem Himmel</w:t>
      </w:r>
      <w:r>
        <w:rPr/>
        <w:t xml:space="preserve"> Gr. Pl. „den Himmeln“</w:t>
      </w:r>
    </w:p>
  </w:footnote>
  <w:footnote w:id="1192">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3">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4">
    <w:p>
      <w:pPr>
        <w:pStyle w:val="Funote"/>
        <w:rPr/>
      </w:pPr>
      <w:r>
        <w:rPr>
          <w:i/>
        </w:rPr>
        <w:footnoteRef/>
        <w:tab/>
        <w:t>und (während/wobei) wurde auf die Probe gestellt</w:t>
      </w:r>
      <w:r>
        <w:rPr/>
        <w:t xml:space="preserve"> </w:t>
      </w:r>
      <w:hyperlink r:id="rId136">
        <w:r>
          <w:rPr>
            <w:rStyle w:val="Internetlink"/>
          </w:rPr>
          <w:t>Ptz. coni.</w:t>
        </w:r>
      </w:hyperlink>
      <w:r>
        <w:rPr/>
        <w:t xml:space="preserve">, temporal-modal, als Nebensatz aufgelöst. </w:t>
      </w:r>
    </w:p>
  </w:footnote>
  <w:footnote w:id="1195">
    <w:p>
      <w:pPr>
        <w:pStyle w:val="Funote"/>
        <w:rPr/>
      </w:pPr>
      <w:r>
        <w:rPr>
          <w:i/>
        </w:rPr>
        <w:footnoteRef/>
        <w:tab/>
        <w:t>verhaftet</w:t>
      </w:r>
      <w:r>
        <w:rPr/>
        <w:t xml:space="preserve">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 </w:t>
      </w:r>
    </w:p>
  </w:footnote>
  <w:footnote w:id="1196">
    <w:p>
      <w:pPr>
        <w:pStyle w:val="Funote"/>
        <w:rPr/>
      </w:pPr>
      <w:r>
        <w:rPr>
          <w:i/>
        </w:rPr>
        <w:footnoteRef/>
        <w:tab/>
        <w:t>verkündete</w:t>
      </w:r>
      <w:r>
        <w:rPr/>
        <w:t xml:space="preserve"> Temporal-modales </w:t>
      </w:r>
      <w:hyperlink r:id="rId137">
        <w:r>
          <w:rPr>
            <w:rStyle w:val="Internetlink"/>
          </w:rPr>
          <w:t>Ptz. conj.</w:t>
        </w:r>
      </w:hyperlink>
      <w:r>
        <w:rPr/>
        <w:t xml:space="preserve"> (Partizip Präsens aktiv), durch Beiordnung mit „und“ übersetzt. </w:t>
      </w:r>
    </w:p>
  </w:footnote>
  <w:footnote w:id="1197">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8">
    <w:p>
      <w:pPr>
        <w:pStyle w:val="Funote"/>
        <w:rPr/>
      </w:pPr>
      <w:r>
        <w:rPr>
          <w:i/>
        </w:rPr>
        <w:footnoteRef/>
        <w:tab/>
        <w:t>sagte</w:t>
      </w:r>
      <w:r>
        <w:rPr/>
        <w:t xml:space="preserve"> Temporal-modales </w:t>
      </w:r>
      <w:hyperlink r:id="rId138">
        <w:r>
          <w:rPr>
            <w:rStyle w:val="Internetlink"/>
          </w:rPr>
          <w:t>Ptz. conj.</w:t>
        </w:r>
      </w:hyperlink>
      <w:r>
        <w:rPr/>
        <w:t xml:space="preserve"> (Partizip Präsens aktiv), das durch und mit dem Partizip </w:t>
      </w:r>
      <w:r>
        <w:rPr>
          <w:i/>
        </w:rPr>
        <w:t>predigte</w:t>
      </w:r>
      <w:r>
        <w:rPr/>
        <w:t xml:space="preserve"> aus dem letzten Vers verbunden ist und auch so aufgelöst wurde. Die Konstruktion weist die folgende direkte Rede als die Kernbotschaft von Jesu Verkündigung aus. </w:t>
      </w:r>
    </w:p>
  </w:footnote>
  <w:footnote w:id="1199">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200">
    <w:p>
      <w:pPr>
        <w:pStyle w:val="Funote"/>
        <w:rPr/>
      </w:pPr>
      <w:r>
        <w:rPr/>
        <w:footnoteRef/>
        <w:tab/>
        <w:t>Zu ergänzen</w:t>
      </w:r>
    </w:p>
  </w:footnote>
  <w:footnote w:id="1201">
    <w:p>
      <w:pPr>
        <w:pStyle w:val="Funote"/>
        <w:rPr/>
      </w:pPr>
      <w:r>
        <w:rPr>
          <w:i/>
        </w:rPr>
        <w:footnoteRef/>
        <w:tab/>
        <w:t>während … entlangging</w:t>
      </w:r>
      <w:r>
        <w:rPr/>
        <w:t xml:space="preserve"> </w:t>
      </w:r>
      <w:hyperlink r:id="rId139">
        <w:r>
          <w:rPr>
            <w:rStyle w:val="Internetlink"/>
          </w:rPr>
          <w:t>Ptz. conj.</w:t>
        </w:r>
      </w:hyperlink>
      <w:r>
        <w:rPr/>
        <w:t xml:space="preserve"> mit temporaler Sinnrichtung (Partizip Präsens aktiv), als Nebensatz mit </w:t>
      </w:r>
      <w:r>
        <w:rPr>
          <w:i/>
        </w:rPr>
        <w:t>während</w:t>
      </w:r>
      <w:r>
        <w:rPr/>
        <w:t xml:space="preserve"> übersetzt (ebenfalls möglich: „als, gerade“).</w:t>
      </w:r>
    </w:p>
  </w:footnote>
  <w:footnote w:id="1202">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3">
    <w:p>
      <w:pPr>
        <w:pStyle w:val="Funote"/>
        <w:rPr/>
      </w:pPr>
      <w:r>
        <w:rPr/>
        <w:footnoteRef/>
        <w:tab/>
        <w:t xml:space="preserve">W. ein </w:t>
      </w:r>
      <w:hyperlink r:id="rId140">
        <w:r>
          <w:rPr>
            <w:rStyle w:val="Internetlink"/>
          </w:rPr>
          <w:t>AcI</w:t>
        </w:r>
      </w:hyperlink>
      <w:r>
        <w:rPr/>
        <w:t xml:space="preserve">,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 </w:t>
      </w:r>
    </w:p>
  </w:footnote>
  <w:footnote w:id="1204">
    <w:p>
      <w:pPr>
        <w:pStyle w:val="Funote"/>
        <w:rPr/>
      </w:pPr>
      <w:r>
        <w:rPr>
          <w:i/>
        </w:rPr>
        <w:footnoteRef/>
        <w:tab/>
        <w:t>ließen sie ... und</w:t>
      </w:r>
      <w:r>
        <w:rPr/>
        <w:t xml:space="preserve"> Temporal-modales </w:t>
      </w:r>
      <w:hyperlink r:id="rId141">
        <w:r>
          <w:rPr>
            <w:rStyle w:val="Internetlink"/>
          </w:rPr>
          <w:t>Ptc. coni.</w:t>
        </w:r>
      </w:hyperlink>
      <w:r>
        <w:rPr/>
        <w:t xml:space="preserve">, mit „und“ beigeordnet. </w:t>
      </w:r>
    </w:p>
  </w:footnote>
  <w:footnote w:id="1205">
    <w:p>
      <w:pPr>
        <w:pStyle w:val="Funote"/>
        <w:rPr/>
      </w:pPr>
      <w:r>
        <w:rPr>
          <w:i/>
        </w:rPr>
        <w:footnoteRef/>
        <w:tab/>
        <w:t>nachdem er weitergegangen war</w:t>
      </w:r>
      <w:r>
        <w:rPr/>
        <w:t xml:space="preserve"> </w:t>
      </w:r>
      <w:hyperlink r:id="rId142">
        <w:r>
          <w:rPr>
            <w:rStyle w:val="Internetlink"/>
          </w:rPr>
          <w:t>Ptc. coni.</w:t>
        </w:r>
      </w:hyperlink>
      <w:r>
        <w:rPr/>
        <w:t xml:space="preserve"> (Partizip Aorist aktiv), temporal als Nebensatz mit </w:t>
      </w:r>
      <w:r>
        <w:rPr>
          <w:i/>
        </w:rPr>
        <w:t>nachdem</w:t>
      </w:r>
      <w:r>
        <w:rPr/>
        <w:t xml:space="preserve"> übersetzt. </w:t>
      </w:r>
    </w:p>
  </w:footnote>
  <w:footnote w:id="1206">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7">
    <w:p>
      <w:pPr>
        <w:pStyle w:val="Funote"/>
        <w:rPr/>
      </w:pPr>
      <w:r>
        <w:rPr>
          <w:i/>
        </w:rPr>
        <w:footnoteRef/>
        <w:tab/>
        <w:t>gingen</w:t>
      </w:r>
      <w:r>
        <w:rPr/>
        <w:t xml:space="preserve"> W. „gingen weg“. </w:t>
      </w:r>
    </w:p>
  </w:footnote>
  <w:footnote w:id="1208">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9">
    <w:p>
      <w:pPr>
        <w:pStyle w:val="Funote"/>
        <w:rPr/>
      </w:pPr>
      <w:r>
        <w:rPr>
          <w:i/>
        </w:rPr>
        <w:footnoteRef/>
        <w:tab/>
        <w:t>begab er sich … und</w:t>
      </w:r>
      <w:r>
        <w:rPr/>
        <w:t xml:space="preserve"> </w:t>
      </w:r>
      <w:hyperlink r:id="rId143">
        <w:r>
          <w:rPr>
            <w:rStyle w:val="Internetlink"/>
          </w:rPr>
          <w:t>Ptz. conj.</w:t>
        </w:r>
      </w:hyperlink>
      <w:r>
        <w:rPr/>
        <w:t xml:space="preserve"> (Ptz. Aor., temporal-modal), durch Beiordnung mit „und“ aufgelöst. </w:t>
      </w:r>
    </w:p>
  </w:footnote>
  <w:footnote w:id="1210">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1">
    <w:p>
      <w:pPr>
        <w:pStyle w:val="Funote"/>
        <w:rPr/>
      </w:pPr>
      <w:r>
        <w:rPr>
          <w:i/>
        </w:rPr>
        <w:footnoteRef/>
        <w:tab/>
        <w:t>begann ... zu lehren</w:t>
      </w:r>
      <w:r>
        <w:rPr/>
        <w:t xml:space="preserve"> </w:t>
      </w:r>
      <w:hyperlink r:id="rId144">
        <w:r>
          <w:rPr>
            <w:rStyle w:val="Internetlink"/>
          </w:rPr>
          <w:t>Inchoatives Imperfekt</w:t>
        </w:r>
      </w:hyperlink>
      <w:r>
        <w:rPr/>
        <w:t xml:space="preserve"> (Siebenthal 2011, §198e). </w:t>
      </w:r>
    </w:p>
  </w:footnote>
  <w:footnote w:id="1212">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3">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4">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5">
    <w:p>
      <w:pPr>
        <w:pStyle w:val="Funote"/>
        <w:rPr/>
      </w:pPr>
      <w:r>
        <w:rPr>
          <w:i/>
        </w:rPr>
        <w:footnoteRef/>
        <w:tab/>
        <w:t>Jesus von Nazaret</w:t>
      </w:r>
      <w:r>
        <w:rPr/>
        <w:t xml:space="preserve"> W. „Jesus [der] Nazarener“. Hier wurde der bekanntere deutsche Name für die Übersetzung gewählt. </w:t>
      </w:r>
    </w:p>
  </w:footnote>
  <w:footnote w:id="1216">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7">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8">
    <w:p>
      <w:pPr>
        <w:pStyle w:val="Funote"/>
        <w:rPr/>
      </w:pPr>
      <w:r>
        <w:rPr>
          <w:i/>
        </w:rPr>
        <w:footnoteRef/>
        <w:tab/>
        <w:t>nachdem … geschüttelt … geschrien</w:t>
      </w:r>
      <w:r>
        <w:rPr/>
        <w:t xml:space="preserve"> </w:t>
      </w:r>
      <w:hyperlink r:id="rId145">
        <w:r>
          <w:rPr>
            <w:rStyle w:val="Internetlink"/>
          </w:rPr>
          <w:t>Ptz. conj.</w:t>
        </w:r>
      </w:hyperlink>
      <w:r>
        <w:rPr/>
        <w:t xml:space="preserve"> (Partizip Aorist aktiv), temporal-modal, hier vorzeitig verstanden und als Nebensatz mit „nachdem“ aufgelöst. </w:t>
      </w:r>
    </w:p>
  </w:footnote>
  <w:footnote w:id="1219">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20">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1">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2">
    <w:p>
      <w:pPr>
        <w:pStyle w:val="Funote"/>
        <w:rPr/>
      </w:pPr>
      <w:r>
        <w:rPr>
          <w:i/>
        </w:rPr>
        <w:footnoteRef/>
        <w:tab/>
        <w:t>verließen … und</w:t>
      </w:r>
      <w:r>
        <w:rPr/>
        <w:t xml:space="preserve"> </w:t>
      </w:r>
      <w:hyperlink r:id="rId146">
        <w:r>
          <w:rPr>
            <w:rStyle w:val="Internetlink"/>
          </w:rPr>
          <w:t>Ptz. conj.</w:t>
        </w:r>
      </w:hyperlink>
      <w:r>
        <w:rPr/>
        <w:t xml:space="preserve"> (Aorist), als temporaler Nebensatz übersetzt. Alternativ mit „als“ oder „nachdem“. </w:t>
      </w:r>
    </w:p>
  </w:footnote>
  <w:footnote w:id="1223">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4">
    <w:p>
      <w:pPr>
        <w:pStyle w:val="Funote"/>
        <w:rPr/>
      </w:pPr>
      <w:r>
        <w:rPr>
          <w:i/>
        </w:rPr>
        <w:footnoteRef/>
        <w:tab/>
        <w:t>ging zu … und</w:t>
      </w:r>
      <w:r>
        <w:rPr/>
        <w:t xml:space="preserve"> </w:t>
      </w:r>
      <w:hyperlink r:id="rId147">
        <w:r>
          <w:rPr>
            <w:rStyle w:val="Internetlink"/>
          </w:rPr>
          <w:t>Beschreibendes Partizip</w:t>
        </w:r>
      </w:hyperlink>
      <w:r>
        <w:rPr/>
        <w:t xml:space="preserve"> modal-temporaler Sinnrichtung, mit „und“ aufgelöst.</w:t>
      </w:r>
    </w:p>
  </w:footnote>
  <w:footnote w:id="1225">
    <w:p>
      <w:pPr>
        <w:pStyle w:val="Funote"/>
        <w:rPr/>
      </w:pPr>
      <w:r>
        <w:rPr>
          <w:i/>
        </w:rPr>
        <w:footnoteRef/>
        <w:tab/>
        <w:t>indem er ihre Hand nahm</w:t>
      </w:r>
      <w:r>
        <w:rPr/>
        <w:t xml:space="preserve"> </w:t>
      </w:r>
      <w:hyperlink r:id="rId148">
        <w:r>
          <w:rPr>
            <w:rStyle w:val="Internetlink"/>
          </w:rPr>
          <w:t>Ptz. conj.</w:t>
        </w:r>
      </w:hyperlink>
      <w:r>
        <w:rPr/>
        <w:t xml:space="preserve">, modal als Nebensatz mit „indem“ aufgelöst. </w:t>
      </w:r>
    </w:p>
  </w:footnote>
  <w:footnote w:id="1226">
    <w:p>
      <w:pPr>
        <w:pStyle w:val="Funote"/>
        <w:rPr/>
      </w:pPr>
      <w:r>
        <w:rPr>
          <w:i/>
        </w:rPr>
        <w:footnoteRef/>
        <w:tab/>
        <w:t>begann, sie zu bedienen</w:t>
      </w:r>
      <w:r>
        <w:rPr/>
        <w:t xml:space="preserve"> Vermutlich </w:t>
      </w:r>
      <w:hyperlink r:id="rId149">
        <w:r>
          <w:rPr>
            <w:rStyle w:val="Internetlink"/>
          </w:rPr>
          <w:t>inchoatives Imperfekt</w:t>
        </w:r>
      </w:hyperlink>
      <w:r>
        <w:rPr/>
        <w:t xml:space="preserve">. </w:t>
      </w:r>
    </w:p>
  </w:footnote>
  <w:footnote w:id="1227">
    <w:p>
      <w:pPr>
        <w:pStyle w:val="Funote"/>
        <w:rPr/>
      </w:pPr>
      <w:r>
        <w:rPr>
          <w:i/>
        </w:rPr>
        <w:footnoteRef/>
        <w:tab/>
        <w:t>Als es Abend geworden war … und</w:t>
      </w:r>
      <w:r>
        <w:rPr/>
        <w:t xml:space="preserve"> Temporales </w:t>
      </w:r>
      <w:hyperlink r:id="rId150">
        <w:r>
          <w:rPr>
            <w:rStyle w:val="Internetlink"/>
          </w:rPr>
          <w:t>Gen. abs.</w:t>
        </w:r>
      </w:hyperlink>
      <w:r>
        <w:rPr/>
        <w:t xml:space="preserve"> (Aorist), temporal-vorzeitig übersetzt, wobei der Nebensatz mit „und“ an den folgenden angeschlossen sowie dessen Konjunktion (als) vorgezogen wurde. Die Leute warteten bis zum Abend, um die Sabbatruhe (vgl. V. 21) zu wahren, die bei Sonnenuntergang endete. </w:t>
      </w:r>
    </w:p>
  </w:footnote>
  <w:footnote w:id="1228">
    <w:p>
      <w:pPr>
        <w:pStyle w:val="Funote"/>
        <w:rPr/>
      </w:pPr>
      <w:r>
        <w:rPr>
          <w:i/>
        </w:rPr>
        <w:footnoteRef/>
        <w:tab/>
        <w:t>brachte</w:t>
      </w:r>
      <w:r>
        <w:rPr/>
        <w:t xml:space="preserve"> (V. 32) / </w:t>
      </w:r>
      <w:r>
        <w:rPr>
          <w:i/>
        </w:rPr>
        <w:t>heilte</w:t>
      </w:r>
      <w:r>
        <w:rPr/>
        <w:t xml:space="preserve"> / </w:t>
      </w:r>
      <w:r>
        <w:rPr>
          <w:i/>
        </w:rPr>
        <w:t>trieb aus</w:t>
      </w:r>
      <w:r>
        <w:rPr/>
        <w:t xml:space="preserve"> / </w:t>
      </w:r>
      <w:r>
        <w:rPr>
          <w:i/>
        </w:rPr>
        <w:t>ließ</w:t>
      </w:r>
      <w:r>
        <w:rPr/>
        <w:t xml:space="preserve"> (V. 34) Das </w:t>
      </w:r>
      <w:hyperlink r:id="rId151">
        <w:r>
          <w:rPr>
            <w:rStyle w:val="Internetlink"/>
          </w:rPr>
          <w:t>Imperfekt</w:t>
        </w:r>
      </w:hyperlink>
      <w:r>
        <w:rPr/>
        <w:t xml:space="preserve"> zeigt an, dass es an diesem Abend fortlaufend geschah. </w:t>
      </w:r>
    </w:p>
  </w:footnote>
  <w:footnote w:id="1229">
    <w:p>
      <w:pPr>
        <w:pStyle w:val="Funote"/>
        <w:rPr/>
      </w:pPr>
      <w:r>
        <w:rPr/>
        <w:footnoteRef/>
        <w:tab/>
        <w:t>alle Kranke(n) Subst. Ptz.. Oder „alle, denen es schlecht ging“. ELB: „Leidenden“.</w:t>
      </w:r>
    </w:p>
  </w:footnote>
  <w:footnote w:id="1230">
    <w:p>
      <w:pPr>
        <w:pStyle w:val="Funote"/>
        <w:rPr/>
      </w:pPr>
      <w:r>
        <w:rPr>
          <w:i/>
        </w:rPr>
        <w:footnoteRef/>
        <w:tab/>
        <w:t>früh morgens … ganz dunkel</w:t>
      </w:r>
      <w:r>
        <w:rPr/>
        <w:t xml:space="preserve"> Oder: „sehr früh morgens, [als es noch] dunkel [war]“. </w:t>
      </w:r>
    </w:p>
  </w:footnote>
  <w:footnote w:id="1231">
    <w:p>
      <w:pPr>
        <w:pStyle w:val="Funote"/>
        <w:rPr/>
      </w:pPr>
      <w:r>
        <w:rPr>
          <w:i/>
        </w:rPr>
        <w:footnoteRef/>
        <w:tab/>
        <w:t>stand er auf</w:t>
      </w:r>
      <w:r>
        <w:rPr/>
        <w:t xml:space="preserve"> Modal-temporales </w:t>
      </w:r>
      <w:hyperlink r:id="rId152">
        <w:r>
          <w:rPr>
            <w:rStyle w:val="Internetlink"/>
          </w:rPr>
          <w:t>Ptz. conj.</w:t>
        </w:r>
      </w:hyperlink>
      <w:r>
        <w:rPr/>
        <w:t xml:space="preserve">, hier als Indikativ übersetzt und in die Satzkette eingereiht. </w:t>
      </w:r>
    </w:p>
  </w:footnote>
  <w:footnote w:id="1232">
    <w:p>
      <w:pPr>
        <w:pStyle w:val="Funote"/>
        <w:rPr/>
      </w:pPr>
      <w:r>
        <w:rPr>
          <w:i/>
        </w:rPr>
        <w:footnoteRef/>
        <w:tab/>
        <w:t>[eine Zeit lang] betete</w:t>
      </w:r>
      <w:r>
        <w:rPr/>
        <w:t xml:space="preserve"> Das </w:t>
      </w:r>
      <w:hyperlink r:id="rId153">
        <w:r>
          <w:rPr>
            <w:rStyle w:val="Internetlink"/>
          </w:rPr>
          <w:t>Imperfekt</w:t>
        </w:r>
      </w:hyperlink>
      <w:r>
        <w:rPr/>
        <w:t xml:space="preserve"> zeigt an, dass er eine Weile mit Beten verbrachte – daher die eingefügte Zeitangabe. </w:t>
      </w:r>
    </w:p>
  </w:footnote>
  <w:footnote w:id="1233">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4">
    <w:p>
      <w:pPr>
        <w:pStyle w:val="Funote"/>
        <w:rPr/>
      </w:pPr>
      <w:r>
        <w:rPr/>
        <w:footnoteRef/>
        <w:tab/>
        <w:t>und fanden ihn. {und} Sie teilten ihm mit (sagten) {dass}: Oder: „Als sie ihn fanden, teilten sie ihm mit“ (Lut, EÜ, NGÜ).</w:t>
      </w:r>
    </w:p>
  </w:footnote>
  <w:footnote w:id="1235">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6">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7">
    <w:p>
      <w:pPr>
        <w:pStyle w:val="Funote"/>
        <w:rPr/>
      </w:pPr>
      <w:r>
        <w:rPr>
          <w:i/>
        </w:rPr>
        <w:footnoteRef/>
        <w:tab/>
        <w:t>predigte und trieb aus</w:t>
      </w:r>
      <w:r>
        <w:rPr/>
        <w:t xml:space="preserve"> Temporal-modale </w:t>
      </w:r>
      <w:hyperlink r:id="rId154">
        <w:r>
          <w:rPr>
            <w:rStyle w:val="Internetlink"/>
          </w:rPr>
          <w:t>Ptz. conj.</w:t>
        </w:r>
      </w:hyperlink>
      <w:r>
        <w:rPr/>
        <w:t xml:space="preserve">, als Indikative in einer Satzreihe aufgelöst. </w:t>
      </w:r>
    </w:p>
  </w:footnote>
  <w:footnote w:id="1238">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9">
    <w:p>
      <w:pPr>
        <w:pStyle w:val="Funote"/>
        <w:rPr/>
      </w:pPr>
      <w:r>
        <w:rPr>
          <w:i/>
        </w:rPr>
        <w:footnoteRef/>
        <w:tab/>
        <w:t>wobei er ihm zurief</w:t>
      </w:r>
      <w:r>
        <w:rPr/>
        <w:t xml:space="preserve"> </w:t>
      </w:r>
      <w:hyperlink r:id="rId155">
        <w:r>
          <w:rPr>
            <w:rStyle w:val="Internetlink"/>
          </w:rPr>
          <w:t>Ptz. conj.</w:t>
        </w:r>
      </w:hyperlink>
      <w:r>
        <w:rPr/>
        <w:t>, hier als modaler Nebensatz aufgelöst. Die Übersetzung hängt auch von der textkritischen Entscheidung ab, die in der vorigen Fußnote angesprochen wird.</w:t>
      </w:r>
    </w:p>
  </w:footnote>
  <w:footnote w:id="1240">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1">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2">
    <w:p>
      <w:pPr>
        <w:pStyle w:val="Funote"/>
        <w:rPr/>
      </w:pPr>
      <w:r>
        <w:rPr>
          <w:i/>
        </w:rPr>
        <w:footnoteRef/>
        <w:tab/>
        <w:t>streckte aus</w:t>
      </w:r>
      <w:r>
        <w:rPr/>
        <w:t xml:space="preserve"> </w:t>
      </w:r>
      <w:hyperlink r:id="rId156">
        <w:r>
          <w:rPr>
            <w:rStyle w:val="Internetlink"/>
          </w:rPr>
          <w:t>Ptz. conj.</w:t>
        </w:r>
      </w:hyperlink>
      <w:r>
        <w:rPr/>
        <w:t xml:space="preserve"> (modal-temporal), hier als Indikativ übersetzt und beigeordnet.</w:t>
      </w:r>
    </w:p>
  </w:footnote>
  <w:footnote w:id="1243">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4">
    <w:p>
      <w:pPr>
        <w:pStyle w:val="Funote"/>
        <w:rPr/>
      </w:pPr>
      <w:r>
        <w:rPr>
          <w:i/>
        </w:rPr>
        <w:footnoteRef/>
        <w:tab/>
        <w:t>niemandem etwas</w:t>
      </w:r>
      <w:r>
        <w:rPr/>
        <w:t xml:space="preserve"> Im Griechischen eine doppelte Verneinung, welche die Warnung noch schärfer macht.</w:t>
      </w:r>
    </w:p>
  </w:footnote>
  <w:footnote w:id="1245">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6">
    <w:p>
      <w:pPr>
        <w:pStyle w:val="Funote"/>
        <w:rPr/>
      </w:pPr>
      <w:r>
        <w:rPr>
          <w:i/>
        </w:rPr>
        <w:footnoteRef/>
        <w:tab/>
        <w:t>als der [Mann] hinausging</w:t>
      </w:r>
      <w:r>
        <w:rPr/>
        <w:t xml:space="preserve"> </w:t>
      </w:r>
      <w:hyperlink r:id="rId157">
        <w:r>
          <w:rPr>
            <w:rStyle w:val="Internetlink"/>
          </w:rPr>
          <w:t>Ptz. conj.</w:t>
        </w:r>
      </w:hyperlink>
      <w:r>
        <w:rPr/>
        <w:t xml:space="preserve">, temporal-gleichzeitig übersetzt als Nebensatz mit „als“. Denkbar wäre auch „nachdem er hinausgegangen war“ (vorzeitig) oder „er ging hinaus und“. </w:t>
      </w:r>
    </w:p>
  </w:footnote>
  <w:footnote w:id="1247">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8">
    <w:p>
      <w:pPr>
        <w:pStyle w:val="Funote"/>
        <w:rPr/>
      </w:pPr>
      <w:r>
        <w:rPr>
          <w:i/>
        </w:rPr>
        <w:footnoteRef/>
        <w:tab/>
        <w:t>sich aufhielt</w:t>
      </w:r>
      <w:r>
        <w:rPr/>
        <w:t xml:space="preserve"> ist die sinngemäße Wiedergabe von </w:t>
      </w:r>
      <w:r>
        <w:rPr>
          <w:i/>
        </w:rPr>
        <w:t>war</w:t>
      </w:r>
      <w:r>
        <w:rPr/>
        <w:t>.</w:t>
      </w:r>
    </w:p>
  </w:footnote>
  <w:footnote w:id="1249">
    <w:p>
      <w:pPr>
        <w:pStyle w:val="Funote"/>
        <w:rPr/>
      </w:pPr>
      <w:r>
        <w:rPr>
          <w:i/>
        </w:rPr>
        <w:footnoteRef/>
        <w:tab/>
        <w:t>kamen weiter (begannen zu kommen)</w:t>
      </w:r>
      <w:r>
        <w:rPr/>
        <w:t xml:space="preserve"> Die Übersetzung gibt das </w:t>
      </w:r>
      <w:hyperlink r:id="rId158">
        <w:r>
          <w:rPr>
            <w:rStyle w:val="Internetlink"/>
          </w:rPr>
          <w:t>Imperfekt</w:t>
        </w:r>
      </w:hyperlink>
      <w:r>
        <w:rPr/>
        <w:t xml:space="preserve"> durativ/iterativ wieder, die Klammer inchoativ. Beide Deutungen sind denkbar.</w:t>
      </w:r>
    </w:p>
  </w:footnote>
  <w:footnote w:id="1250">
    <w:p>
      <w:pPr>
        <w:pStyle w:val="Funote"/>
        <w:rPr/>
      </w:pPr>
      <w:r>
        <w:rPr/>
        <w:footnoteRef/>
        <w:tab/>
        <w:t>[Status: Zuverlässig]</w:t>
      </w:r>
    </w:p>
  </w:footnote>
  <w:footnote w:id="1251">
    <w:p>
      <w:pPr>
        <w:pStyle w:val="Funote"/>
        <w:rPr/>
      </w:pPr>
      <w:r>
        <w:rPr>
          <w:i/>
        </w:rPr>
        <w:footnoteRef/>
        <w:tab/>
        <w:t>kam</w:t>
      </w:r>
      <w:r>
        <w:rPr/>
        <w:t xml:space="preserve"> </w:t>
      </w:r>
      <w:hyperlink r:id="rId159">
        <w:r>
          <w:rPr>
            <w:rStyle w:val="Internetlink"/>
          </w:rPr>
          <w:t>Ptz. conj.</w:t>
        </w:r>
      </w:hyperlink>
      <w:r>
        <w:rPr/>
        <w:t xml:space="preserve"> (Ptz. Aor.), als temporaler Nebensatz (mit „als“) aufgelöst.</w:t>
      </w:r>
    </w:p>
  </w:footnote>
  <w:footnote w:id="1252">
    <w:p>
      <w:pPr>
        <w:pStyle w:val="Funote"/>
        <w:rPr/>
      </w:pPr>
      <w:r>
        <w:rPr/>
        <w:footnoteRef/>
        <w:tab/>
        <w:t>wurde bekannt W. „wurde gehört“ Oder: „als er wieder … kam, wurde nach einigen Tagen bekannt“ (Collins 2007, 184).</w:t>
      </w:r>
    </w:p>
  </w:footnote>
  <w:footnote w:id="1253">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4">
    <w:p>
      <w:pPr>
        <w:pStyle w:val="Funote"/>
        <w:rPr/>
      </w:pPr>
      <w:r>
        <w:rPr>
          <w:i/>
        </w:rPr>
        <w:footnoteRef/>
        <w:tab/>
        <w:t>war</w:t>
      </w:r>
      <w:r>
        <w:rPr/>
        <w:t xml:space="preserve"> W. „ist“. </w:t>
      </w:r>
    </w:p>
  </w:footnote>
  <w:footnote w:id="1255">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6">
    <w:p>
      <w:pPr>
        <w:pStyle w:val="Funote"/>
        <w:rPr/>
      </w:pPr>
      <w:r>
        <w:rPr>
          <w:i/>
        </w:rPr>
        <w:footnoteRef/>
        <w:tab/>
        <w:t>kamen</w:t>
      </w:r>
      <w:r>
        <w:rPr/>
        <w:t xml:space="preserve"> </w:t>
      </w:r>
      <w:hyperlink r:id="rId160">
        <w:r>
          <w:rPr>
            <w:rStyle w:val="Internetlink"/>
          </w:rPr>
          <w:t>Historisches Präsens</w:t>
        </w:r>
      </w:hyperlink>
      <w:r>
        <w:rPr/>
        <w:t xml:space="preserve">. </w:t>
      </w:r>
    </w:p>
  </w:footnote>
  <w:footnote w:id="1257">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8">
    <w:p>
      <w:pPr>
        <w:pStyle w:val="Funote"/>
        <w:rPr/>
      </w:pPr>
      <w:r>
        <w:rPr>
          <w:i/>
        </w:rPr>
        <w:footnoteRef/>
        <w:tab/>
        <w:t>Er wurde getragen</w:t>
      </w:r>
      <w:r>
        <w:rPr/>
        <w:t xml:space="preserve"> </w:t>
      </w:r>
      <w:hyperlink r:id="rId161">
        <w:r>
          <w:rPr>
            <w:rStyle w:val="Internetlink"/>
          </w:rPr>
          <w:t>Attributives Partizip</w:t>
        </w:r>
      </w:hyperlink>
      <w:r>
        <w:rPr/>
        <w:t>, als unabhängiger Hauptsatz aufgelöst. Auch ein Relativsatz wäre möglich („der getragen wurde“).</w:t>
      </w:r>
    </w:p>
  </w:footnote>
  <w:footnote w:id="1259">
    <w:p>
      <w:pPr>
        <w:pStyle w:val="Funote"/>
        <w:rPr/>
      </w:pPr>
      <w:r>
        <w:rPr/>
        <w:footnoteRef/>
        <w:tab/>
        <w:t>weil (als) es ihnen nicht gelang Kausal oder temporal zu verstehendes Ptz. conj. (Ptz. Präs.), als Nebensatz mit „weil“ aufgelöst. NSS, NGÜ: „weil sie nicht zu Jesus durchkamen“.</w:t>
      </w:r>
    </w:p>
  </w:footnote>
  <w:footnote w:id="1260">
    <w:p>
      <w:pPr>
        <w:pStyle w:val="Funote"/>
        <w:rPr/>
      </w:pPr>
      <w:r>
        <w:rPr>
          <w:i/>
        </w:rPr>
        <w:footnoteRef/>
        <w:tab/>
        <w:t>ließen</w:t>
      </w:r>
      <w:r>
        <w:rPr/>
        <w:t xml:space="preserve"> </w:t>
      </w:r>
      <w:hyperlink r:id="rId162">
        <w:r>
          <w:rPr>
            <w:rStyle w:val="Internetlink"/>
          </w:rPr>
          <w:t>Historisches Präsens</w:t>
        </w:r>
      </w:hyperlink>
      <w:r>
        <w:rPr/>
        <w:t xml:space="preserve">. </w:t>
      </w:r>
    </w:p>
  </w:footnote>
  <w:footnote w:id="1261">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2">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3">
    <w:p>
      <w:pPr>
        <w:pStyle w:val="Funote"/>
        <w:rPr/>
      </w:pPr>
      <w:r>
        <w:rPr>
          <w:i/>
        </w:rPr>
        <w:footnoteRef/>
        <w:tab/>
        <w:t>sagte</w:t>
      </w:r>
      <w:r>
        <w:rPr/>
        <w:t xml:space="preserve"> </w:t>
      </w:r>
      <w:hyperlink r:id="rId163">
        <w:r>
          <w:rPr>
            <w:rStyle w:val="Internetlink"/>
          </w:rPr>
          <w:t>Historisches Präsens</w:t>
        </w:r>
      </w:hyperlink>
      <w:r>
        <w:rPr/>
        <w:t xml:space="preserve">. </w:t>
      </w:r>
    </w:p>
  </w:footnote>
  <w:footnote w:id="1264">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5">
    <w:p>
      <w:pPr>
        <w:pStyle w:val="Funote"/>
        <w:rPr/>
      </w:pPr>
      <w:r>
        <w:rPr/>
        <w:footnoteRef/>
        <w:tab/>
        <w:t>in Gedanken W. „in ihren Herzen“. In der damaligen Kultur galt das Herz als der denkende und fühlende Körperteil. Noch schöner wäre die Formulierung „gedanklich“.</w:t>
      </w:r>
    </w:p>
  </w:footnote>
  <w:footnote w:id="1266">
    <w:p>
      <w:pPr>
        <w:pStyle w:val="Funote"/>
        <w:rPr/>
      </w:pPr>
      <w:r>
        <w:rPr/>
        <w:footnoteRef/>
        <w:tab/>
        <w:t>erkannte … darum Ptz. conj. (Ptz. Aor., temporal-kausal), hier – mit sofort – gleichzeitig verstanden, wobei darum auf den kausalen Sinn hinweist. Vorzeitig: „Jesus hatte sofort erkannt“ (vgl. NGÜ).</w:t>
      </w:r>
    </w:p>
  </w:footnote>
  <w:footnote w:id="1267">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8">
    <w:p>
      <w:pPr>
        <w:pStyle w:val="Funote"/>
        <w:rPr/>
      </w:pPr>
      <w:r>
        <w:rPr>
          <w:i/>
        </w:rPr>
        <w:footnoteRef/>
        <w:tab/>
        <w:t>sagte</w:t>
      </w:r>
      <w:r>
        <w:rPr/>
        <w:t xml:space="preserve"> </w:t>
      </w:r>
      <w:hyperlink r:id="rId164">
        <w:r>
          <w:rPr>
            <w:rStyle w:val="Internetlink"/>
          </w:rPr>
          <w:t>Historisches Präsens</w:t>
        </w:r>
      </w:hyperlink>
      <w:r>
        <w:rPr/>
        <w:t xml:space="preserve">. </w:t>
      </w:r>
    </w:p>
  </w:footnote>
  <w:footnote w:id="1269">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70">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1">
    <w:p>
      <w:pPr>
        <w:pStyle w:val="Funote"/>
        <w:rPr/>
      </w:pPr>
      <w:r>
        <w:rPr>
          <w:i/>
        </w:rPr>
        <w:footnoteRef/>
        <w:tab/>
        <w:t>nach Hause</w:t>
      </w:r>
      <w:r>
        <w:rPr/>
        <w:t xml:space="preserve"> Oder „in dein Haus“</w:t>
      </w:r>
    </w:p>
  </w:footnote>
  <w:footnote w:id="1272">
    <w:p>
      <w:pPr>
        <w:pStyle w:val="Funote"/>
        <w:rPr/>
      </w:pPr>
      <w:r>
        <w:rPr>
          <w:i/>
        </w:rPr>
        <w:footnoteRef/>
        <w:tab/>
        <w:t>hob auf</w:t>
      </w:r>
      <w:r>
        <w:rPr/>
        <w:t xml:space="preserve"> Temporal-modales </w:t>
      </w:r>
      <w:hyperlink r:id="rId165">
        <w:r>
          <w:rPr>
            <w:rStyle w:val="Internetlink"/>
          </w:rPr>
          <w:t>Ptz. conj.</w:t>
        </w:r>
      </w:hyperlink>
      <w:r>
        <w:rPr/>
        <w:t>, beigeordnet.</w:t>
      </w:r>
    </w:p>
  </w:footnote>
  <w:footnote w:id="1273">
    <w:p>
      <w:pPr>
        <w:pStyle w:val="Funote"/>
        <w:rPr/>
      </w:pPr>
      <w:r>
        <w:rPr>
          <w:i/>
        </w:rPr>
        <w:footnoteRef/>
        <w:tab/>
        <w:t>Sie riefen</w:t>
      </w:r>
      <w:r>
        <w:rPr/>
        <w:t xml:space="preserve"> </w:t>
      </w:r>
      <w:hyperlink r:id="rId166">
        <w:r>
          <w:rPr>
            <w:rStyle w:val="Internetlink"/>
          </w:rPr>
          <w:t>Ptz. conj.</w:t>
        </w:r>
      </w:hyperlink>
      <w:r>
        <w:rPr/>
        <w:t xml:space="preserve"> (modal-temporal), vielleicht </w:t>
      </w:r>
      <w:hyperlink r:id="rId167">
        <w:r>
          <w:rPr>
            <w:rStyle w:val="Internetlink"/>
          </w:rPr>
          <w:t>pleonastisch</w:t>
        </w:r>
      </w:hyperlink>
      <w:r>
        <w:rPr/>
        <w:t>. Hier als separater Hauptsatz übersetzt.</w:t>
      </w:r>
    </w:p>
  </w:footnote>
  <w:footnote w:id="1274">
    <w:p>
      <w:pPr>
        <w:pStyle w:val="Funote"/>
        <w:rPr/>
      </w:pPr>
      <w:r>
        <w:rPr>
          <w:i/>
        </w:rPr>
        <w:footnoteRef/>
        <w:tab/>
        <w:t>ging hinaus</w:t>
      </w:r>
      <w:r>
        <w:rPr/>
        <w:t xml:space="preserve"> Jesus verließ das Haus und die Stadt Kafarnaum, wo er sich gerade aufhielt (</w:t>
      </w:r>
      <w:r>
        <w:fldChar w:fldCharType="begin"/>
      </w:r>
      <w:r>
        <w:instrText> HYPERLINK "file:///wiki/Markus_2" \l "s1"</w:instrText>
      </w:r>
      <w:r>
        <w:fldChar w:fldCharType="separate"/>
      </w:r>
      <w:r>
        <w:rPr>
          <w:rStyle w:val="Internetlink"/>
        </w:rPr>
        <w:t>Mk 2,1</w:t>
      </w:r>
      <w:r>
        <w:fldChar w:fldCharType="end"/>
      </w:r>
      <w:r>
        <w:rPr/>
        <w:t>).</w:t>
      </w:r>
    </w:p>
  </w:footnote>
  <w:footnote w:id="1275">
    <w:p>
      <w:pPr>
        <w:pStyle w:val="Funote"/>
        <w:rPr/>
      </w:pPr>
      <w:r>
        <w:rPr>
          <w:i/>
        </w:rPr>
        <w:footnoteRef/>
        <w:tab/>
        <w:t>Meer</w:t>
      </w:r>
      <w:r>
        <w:rPr/>
        <w:t xml:space="preserve"> Gemeint ist der See Gennesaret (bei Markus: „Meer von Galiläa“, vgl. 1,16), an dessen Ufer Kafarnaum lag. Wer Markus von Anfang an liest, stellt diesen Bezug hier mühelos her.</w:t>
      </w:r>
    </w:p>
  </w:footnote>
  <w:footnote w:id="1276">
    <w:p>
      <w:pPr>
        <w:pStyle w:val="Funote"/>
        <w:rPr/>
      </w:pPr>
      <w:r>
        <w:rPr>
          <w:i/>
        </w:rPr>
        <w:footnoteRef/>
        <w:tab/>
        <w:t>kam</w:t>
      </w:r>
      <w:r>
        <w:rPr/>
        <w:t xml:space="preserve"> und </w:t>
      </w:r>
      <w:r>
        <w:rPr>
          <w:i/>
        </w:rPr>
        <w:t>lehrte</w:t>
      </w:r>
      <w:r>
        <w:rPr/>
        <w:t xml:space="preserve"> Das </w:t>
      </w:r>
      <w:hyperlink r:id="rId168">
        <w:r>
          <w:rPr>
            <w:rStyle w:val="Internetlink"/>
          </w:rPr>
          <w:t>Imperfekt</w:t>
        </w:r>
      </w:hyperlink>
      <w:r>
        <w:rPr/>
        <w:t xml:space="preserve"> beschreibt passend die beiden andauernden Prozesse: Das Zusammenkommen einer Menschenmenge und Jesu Lehren.</w:t>
      </w:r>
    </w:p>
  </w:footnote>
  <w:footnote w:id="1277">
    <w:p>
      <w:pPr>
        <w:pStyle w:val="Funote"/>
        <w:rPr/>
      </w:pPr>
      <w:r>
        <w:rPr>
          <w:i/>
        </w:rPr>
        <w:footnoteRef/>
        <w:tab/>
        <w:t>im Vorbeigehen</w:t>
      </w:r>
      <w:r>
        <w:rPr/>
        <w:t xml:space="preserve"> </w:t>
      </w:r>
      <w:hyperlink r:id="rId169">
        <w:r>
          <w:rPr>
            <w:rStyle w:val="Internetlink"/>
          </w:rPr>
          <w:t>Ptz. conj.</w:t>
        </w:r>
      </w:hyperlink>
      <w:r>
        <w:rPr/>
        <w:t xml:space="preserve"> (temporal), hier als Präpositionalphrase übersetzt. Auch möglich: „als/während er vorbeiging“</w:t>
      </w:r>
    </w:p>
  </w:footnote>
  <w:footnote w:id="1278">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9">
    <w:p>
      <w:pPr>
        <w:pStyle w:val="Funote"/>
        <w:rPr/>
      </w:pPr>
      <w:r>
        <w:rPr>
          <w:i/>
        </w:rPr>
        <w:footnoteRef/>
        <w:tab/>
        <w:t>sah … sitzen</w:t>
      </w:r>
      <w:r>
        <w:rPr/>
        <w:t xml:space="preserve"> </w:t>
      </w:r>
      <w:hyperlink r:id="rId170">
        <w:r>
          <w:rPr>
            <w:rStyle w:val="Internetlink"/>
          </w:rPr>
          <w:t>AcP</w:t>
        </w:r>
      </w:hyperlink>
      <w:r>
        <w:rPr/>
        <w:t>, mit Infinitiv aufgelöst.</w:t>
      </w:r>
    </w:p>
  </w:footnote>
  <w:footnote w:id="1280">
    <w:p>
      <w:pPr>
        <w:pStyle w:val="Funote"/>
        <w:rPr/>
      </w:pPr>
      <w:r>
        <w:rPr/>
        <w:footnoteRef/>
        <w:tab/>
        <w:t>„</w:t>
      </w:r>
      <w:r>
        <w:rPr>
          <w:i/>
        </w:rPr>
        <w:t>Folge mir nach!“</w:t>
      </w:r>
      <w:r>
        <w:rPr/>
        <w:t xml:space="preserve"> Etwas freier vielleicht auch „Schließe dich mir an!“ Vgl. Mk 1,16-20.</w:t>
      </w:r>
    </w:p>
  </w:footnote>
  <w:footnote w:id="1281">
    <w:p>
      <w:pPr>
        <w:pStyle w:val="Funote"/>
        <w:rPr/>
      </w:pPr>
      <w:r>
        <w:rPr>
          <w:i/>
        </w:rPr>
        <w:footnoteRef/>
        <w:tab/>
        <w:t>stand auf</w:t>
      </w:r>
      <w:r>
        <w:rPr/>
        <w:t xml:space="preserve"> </w:t>
      </w:r>
      <w:hyperlink r:id="rId171">
        <w:r>
          <w:rPr>
            <w:rStyle w:val="Internetlink"/>
          </w:rPr>
          <w:t>Beschreibendes Partizip</w:t>
        </w:r>
      </w:hyperlink>
      <w:r>
        <w:rPr/>
        <w:t xml:space="preserve"> (Aorist). </w:t>
      </w:r>
    </w:p>
  </w:footnote>
  <w:footnote w:id="1282">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3">
    <w:p>
      <w:pPr>
        <w:pStyle w:val="Funote"/>
        <w:rPr/>
      </w:pPr>
      <w:r>
        <w:rPr>
          <w:i/>
        </w:rPr>
        <w:footnoteRef/>
        <w:tab/>
        <w:t>in seinem Haus</w:t>
      </w:r>
      <w:r>
        <w:rPr/>
        <w:t xml:space="preserve"> Markus meint wohl Levis Haus, in das Jesus eingeladen ist (so auch Lk 5,29), doch es könnte sich aber auch um Jesu Haus (Mk 2,1) handeln, in dem Levi zu Gast ist.</w:t>
      </w:r>
    </w:p>
  </w:footnote>
  <w:footnote w:id="1284">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5">
    <w:p>
      <w:pPr>
        <w:pStyle w:val="Funote"/>
        <w:rPr/>
      </w:pPr>
      <w:r>
        <w:rPr>
          <w:i/>
        </w:rPr>
        <w:footnoteRef/>
        <w:tab/>
        <w:t>nahmen an der Mahlzeit teil</w:t>
      </w:r>
      <w:r>
        <w:rPr/>
        <w:t xml:space="preserve"> ist die Übersetzung des Prädikats (wie </w:t>
      </w:r>
      <w:r>
        <w:rPr>
          <w:i/>
        </w:rPr>
        <w:t>nachfolgten</w:t>
      </w:r>
      <w:r>
        <w:rPr/>
        <w:t xml:space="preserve"> </w:t>
      </w:r>
      <w:hyperlink r:id="rId172">
        <w:r>
          <w:rPr>
            <w:rStyle w:val="Internetlink"/>
          </w:rPr>
          <w:t>Imperfekt</w:t>
        </w:r>
      </w:hyperlink>
      <w:r>
        <w:rPr/>
        <w:t>).</w:t>
      </w:r>
    </w:p>
  </w:footnote>
  <w:footnote w:id="1286">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7">
    <w:p>
      <w:pPr>
        <w:pStyle w:val="Funote"/>
        <w:rPr/>
      </w:pPr>
      <w:r>
        <w:rPr>
          <w:i/>
        </w:rPr>
        <w:footnoteRef/>
        <w:tab/>
        <w:t>die Schriftgelehrten der Pharisäer</w:t>
      </w:r>
      <w:r>
        <w:rPr/>
        <w:t xml:space="preserve"> (</w:t>
      </w:r>
      <w:hyperlink r:id="rId173">
        <w:r>
          <w:rPr>
            <w:rStyle w:val="Internetlink"/>
          </w:rPr>
          <w:t>Gen. part.</w:t>
        </w:r>
      </w:hyperlink>
      <w:r>
        <w:rPr/>
        <w:t>), der Genitiv zeigt Parteizugehörigkeit an. Nicht alle Pharisäer waren Schriftgelehrte, und nicht alle Schriftgelehrten waren Pharisäer – gemeint sind also die pharisäischen Schriftgelehrten.</w:t>
      </w:r>
    </w:p>
  </w:footnote>
  <w:footnote w:id="1288">
    <w:p>
      <w:pPr>
        <w:pStyle w:val="Funote"/>
        <w:rPr/>
      </w:pPr>
      <w:r>
        <w:rPr>
          <w:i/>
        </w:rPr>
        <w:footnoteRef/>
        <w:tab/>
        <w:t>als … sahen</w:t>
      </w:r>
      <w:r>
        <w:rPr/>
        <w:t xml:space="preserve"> </w:t>
      </w:r>
      <w:hyperlink r:id="rId174">
        <w:r>
          <w:rPr>
            <w:rStyle w:val="Internetlink"/>
          </w:rPr>
          <w:t>Ptz. conj.</w:t>
        </w:r>
      </w:hyperlink>
      <w:r>
        <w:rPr/>
        <w:t xml:space="preserve"> (Aorist), als temporaler Nebensatz aufgelöst. </w:t>
      </w:r>
    </w:p>
  </w:footnote>
  <w:footnote w:id="1289">
    <w:p>
      <w:pPr>
        <w:pStyle w:val="Funote"/>
        <w:rPr/>
      </w:pPr>
      <w:r>
        <w:rPr>
          <w:i/>
        </w:rPr>
        <w:footnoteRef/>
        <w:tab/>
        <w:t>aß</w:t>
      </w:r>
      <w:r>
        <w:rPr/>
        <w:t xml:space="preserve"> W. „isst“</w:t>
      </w:r>
    </w:p>
  </w:footnote>
  <w:footnote w:id="1290">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1">
    <w:p>
      <w:pPr>
        <w:pStyle w:val="Funote"/>
        <w:rPr/>
      </w:pPr>
      <w:r>
        <w:rPr>
          <w:i/>
        </w:rPr>
        <w:footnoteRef/>
        <w:tab/>
        <w:t>als … hörte</w:t>
      </w:r>
      <w:r>
        <w:rPr/>
        <w:t xml:space="preserve"> </w:t>
      </w:r>
      <w:hyperlink r:id="rId175">
        <w:r>
          <w:rPr>
            <w:rStyle w:val="Internetlink"/>
          </w:rPr>
          <w:t>Ptz. conj.</w:t>
        </w:r>
      </w:hyperlink>
      <w:r>
        <w:rPr/>
        <w:t>, temporal als Nebensatz mit „als“ aufgelöst.</w:t>
      </w:r>
    </w:p>
  </w:footnote>
  <w:footnote w:id="1292">
    <w:p>
      <w:pPr>
        <w:pStyle w:val="Funote"/>
        <w:rPr/>
      </w:pPr>
      <w:r>
        <w:rPr>
          <w:i/>
        </w:rPr>
        <w:footnoteRef/>
        <w:tab/>
        <w:t>{dass}:</w:t>
      </w:r>
      <w:r>
        <w:rPr/>
        <w:t xml:space="preserve"> Das </w:t>
      </w:r>
      <w:hyperlink r:id="rId176">
        <w:r>
          <w:rPr>
            <w:rStyle w:val="Internetlink"/>
          </w:rPr>
          <w:t>Ὅτι recitativum"&gt;</w:t>
        </w:r>
        <w:r>
          <w:rPr>
            <w:rStyle w:val="Internetlink"/>
            <w:lang w:val="el-GR"/>
          </w:rPr>
          <w:t>ὅτι</w:t>
        </w:r>
        <w:r>
          <w:rPr>
            <w:rStyle w:val="Internetlink"/>
          </w:rPr>
          <w:t xml:space="preserve"> recitativum</w:t>
        </w:r>
      </w:hyperlink>
      <w:r>
        <w:rPr/>
        <w:t xml:space="preserve"> übersetzt man am besten als Doppelpunkt.</w:t>
      </w:r>
    </w:p>
  </w:footnote>
  <w:footnote w:id="1293">
    <w:p>
      <w:pPr>
        <w:pStyle w:val="Funote"/>
        <w:rPr/>
      </w:pPr>
      <w:r>
        <w:rPr>
          <w:i/>
        </w:rPr>
        <w:footnoteRef/>
        <w:tab/>
        <w:t>die, denen es schlecht geht</w:t>
      </w:r>
      <w:r>
        <w:rPr/>
        <w:t xml:space="preserve"> </w:t>
      </w:r>
      <w:hyperlink r:id="rId177">
        <w:r>
          <w:rPr>
            <w:rStyle w:val="Internetlink"/>
          </w:rPr>
          <w:t>Subst. Ptz.</w:t>
        </w:r>
      </w:hyperlink>
      <w:r>
        <w:rPr/>
        <w:t xml:space="preserve">, als Relativsatz aufgelöst. </w:t>
      </w:r>
      <w:r>
        <w:rPr>
          <w:i/>
        </w:rPr>
        <w:t>die Kranken</w:t>
      </w:r>
      <w:r>
        <w:rPr/>
        <w:t xml:space="preserve"> ist eine geläufige Übersetzung dieser Wendung, die wir auch Mk 1,32.34 und 6,55 verwenden.</w:t>
      </w:r>
    </w:p>
  </w:footnote>
  <w:footnote w:id="1294">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5">
    <w:p>
      <w:pPr>
        <w:pStyle w:val="Funote"/>
        <w:rPr/>
      </w:pPr>
      <w:r>
        <w:rPr>
          <w:i/>
        </w:rPr>
        <w:footnoteRef/>
        <w:tab/>
        <w:t>kamen</w:t>
      </w:r>
      <w:r>
        <w:rPr/>
        <w:t xml:space="preserve"> und </w:t>
      </w:r>
      <w:r>
        <w:rPr>
          <w:i/>
        </w:rPr>
        <w:t>fragten</w:t>
      </w:r>
      <w:r>
        <w:rPr/>
        <w:t xml:space="preserve"> </w:t>
      </w:r>
      <w:hyperlink r:id="rId178">
        <w:r>
          <w:rPr>
            <w:rStyle w:val="Internetlink"/>
          </w:rPr>
          <w:t>Historisches Präsens</w:t>
        </w:r>
      </w:hyperlink>
      <w:r>
        <w:rPr/>
        <w:t>.</w:t>
      </w:r>
    </w:p>
  </w:footnote>
  <w:footnote w:id="1296">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7">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8">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9">
    <w:p>
      <w:pPr>
        <w:pStyle w:val="Funote"/>
        <w:rPr/>
      </w:pPr>
      <w:r>
        <w:rPr>
          <w:i/>
        </w:rPr>
        <w:footnoteRef/>
        <w:tab/>
        <w:t>Tage/Tag</w:t>
      </w:r>
      <w:r>
        <w:rPr/>
        <w:t xml:space="preserve"> Wie im AT häufig stehen hier </w:t>
      </w:r>
      <w:r>
        <w:rPr>
          <w:i/>
        </w:rPr>
        <w:t>Tage</w:t>
      </w:r>
      <w:r>
        <w:rPr/>
        <w:t>, wo man auf Deutsch „(eine) Zeit“ sagen würde.</w:t>
      </w:r>
    </w:p>
  </w:footnote>
  <w:footnote w:id="1300">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1">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2">
    <w:p>
      <w:pPr>
        <w:pStyle w:val="Funote"/>
        <w:rPr/>
      </w:pPr>
      <w:r>
        <w:rPr>
          <w:i/>
        </w:rPr>
        <w:footnoteRef/>
        <w:tab/>
        <w:t>{Und es ereignete sich} [Einmal, als]</w:t>
      </w:r>
      <w:r>
        <w:rPr/>
        <w:t xml:space="preserve"> </w:t>
      </w:r>
      <w:r>
        <w:rPr>
          <w:lang w:val="el-GR"/>
        </w:rPr>
        <w:t>ἐγένετο</w:t>
      </w:r>
      <w:r>
        <w:rPr/>
        <w:t xml:space="preserve"> „es ereignete sich“ + </w:t>
      </w:r>
      <w:hyperlink r:id="rId179">
        <w:r>
          <w:rPr>
            <w:rStyle w:val="Internetlink"/>
          </w:rPr>
          <w:t>AcI</w:t>
        </w:r>
      </w:hyperlink>
      <w:r>
        <w:rPr/>
        <w:t xml:space="preserve">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3">
    <w:p>
      <w:pPr>
        <w:pStyle w:val="Funote"/>
        <w:rPr/>
      </w:pPr>
      <w:r>
        <w:rPr/>
        <w:footnoteRef/>
        <w:tab/>
        <w:t xml:space="preserve">fingen seine Jünger an, unterwegs {die} Ähren abzurupfen Impliziert ist die weitere Information: „und zu essen“ (vgl. NGÜ), wie die Parallestellen Mt 12,1 und Lk 6,1 verdeutlichen. W. „fingen seine Jünger an, [sich] einen Weg zu bahnen, wobei (indem) sie Ähren abrupften.“ Was genau die Jünger taten, wird erst auf den zweiten Blick klar. Man erhält zunächst den Eindruck, dass die Jünger sich einen Weg durch das Feld bahnten, nicht indem sie die Halme flachtraten, sondern indem sie sie einzeln abrupften!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4">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5">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6">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7">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8">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9">
    <w:p>
      <w:pPr>
        <w:pStyle w:val="Funote"/>
        <w:rPr/>
      </w:pPr>
      <w:r>
        <w:rPr/>
        <w:footnoteRef/>
        <w:tab/>
        <w:t xml:space="preserve">Herr sogar [über] den Sabbat </w:t>
      </w:r>
      <w:r>
        <w:rPr>
          <w:lang w:val="el-GR"/>
        </w:rPr>
        <w:t>κύριός</w:t>
      </w:r>
      <w:r>
        <w:rPr/>
        <w:t xml:space="preserve"> Herr mit Genitiv heißt »Herr über« (NSS).</w:t>
      </w:r>
    </w:p>
  </w:footnote>
  <w:footnote w:id="1310">
    <w:p>
      <w:pPr>
        <w:pStyle w:val="Funote"/>
        <w:rPr/>
      </w:pPr>
      <w:r>
        <w:rPr/>
        <w:footnoteRef/>
        <w:tab/>
        <w:t>[Status: Zuverlässig]</w:t>
      </w:r>
    </w:p>
  </w:footnote>
  <w:footnote w:id="1311">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2">
    <w:p>
      <w:pPr>
        <w:pStyle w:val="Funote"/>
        <w:rPr/>
      </w:pPr>
      <w:r>
        <w:rPr>
          <w:i/>
        </w:rPr>
        <w:footnoteRef/>
        <w:tab/>
        <w:t>der ... hatte</w:t>
      </w:r>
      <w:r>
        <w:rPr/>
        <w:t xml:space="preserve"> </w:t>
      </w:r>
      <w:hyperlink r:id="rId180">
        <w:r>
          <w:rPr>
            <w:rStyle w:val="Internetlink"/>
          </w:rPr>
          <w:t>Attributives Partizip</w:t>
        </w:r>
      </w:hyperlink>
      <w:r>
        <w:rPr/>
        <w:t xml:space="preserve"> Präsens. Als Relativsatz aufgelöst.</w:t>
      </w:r>
    </w:p>
  </w:footnote>
  <w:footnote w:id="1313">
    <w:p>
      <w:pPr>
        <w:pStyle w:val="Funote"/>
        <w:rPr/>
      </w:pPr>
      <w:r>
        <w:rPr>
          <w:i/>
        </w:rPr>
        <w:footnoteRef/>
        <w:tab/>
        <w:t>sie achteten (man achtete, sie lauerten) genau</w:t>
      </w:r>
      <w:r>
        <w:rPr/>
        <w:t xml:space="preserve">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4">
    <w:p>
      <w:pPr>
        <w:pStyle w:val="Funote"/>
        <w:rPr/>
      </w:pPr>
      <w:r>
        <w:rPr>
          <w:i/>
        </w:rPr>
        <w:footnoteRef/>
        <w:tab/>
        <w:t>[am] Sabbat</w:t>
      </w:r>
      <w:r>
        <w:rPr/>
        <w:t xml:space="preserve"> </w:t>
      </w:r>
      <w:hyperlink r:id="rId181">
        <w:r>
          <w:rPr>
            <w:rStyle w:val="Internetlink"/>
          </w:rPr>
          <w:t>Temporaler Dativ</w:t>
        </w:r>
      </w:hyperlink>
      <w:r>
        <w:rPr/>
        <w:t>.</w:t>
      </w:r>
    </w:p>
  </w:footnote>
  <w:footnote w:id="1315">
    <w:p>
      <w:pPr>
        <w:pStyle w:val="Funote"/>
        <w:rPr/>
      </w:pPr>
      <w:r>
        <w:rPr>
          <w:i/>
        </w:rPr>
        <w:footnoteRef/>
        <w:tab/>
        <w:t>sagte</w:t>
      </w:r>
      <w:r>
        <w:rPr/>
        <w:t xml:space="preserve"> </w:t>
      </w:r>
      <w:hyperlink r:id="rId182">
        <w:r>
          <w:rPr>
            <w:rStyle w:val="Internetlink"/>
          </w:rPr>
          <w:t>Historisches Präsens</w:t>
        </w:r>
      </w:hyperlink>
      <w:r>
        <w:rPr/>
        <w:t xml:space="preserve">. </w:t>
      </w:r>
    </w:p>
  </w:footnote>
  <w:footnote w:id="1316">
    <w:p>
      <w:pPr>
        <w:pStyle w:val="Funote"/>
        <w:rPr/>
      </w:pPr>
      <w:r>
        <w:rPr>
          <w:i/>
        </w:rPr>
        <w:footnoteRef/>
        <w:tab/>
        <w:t>mit der verkümmerten Hand</w:t>
      </w:r>
      <w:r>
        <w:rPr/>
        <w:t xml:space="preserve"> </w:t>
      </w:r>
      <w:hyperlink r:id="rId183">
        <w:r>
          <w:rPr>
            <w:rStyle w:val="Internetlink"/>
          </w:rPr>
          <w:t>Attr. Ptz.</w:t>
        </w:r>
      </w:hyperlink>
      <w:r>
        <w:rPr/>
        <w:t xml:space="preserve"> (vgl. V. 1), aus stilistischen Gründen nicht als Relativsatz, sondern als Präpositionalphrase übersetzt. </w:t>
      </w:r>
      <w:r>
        <w:rPr>
          <w:i/>
        </w:rPr>
        <w:t>verkümmert</w:t>
      </w:r>
      <w:r>
        <w:rPr/>
        <w:t xml:space="preserve"> S. die </w:t>
      </w:r>
      <w:hyperlink w:anchor="note_a">
        <w:r>
          <w:rPr>
            <w:rStyle w:val="Internetlink"/>
          </w:rPr>
          <w:t>Fn zu „verkrüppelt“</w:t>
        </w:r>
      </w:hyperlink>
      <w:r>
        <w:rPr/>
        <w:t xml:space="preserve"> in V. 1. Hier benutzt Markus ein Adjektiv aus derselben Wurzel wie das Ptz. in V. 1, das sich in der Bedeutung nicht wesentlich unterscheidet.</w:t>
      </w:r>
    </w:p>
  </w:footnote>
  <w:footnote w:id="1317">
    <w:p>
      <w:pPr>
        <w:pStyle w:val="Funote"/>
        <w:rPr/>
      </w:pPr>
      <w:r>
        <w:rPr>
          <w:i/>
        </w:rPr>
        <w:footnoteRef/>
        <w:tab/>
        <w:t>Komm (Steh auf)</w:t>
      </w:r>
      <w:r>
        <w:rPr/>
        <w:t xml:space="preserve">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8">
    <w:p>
      <w:pPr>
        <w:pStyle w:val="Funote"/>
        <w:rPr/>
      </w:pPr>
      <w:r>
        <w:rPr>
          <w:i/>
        </w:rPr>
        <w:footnoteRef/>
        <w:tab/>
        <w:t>fragte</w:t>
      </w:r>
      <w:r>
        <w:rPr/>
        <w:t xml:space="preserve"> </w:t>
      </w:r>
      <w:hyperlink r:id="rId184">
        <w:r>
          <w:rPr>
            <w:rStyle w:val="Internetlink"/>
          </w:rPr>
          <w:t>Historisches Präsens</w:t>
        </w:r>
      </w:hyperlink>
      <w:r>
        <w:rPr/>
        <w:t xml:space="preserve">. </w:t>
      </w:r>
    </w:p>
  </w:footnote>
  <w:footnote w:id="1319">
    <w:p>
      <w:pPr>
        <w:pStyle w:val="Funote"/>
        <w:rPr/>
      </w:pPr>
      <w:r>
        <w:rPr>
          <w:i/>
        </w:rPr>
        <w:footnoteRef/>
        <w:tab/>
        <w:t>[am] Sabbat</w:t>
      </w:r>
      <w:r>
        <w:rPr/>
        <w:t xml:space="preserve"> </w:t>
      </w:r>
      <w:hyperlink r:id="rId185">
        <w:r>
          <w:rPr>
            <w:rStyle w:val="Internetlink"/>
          </w:rPr>
          <w:t>Temporaler Dativ</w:t>
        </w:r>
      </w:hyperlink>
      <w:r>
        <w:rPr/>
        <w:t>.</w:t>
      </w:r>
    </w:p>
  </w:footnote>
  <w:footnote w:id="1320">
    <w:p>
      <w:pPr>
        <w:pStyle w:val="Funote"/>
        <w:rPr/>
      </w:pPr>
      <w:r>
        <w:rPr>
          <w:i/>
        </w:rPr>
        <w:footnoteRef/>
        <w:tab/>
        <w:t>voll Zorn (zornig)</w:t>
      </w:r>
      <w:r>
        <w:rPr/>
        <w:t xml:space="preserve"> Die Präposition </w:t>
      </w:r>
      <w:r>
        <w:rPr>
          <w:lang w:val="el-GR"/>
        </w:rPr>
        <w:t>μετά</w:t>
      </w:r>
      <w:r>
        <w:rPr/>
        <w:t xml:space="preserve"> + [Gefühl] dient zur Angabe von Gemütszuständen (BDAG Bed. III.1).</w:t>
      </w:r>
    </w:p>
  </w:footnote>
  <w:footnote w:id="1321">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2">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3">
    <w:p>
      <w:pPr>
        <w:pStyle w:val="Funote"/>
        <w:rPr/>
      </w:pPr>
      <w:r>
        <w:rPr>
          <w:i/>
        </w:rPr>
        <w:footnoteRef/>
        <w:tab/>
        <w:t>ihrer Herzen</w:t>
      </w:r>
      <w:r>
        <w:rPr/>
        <w:t xml:space="preserve"> W. „ihres Herzens“</w:t>
      </w:r>
    </w:p>
  </w:footnote>
  <w:footnote w:id="1324">
    <w:p>
      <w:pPr>
        <w:pStyle w:val="Funote"/>
        <w:rPr/>
      </w:pPr>
      <w:r>
        <w:rPr>
          <w:i/>
        </w:rPr>
        <w:footnoteRef/>
        <w:tab/>
        <w:t>sobald … hinausgegangen waren</w:t>
      </w:r>
      <w:r>
        <w:rPr/>
        <w:t xml:space="preserve"> </w:t>
      </w:r>
      <w:hyperlink r:id="rId186">
        <w:r>
          <w:rPr>
            <w:rStyle w:val="Internetlink"/>
          </w:rPr>
          <w:t>Ptz. conj.</w:t>
        </w:r>
      </w:hyperlink>
      <w:r>
        <w:rPr/>
        <w:t>, temporal (vorzeitig) als Nebensatz aufgelöst. Ebenfalls möglich: „Doch die Pharisäer gingen hinaus und...“ (gleichzeitig)</w:t>
      </w:r>
    </w:p>
  </w:footnote>
  <w:footnote w:id="1325">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6">
    <w:p>
      <w:pPr>
        <w:pStyle w:val="Funote"/>
        <w:rPr/>
      </w:pPr>
      <w:r>
        <w:rPr>
          <w:i/>
        </w:rPr>
        <w:footnoteRef/>
        <w:tab/>
        <w:t>Meer</w:t>
      </w:r>
      <w:r>
        <w:rPr/>
        <w:t xml:space="preserve"> Gemeint ist wie schon in Mk 2,13 der See Gennesaret, das „Meer von Galiläa“. Auch die gesonderte Erwähnung der Menschenmenge aus Galiläa weist darauf hin.</w:t>
      </w:r>
    </w:p>
  </w:footnote>
  <w:footnote w:id="1327">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8">
    <w:p>
      <w:pPr>
        <w:pStyle w:val="Funote"/>
        <w:rPr/>
      </w:pPr>
      <w:r>
        <w:rPr>
          <w:i/>
        </w:rPr>
        <w:footnoteRef/>
        <w:tab/>
        <w:t>kam</w:t>
      </w:r>
      <w:r>
        <w:rPr/>
        <w:t xml:space="preserve"> W. „kamen“ (</w:t>
      </w:r>
      <w:hyperlink r:id="rId187">
        <w:r>
          <w:rPr>
            <w:rStyle w:val="Internetlink"/>
          </w:rPr>
          <w:t>Constructio ad sensum</w:t>
        </w:r>
      </w:hyperlink>
      <w:r>
        <w:rPr/>
        <w:t>). Genauso das folgende Partizip „die hörten“.</w:t>
      </w:r>
    </w:p>
  </w:footnote>
  <w:footnote w:id="1329">
    <w:p>
      <w:pPr>
        <w:pStyle w:val="Funote"/>
        <w:rPr/>
      </w:pPr>
      <w:r>
        <w:rPr>
          <w:i/>
        </w:rPr>
        <w:footnoteRef/>
        <w:tab/>
        <w:t>die hörten</w:t>
      </w:r>
      <w:r>
        <w:rPr/>
        <w:t xml:space="preserve"> </w:t>
      </w:r>
      <w:hyperlink r:id="rId188">
        <w:r>
          <w:rPr>
            <w:rStyle w:val="Internetlink"/>
          </w:rPr>
          <w:t>Ptz. conj.</w:t>
        </w:r>
      </w:hyperlink>
      <w:r>
        <w:rPr/>
        <w:t xml:space="preserve"> Präsens, kausal oder temporal, hier als Relativsatz aufgelöst, der beide Aspekte vermitteln kann.</w:t>
      </w:r>
    </w:p>
  </w:footnote>
  <w:footnote w:id="1330">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1">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2">
    <w:p>
      <w:pPr>
        <w:pStyle w:val="Funote"/>
        <w:rPr/>
      </w:pPr>
      <w:r>
        <w:rPr>
          <w:i/>
        </w:rPr>
        <w:footnoteRef/>
        <w:tab/>
        <w:t>{und sagten}</w:t>
      </w:r>
      <w:r>
        <w:rPr/>
        <w:t xml:space="preserve"> </w:t>
      </w:r>
      <w:hyperlink r:id="rId189">
        <w:r>
          <w:rPr>
            <w:rStyle w:val="Internetlink"/>
          </w:rPr>
          <w:t>Pleonastisches Partizip</w:t>
        </w:r>
      </w:hyperlink>
      <w:r>
        <w:rPr/>
        <w:t xml:space="preserve">. </w:t>
      </w:r>
    </w:p>
  </w:footnote>
  <w:footnote w:id="1333">
    <w:p>
      <w:pPr>
        <w:pStyle w:val="Funote"/>
        <w:rPr/>
      </w:pPr>
      <w:r>
        <w:rPr>
          <w:i/>
        </w:rPr>
        <w:footnoteRef/>
        <w:tab/>
        <w:t>{dass}</w:t>
      </w:r>
      <w:r>
        <w:rPr/>
        <w:t xml:space="preserve"> </w:t>
      </w:r>
      <w:hyperlink r:id="rId190">
        <w:r>
          <w:rPr>
            <w:rStyle w:val="Internetlink"/>
          </w:rPr>
          <w:t>Ὅτι recitativum"&gt;</w:t>
        </w:r>
        <w:r>
          <w:rPr>
            <w:rStyle w:val="Internetlink"/>
            <w:lang w:val="el-GR"/>
          </w:rPr>
          <w:t>ὅτι</w:t>
        </w:r>
        <w:r>
          <w:rPr>
            <w:rStyle w:val="Internetlink"/>
          </w:rPr>
          <w:t xml:space="preserve"> recitativum</w:t>
        </w:r>
      </w:hyperlink>
      <w:r>
        <w:rPr/>
        <w:t xml:space="preserve">. </w:t>
      </w:r>
    </w:p>
  </w:footnote>
  <w:footnote w:id="1334">
    <w:p>
      <w:pPr>
        <w:pStyle w:val="Funote"/>
        <w:rPr/>
      </w:pPr>
      <w:r>
        <w:rPr>
          <w:i/>
        </w:rPr>
        <w:footnoteRef/>
        <w:tab/>
        <w:t>drohte (befahl, wies an) ihnen nachdrücklich</w:t>
      </w:r>
      <w:r>
        <w:rPr/>
        <w:t xml:space="preserve"> W. etwa „wies sie viel zurecht“. Das Adverb </w:t>
      </w:r>
      <w:r>
        <w:rPr>
          <w:lang w:val="el-GR"/>
        </w:rPr>
        <w:t>πολλὰ</w:t>
      </w:r>
      <w:r>
        <w:rPr/>
        <w:t xml:space="preserve"> „viel“ benutzt Markus hier intensivierend (ganz ähnlich wie „sehr“), daher die Übersetzung </w:t>
      </w:r>
      <w:r>
        <w:rPr>
          <w:i/>
        </w:rPr>
        <w:t>nachdrücklich</w:t>
      </w:r>
      <w:r>
        <w:rPr/>
        <w:t xml:space="preserve">. Wie in Mk 1,25 (s. Fn dort) kontrolliert Jesus hier Dämonen, denen er bindende Befehle erteilt. So heißt das Wort in diesem Kontext eher (indirekte Rede einleitend) </w:t>
      </w:r>
      <w:r>
        <w:rPr>
          <w:i/>
        </w:rPr>
        <w:t>befehlen</w:t>
      </w:r>
      <w:r>
        <w:rPr/>
        <w:t xml:space="preserve">.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w:t>
        <w:br/>
      </w:r>
      <w:r>
        <w:rPr>
          <w:i/>
        </w:rPr>
        <w:t>drohte ..., damit sie ihn nicht bekannt machten</w:t>
      </w:r>
      <w:r>
        <w:rPr/>
        <w:t xml:space="preserve"> – Das Griechische drückt den indirekt geäußerten negativen Befehl durch einen finalen Nebensatz aus, das Deutsche mit einem Infinitivsatz. Stilistisch schöner mit „verbieten“: </w:t>
      </w:r>
      <w:r>
        <w:rPr>
          <w:i/>
        </w:rPr>
        <w:t>verbot … zu machen</w:t>
      </w:r>
      <w:r>
        <w:rPr/>
        <w:t>.</w:t>
      </w:r>
    </w:p>
  </w:footnote>
  <w:footnote w:id="1335">
    <w:p>
      <w:pPr>
        <w:pStyle w:val="Funote"/>
        <w:rPr/>
      </w:pPr>
      <w:r>
        <w:rPr>
          <w:i/>
        </w:rPr>
        <w:footnoteRef/>
        <w:tab/>
        <w:t>stieg</w:t>
      </w:r>
      <w:r>
        <w:rPr/>
        <w:t xml:space="preserve"> und </w:t>
      </w:r>
      <w:r>
        <w:rPr>
          <w:i/>
        </w:rPr>
        <w:t>rief</w:t>
      </w:r>
      <w:r>
        <w:rPr/>
        <w:t xml:space="preserve"> </w:t>
      </w:r>
      <w:hyperlink r:id="rId191">
        <w:r>
          <w:rPr>
            <w:rStyle w:val="Internetlink"/>
          </w:rPr>
          <w:t>Historisches Präsens</w:t>
        </w:r>
      </w:hyperlink>
      <w:r>
        <w:rPr/>
        <w:t xml:space="preserve">. </w:t>
      </w:r>
    </w:p>
  </w:footnote>
  <w:footnote w:id="1336">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7">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8">
    <w:p>
      <w:pPr>
        <w:pStyle w:val="Funote"/>
        <w:rPr/>
      </w:pPr>
      <w:r>
        <w:rPr/>
        <w:footnoteRef/>
        <w:tab/>
        <w:t>bestimmte W. „machte“, ein Semitismus (Guelich 1989, 157).</w:t>
      </w:r>
    </w:p>
  </w:footnote>
  <w:footnote w:id="1339">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40">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1">
    <w:p>
      <w:pPr>
        <w:pStyle w:val="Funote"/>
        <w:rPr/>
      </w:pPr>
      <w:r>
        <w:rPr>
          <w:i/>
        </w:rPr>
        <w:footnoteRef/>
        <w:tab/>
        <w:t>heißt</w:t>
      </w:r>
      <w:r>
        <w:rPr/>
        <w:t xml:space="preserve"> W. „ist“ </w:t>
      </w:r>
    </w:p>
  </w:footnote>
  <w:footnote w:id="1342">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3">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4">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5">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6">
    <w:p>
      <w:pPr>
        <w:pStyle w:val="Funote"/>
        <w:rPr/>
      </w:pPr>
      <w:r>
        <w:rPr>
          <w:i/>
        </w:rPr>
        <w:footnoteRef/>
        <w:tab/>
        <w:t>ging</w:t>
      </w:r>
      <w:r>
        <w:rPr/>
        <w:t xml:space="preserve"> und </w:t>
      </w:r>
      <w:r>
        <w:rPr>
          <w:i/>
        </w:rPr>
        <w:t>versammelte</w:t>
      </w:r>
      <w:r>
        <w:rPr/>
        <w:t xml:space="preserve"> </w:t>
      </w:r>
      <w:hyperlink r:id="rId192">
        <w:r>
          <w:rPr>
            <w:rStyle w:val="Internetlink"/>
          </w:rPr>
          <w:t>Historisches Präsens</w:t>
        </w:r>
      </w:hyperlink>
      <w:r>
        <w:rPr/>
        <w:t xml:space="preserve">. </w:t>
      </w:r>
    </w:p>
  </w:footnote>
  <w:footnote w:id="1347">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8">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9">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50">
    <w:p>
      <w:pPr>
        <w:pStyle w:val="Funote"/>
        <w:rPr/>
      </w:pPr>
      <w:r>
        <w:rPr>
          <w:i/>
        </w:rPr>
        <w:footnoteRef/>
        <w:tab/>
        <w:t>die ... gekommen waren</w:t>
      </w:r>
      <w:r>
        <w:rPr/>
        <w:t xml:space="preserve"> </w:t>
      </w:r>
      <w:hyperlink r:id="rId193">
        <w:r>
          <w:rPr>
            <w:rStyle w:val="Internetlink"/>
          </w:rPr>
          <w:t>Attr. Ptz.</w:t>
        </w:r>
      </w:hyperlink>
      <w:r>
        <w:rPr/>
        <w:t xml:space="preserve"> Aor., als vorzeitiger Relativsatz aufgelöst.</w:t>
      </w:r>
    </w:p>
  </w:footnote>
  <w:footnote w:id="1351">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2">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3">
    <w:p>
      <w:pPr>
        <w:pStyle w:val="Funote"/>
        <w:rPr/>
      </w:pPr>
      <w:r>
        <w:rPr>
          <w:i/>
        </w:rPr>
        <w:footnoteRef/>
        <w:tab/>
        <w:t>er rief sie zu sich und</w:t>
      </w:r>
      <w:r>
        <w:rPr/>
        <w:t xml:space="preserve"> Temporales (gleichzeitig) </w:t>
      </w:r>
      <w:hyperlink r:id="rId194">
        <w:r>
          <w:rPr>
            <w:rStyle w:val="Internetlink"/>
          </w:rPr>
          <w:t>Ptz. conj.</w:t>
        </w:r>
      </w:hyperlink>
      <w:r>
        <w:rPr/>
        <w:t>, mit „und“ beigeordnet.</w:t>
      </w:r>
    </w:p>
  </w:footnote>
  <w:footnote w:id="1354">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5">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6">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7">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8">
    <w:p>
      <w:pPr>
        <w:pStyle w:val="Funote"/>
        <w:rPr/>
      </w:pPr>
      <w:r>
        <w:rPr/>
        <w:footnoteRef/>
        <w:tab/>
        <w:t>es hat ein Ende [mit ihm] W. »er hat ein Ende«. LUT: »es ist aus mit ihm.«</w:t>
      </w:r>
    </w:p>
  </w:footnote>
  <w:footnote w:id="1359">
    <w:p>
      <w:pPr>
        <w:pStyle w:val="Funote"/>
        <w:rPr/>
      </w:pPr>
      <w:r>
        <w:rPr>
          <w:i/>
        </w:rPr>
        <w:footnoteRef/>
        <w:tab/>
        <w:t>niemand kann</w:t>
      </w:r>
      <w:r>
        <w:rPr/>
        <w:t xml:space="preserve"> W. „niemand kann nicht“. Die doppelte Verneinung verstärkt die Aussage.</w:t>
      </w:r>
    </w:p>
  </w:footnote>
  <w:footnote w:id="1360">
    <w:p>
      <w:pPr>
        <w:pStyle w:val="Funote"/>
        <w:rPr/>
      </w:pPr>
      <w:r>
        <w:rPr>
          <w:i/>
        </w:rPr>
        <w:footnoteRef/>
        <w:tab/>
        <w:t>eindringen und</w:t>
      </w:r>
      <w:r>
        <w:rPr/>
        <w:t xml:space="preserve"> </w:t>
      </w:r>
      <w:hyperlink r:id="rId195">
        <w:r>
          <w:rPr>
            <w:rStyle w:val="Internetlink"/>
          </w:rPr>
          <w:t>Ptz. conj.</w:t>
        </w:r>
      </w:hyperlink>
      <w:r>
        <w:rPr/>
        <w:t>, temporal, mit „und“ beigeordnet.</w:t>
      </w:r>
    </w:p>
  </w:footnote>
  <w:footnote w:id="1361">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2">
    <w:p>
      <w:pPr>
        <w:pStyle w:val="Funote"/>
        <w:rPr/>
      </w:pPr>
      <w:r>
        <w:rPr/>
        <w:footnoteRef/>
        <w:tab/>
        <w:t>kann ausplündern Als modales Futur verstanden (NSS).</w:t>
      </w:r>
    </w:p>
  </w:footnote>
  <w:footnote w:id="1363">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4">
    <w:p>
      <w:pPr>
        <w:pStyle w:val="Funote"/>
        <w:rPr/>
      </w:pPr>
      <w:r>
        <w:rPr>
          <w:i/>
        </w:rPr>
        <w:footnoteRef/>
        <w:tab/>
        <w:t>Kindern (Söhnen) der Menschen</w:t>
      </w:r>
      <w:r>
        <w:rPr/>
        <w:t xml:space="preserve"> Semitische Formulierung, die einfach „Menschen“ oder „die Menschheit“ umschreibt. Kinder gibt den geschlechtlich unbestimmten Plural von „Sohn“ inklusiv wieder (</w:t>
      </w:r>
      <w:hyperlink r:id="rId196">
        <w:r>
          <w:rPr>
            <w:rStyle w:val="Internetlink"/>
          </w:rPr>
          <w:t>Generisches Maskulinum</w:t>
        </w:r>
      </w:hyperlink>
      <w:r>
        <w:rPr/>
        <w:t>).</w:t>
      </w:r>
    </w:p>
  </w:footnote>
  <w:footnote w:id="1365">
    <w:p>
      <w:pPr>
        <w:pStyle w:val="Funote"/>
        <w:rPr/>
      </w:pPr>
      <w:r>
        <w:rPr/>
        <w:footnoteRef/>
        <w:tab/>
        <w:t>kann (wird) vergeben werden Das Futur ist wohl modal (NSS).</w:t>
      </w:r>
    </w:p>
  </w:footnote>
  <w:footnote w:id="1366">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7">
    <w:p>
      <w:pPr>
        <w:pStyle w:val="Funote"/>
        <w:rPr/>
      </w:pPr>
      <w:r>
        <w:rPr>
          <w:i/>
        </w:rPr>
        <w:footnoteRef/>
        <w:tab/>
        <w:t>besessen</w:t>
      </w:r>
      <w:r>
        <w:rPr/>
        <w:t xml:space="preserve"> W. „Er hat einen unreinen Geist!“ Dazu s. die Erklärung in der </w:t>
      </w:r>
      <w:hyperlink w:anchor="note_aq">
        <w:r>
          <w:rPr>
            <w:rStyle w:val="Internetlink"/>
          </w:rPr>
          <w:t>Fußnote zu V. 22</w:t>
        </w:r>
      </w:hyperlink>
      <w:r>
        <w:rPr/>
        <w:t>.</w:t>
      </w:r>
    </w:p>
  </w:footnote>
  <w:footnote w:id="1368">
    <w:p>
      <w:pPr>
        <w:pStyle w:val="Funote"/>
        <w:rPr/>
      </w:pPr>
      <w:r>
        <w:rPr>
          <w:i/>
        </w:rPr>
        <w:footnoteRef/>
        <w:tab/>
        <w:t>kamen</w:t>
      </w:r>
      <w:r>
        <w:rPr/>
        <w:t xml:space="preserve"> </w:t>
      </w:r>
      <w:hyperlink r:id="rId197">
        <w:r>
          <w:rPr>
            <w:rStyle w:val="Internetlink"/>
          </w:rPr>
          <w:t>Historisches Präsens</w:t>
        </w:r>
      </w:hyperlink>
      <w:r>
        <w:rPr/>
        <w:t xml:space="preserve">, W. „kam“. </w:t>
      </w:r>
    </w:p>
  </w:footnote>
  <w:footnote w:id="1369">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70">
    <w:p>
      <w:pPr>
        <w:pStyle w:val="Funote"/>
        <w:rPr/>
      </w:pPr>
      <w:r>
        <w:rPr>
          <w:i/>
        </w:rPr>
        <w:footnoteRef/>
        <w:tab/>
        <w:t>Sie blieben stehen und</w:t>
      </w:r>
      <w:r>
        <w:rPr/>
        <w:t xml:space="preserve"> </w:t>
      </w:r>
      <w:hyperlink r:id="rId198">
        <w:r>
          <w:rPr>
            <w:rStyle w:val="Internetlink"/>
          </w:rPr>
          <w:t>Ptz. conj.</w:t>
        </w:r>
      </w:hyperlink>
      <w:r>
        <w:rPr/>
        <w:t>, temporal oder modal, als mit „und“ beigeordneter Satz aufgelöst.</w:t>
      </w:r>
    </w:p>
  </w:footnote>
  <w:footnote w:id="1371">
    <w:p>
      <w:pPr>
        <w:pStyle w:val="Funote"/>
        <w:rPr/>
      </w:pPr>
      <w:r>
        <w:rPr>
          <w:i/>
        </w:rPr>
        <w:footnoteRef/>
        <w:tab/>
        <w:t>schickten [jemanden] zu ihm (ließen ihm ausrichten)</w:t>
      </w:r>
      <w:r>
        <w:rPr/>
        <w:t xml:space="preserve">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2">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3">
    <w:p>
      <w:pPr>
        <w:pStyle w:val="Funote"/>
        <w:rPr/>
      </w:pPr>
      <w:r>
        <w:rPr/>
        <w:footnoteRef/>
        <w:tab/>
        <w:t>sagten Historisches Präsens. Die Alternativübersetzung in der Klammer versteht das Prädikat unpersönlich (vgl. EÜ, NGÜ).</w:t>
      </w:r>
    </w:p>
  </w:footnote>
  <w:footnote w:id="1374">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5">
    <w:p>
      <w:pPr>
        <w:pStyle w:val="Funote"/>
        <w:rPr/>
      </w:pPr>
      <w:r>
        <w:rPr>
          <w:i/>
        </w:rPr>
        <w:footnoteRef/>
        <w:tab/>
        <w:t>antwortete ihnen {und sagte}</w:t>
      </w:r>
      <w:r>
        <w:rPr/>
        <w:t xml:space="preserve"> Zu </w:t>
      </w:r>
      <w:r>
        <w:rPr>
          <w:i/>
        </w:rPr>
        <w:t>antwortete</w:t>
      </w:r>
      <w:r>
        <w:rPr/>
        <w:t xml:space="preserve">: </w:t>
      </w:r>
      <w:hyperlink r:id="rId199">
        <w:r>
          <w:rPr>
            <w:rStyle w:val="Internetlink"/>
          </w:rPr>
          <w:t>Ptz. conj.</w:t>
        </w:r>
      </w:hyperlink>
      <w:r>
        <w:rPr/>
        <w:t xml:space="preserve"> (modal-temporal), mit „und“ beigeordnet. </w:t>
      </w:r>
      <w:r>
        <w:rPr>
          <w:i/>
        </w:rPr>
        <w:t>{und sagte}</w:t>
      </w:r>
      <w:r>
        <w:rPr/>
        <w:t xml:space="preserve"> </w:t>
      </w:r>
      <w:hyperlink r:id="rId200">
        <w:r>
          <w:rPr>
            <w:rStyle w:val="Internetlink"/>
          </w:rPr>
          <w:t>Historisches Präsens</w:t>
        </w:r>
      </w:hyperlink>
      <w:r>
        <w:rPr/>
        <w:t>. Im Deutschen ist das doppelte Prädikat unnötig.</w:t>
      </w:r>
    </w:p>
  </w:footnote>
  <w:footnote w:id="1376">
    <w:p>
      <w:pPr>
        <w:pStyle w:val="Funote"/>
        <w:rPr/>
      </w:pPr>
      <w:r>
        <w:rPr>
          <w:i/>
        </w:rPr>
        <w:footnoteRef/>
        <w:tab/>
        <w:t>sind</w:t>
      </w:r>
      <w:r>
        <w:rPr/>
        <w:t xml:space="preserve"> W. „ist“ </w:t>
      </w:r>
    </w:p>
  </w:footnote>
  <w:footnote w:id="1377">
    <w:p>
      <w:pPr>
        <w:pStyle w:val="Funote"/>
        <w:rPr/>
      </w:pPr>
      <w:r>
        <w:rPr>
          <w:i/>
        </w:rPr>
        <w:footnoteRef/>
        <w:tab/>
        <w:t>während (indem, nachdem) er der Reihe nach anschaute</w:t>
      </w:r>
      <w:r>
        <w:rPr/>
        <w:t xml:space="preserve"> </w:t>
      </w:r>
      <w:hyperlink r:id="rId201">
        <w:r>
          <w:rPr>
            <w:rStyle w:val="Internetlink"/>
          </w:rPr>
          <w:t>Ptz. conj.</w:t>
        </w:r>
      </w:hyperlink>
      <w:r>
        <w:rPr/>
        <w:t xml:space="preserve"> (Aor.), temporal-modal als Nebensatz aufgelöst.</w:t>
      </w:r>
    </w:p>
  </w:footnote>
  <w:footnote w:id="1378">
    <w:p>
      <w:pPr>
        <w:pStyle w:val="Funote"/>
        <w:rPr/>
      </w:pPr>
      <w:r>
        <w:rPr/>
        <w:footnoteRef/>
        <w:tab/>
        <w:t>[im] Kreis Erstarrter lokaler Dativ (NSS).</w:t>
      </w:r>
    </w:p>
  </w:footnote>
  <w:footnote w:id="1379">
    <w:p>
      <w:pPr>
        <w:pStyle w:val="Funote"/>
        <w:rPr/>
      </w:pPr>
      <w:r>
        <w:rPr>
          <w:i/>
        </w:rPr>
        <w:footnoteRef/>
        <w:tab/>
        <w:t>[alle], die ... saßen</w:t>
      </w:r>
      <w:r>
        <w:rPr/>
        <w:t xml:space="preserve"> </w:t>
      </w:r>
      <w:hyperlink r:id="rId202">
        <w:r>
          <w:rPr>
            <w:rStyle w:val="Internetlink"/>
          </w:rPr>
          <w:t>Substantiviertes Partizip</w:t>
        </w:r>
      </w:hyperlink>
      <w:r>
        <w:rPr/>
        <w:t>, als Relativsatz aufgelöst.</w:t>
      </w:r>
    </w:p>
  </w:footnote>
  <w:footnote w:id="1380">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1">
    <w:p>
      <w:pPr>
        <w:pStyle w:val="Funote"/>
        <w:rPr/>
      </w:pPr>
      <w:r>
        <w:rPr/>
        <w:footnoteRef/>
        <w:tab/>
        <w:t>[Status: Zuverlässig]</w:t>
      </w:r>
    </w:p>
  </w:footnote>
  <w:footnote w:id="1382">
    <w:p>
      <w:pPr>
        <w:pStyle w:val="Funote"/>
        <w:rPr/>
      </w:pPr>
      <w:r>
        <w:rPr>
          <w:i/>
        </w:rPr>
        <w:footnoteRef/>
        <w:tab/>
        <w:t>Meer</w:t>
      </w:r>
      <w:r>
        <w:rPr/>
        <w:t xml:space="preserve"> Gemeint ist wie schon in Mk 2,13; 3,7 der See Gennesaret, das „Meer von Galiläa“. Bisher hat sich Jesus fast nur in Galiläa aufgehalten.</w:t>
      </w:r>
    </w:p>
  </w:footnote>
  <w:footnote w:id="1383">
    <w:p>
      <w:pPr>
        <w:pStyle w:val="Funote"/>
        <w:rPr/>
      </w:pPr>
      <w:r>
        <w:rPr>
          <w:i/>
        </w:rPr>
        <w:footnoteRef/>
        <w:tab/>
        <w:t>stieg und</w:t>
      </w:r>
      <w:r>
        <w:rPr/>
        <w:t xml:space="preserve"> </w:t>
      </w:r>
      <w:hyperlink r:id="rId203">
        <w:r>
          <w:rPr>
            <w:rStyle w:val="Internetlink"/>
          </w:rPr>
          <w:t>Ptz. conj.</w:t>
        </w:r>
      </w:hyperlink>
      <w:r>
        <w:rPr/>
        <w:t>, temporal, mit „und“ beigeordnet übersetzt.</w:t>
      </w:r>
    </w:p>
  </w:footnote>
  <w:footnote w:id="1384">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5">
    <w:p>
      <w:pPr>
        <w:pStyle w:val="Funote"/>
        <w:rPr/>
      </w:pPr>
      <w:r>
        <w:rPr>
          <w:i/>
        </w:rPr>
        <w:footnoteRef/>
        <w:tab/>
        <w:t>blieb (war)</w:t>
      </w:r>
      <w:r>
        <w:rPr/>
        <w:t xml:space="preserve"> W. „waren“ (</w:t>
      </w:r>
      <w:hyperlink r:id="rId204">
        <w:r>
          <w:rPr>
            <w:rStyle w:val="Internetlink"/>
          </w:rPr>
          <w:t>Constructio ad sensum</w:t>
        </w:r>
      </w:hyperlink>
      <w:r>
        <w:rPr/>
        <w:t>).</w:t>
      </w:r>
    </w:p>
  </w:footnote>
  <w:footnote w:id="1386">
    <w:p>
      <w:pPr>
        <w:pStyle w:val="Funote"/>
        <w:rPr/>
      </w:pPr>
      <w:r>
        <w:rPr>
          <w:i/>
        </w:rPr>
        <w:footnoteRef/>
        <w:tab/>
        <w:t>am Ufer</w:t>
      </w:r>
      <w:r>
        <w:rPr/>
        <w:t xml:space="preserve"> W. „(nah) am Meer“ oder „zum Meer hin gewandt“.</w:t>
      </w:r>
    </w:p>
  </w:footnote>
  <w:footnote w:id="1387">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8">
    <w:p>
      <w:pPr>
        <w:pStyle w:val="Funote"/>
        <w:rPr/>
      </w:pPr>
      <w:r>
        <w:rPr/>
        <w:footnoteRef/>
        <w:tab/>
        <w:t>während er lehrte LUT: „in seiner Predigt sprach er zu ihnen“, GNB, NGÜ: „Unter anderem sagte er“</w:t>
      </w:r>
    </w:p>
  </w:footnote>
  <w:footnote w:id="1389">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90">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1">
    <w:p>
      <w:pPr>
        <w:pStyle w:val="Funote"/>
        <w:rPr/>
      </w:pPr>
      <w:r>
        <w:rPr>
          <w:i/>
        </w:rPr>
        <w:footnoteRef/>
        <w:tab/>
        <w:t>Wurzeln</w:t>
      </w:r>
      <w:r>
        <w:rPr/>
        <w:t xml:space="preserve"> W. „Wurzel“</w:t>
      </w:r>
    </w:p>
  </w:footnote>
  <w:footnote w:id="1392">
    <w:p>
      <w:pPr>
        <w:pStyle w:val="Funote"/>
        <w:rPr/>
      </w:pPr>
      <w:r>
        <w:rPr>
          <w:i/>
        </w:rPr>
        <w:footnoteRef/>
        <w:tab/>
        <w:t>indem (während, wobei) er aufging und wuchs</w:t>
      </w:r>
      <w:r>
        <w:rPr/>
        <w:t xml:space="preserve"> Zwei </w:t>
      </w:r>
      <w:hyperlink r:id="rId205">
        <w:r>
          <w:rPr>
            <w:rStyle w:val="Internetlink"/>
          </w:rPr>
          <w:t>Ptz. conj.</w:t>
        </w:r>
      </w:hyperlink>
      <w:r>
        <w:rPr/>
        <w:t>, modal-temporal Nebensatz übersetzt.</w:t>
      </w:r>
    </w:p>
  </w:footnote>
  <w:footnote w:id="1393">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4">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5">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6">
    <w:p>
      <w:pPr>
        <w:pStyle w:val="Funote"/>
        <w:rPr/>
      </w:pPr>
      <w:r>
        <w:rPr>
          <w:i/>
        </w:rPr>
        <w:footnoteRef/>
        <w:tab/>
        <w:t>sagte</w:t>
      </w:r>
      <w:r>
        <w:rPr/>
        <w:t xml:space="preserve"> </w:t>
      </w:r>
      <w:hyperlink r:id="rId206">
        <w:r>
          <w:rPr>
            <w:rStyle w:val="Internetlink"/>
          </w:rPr>
          <w:t>Imperfekt</w:t>
        </w:r>
      </w:hyperlink>
      <w:r>
        <w:rPr/>
        <w:t>, zur Erklärung siehe die vorige Fußnote.</w:t>
      </w:r>
    </w:p>
  </w:footnote>
  <w:footnote w:id="1397">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8">
    <w:p>
      <w:pPr>
        <w:pStyle w:val="Funote"/>
        <w:rPr/>
      </w:pPr>
      <w:r>
        <w:rPr>
          <w:i/>
        </w:rPr>
        <w:footnoteRef/>
        <w:tab/>
        <w:t>dieses Gleichnis</w:t>
      </w:r>
      <w:r>
        <w:rPr/>
        <w:t xml:space="preserve"> Jesus spricht nun wieder vom Gleichnis von der Saat (Mk 4,3-9). Die Beschreibung von Jesu (üblicher?) Antwort auf derartige Fragen nach seinen Gleichnissen (s. die </w:t>
      </w:r>
      <w:hyperlink w:anchor="note_n">
        <w:r>
          <w:rPr>
            <w:rStyle w:val="Internetlink"/>
          </w:rPr>
          <w:t>Fußnote in V. 10</w:t>
        </w:r>
      </w:hyperlink>
      <w:r>
        <w:rPr/>
        <w:t>) endet in V. 12.</w:t>
      </w:r>
    </w:p>
  </w:footnote>
  <w:footnote w:id="1399">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400">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1">
    <w:p>
      <w:pPr>
        <w:pStyle w:val="Funote"/>
        <w:rPr/>
      </w:pPr>
      <w:r>
        <w:rPr>
          <w:i/>
        </w:rPr>
        <w:footnoteRef/>
        <w:tab/>
        <w:t>die das Wort gleich mit Freuden annehmen, sobald sie es hören</w:t>
      </w:r>
      <w:r>
        <w:rPr/>
        <w:t xml:space="preserve"> W. „die, sobald sie das Wort hören, es gleich mit Freuden annehmen“</w:t>
      </w:r>
    </w:p>
  </w:footnote>
  <w:footnote w:id="1402">
    <w:p>
      <w:pPr>
        <w:pStyle w:val="Funote"/>
        <w:rPr/>
      </w:pPr>
      <w:r>
        <w:rPr>
          <w:i/>
        </w:rPr>
        <w:footnoteRef/>
        <w:tab/>
        <w:t>wenn es … zu … kommt</w:t>
      </w:r>
      <w:r>
        <w:rPr/>
        <w:t xml:space="preserve"> Temporal aufgelöster </w:t>
      </w:r>
      <w:hyperlink r:id="rId207">
        <w:r>
          <w:rPr>
            <w:rStyle w:val="Internetlink"/>
          </w:rPr>
          <w:t>Genitivus absolutus</w:t>
        </w:r>
      </w:hyperlink>
      <w:r>
        <w:rPr/>
        <w:t>.</w:t>
      </w:r>
    </w:p>
  </w:footnote>
  <w:footnote w:id="1403">
    <w:p>
      <w:pPr>
        <w:pStyle w:val="Funote"/>
        <w:rPr/>
      </w:pPr>
      <w:r>
        <w:rPr>
          <w:i/>
        </w:rPr>
        <w:footnoteRef/>
        <w:tab/>
        <w:t>die … hören</w:t>
      </w:r>
      <w:r>
        <w:rPr/>
        <w:t xml:space="preserve"> bzw. </w:t>
      </w:r>
      <w:r>
        <w:rPr>
          <w:i/>
        </w:rPr>
        <w:t>gehört haben</w:t>
      </w:r>
      <w:r>
        <w:rPr/>
        <w:t xml:space="preserve"> Als Relativsatz aufgelöstes </w:t>
      </w:r>
      <w:hyperlink r:id="rId208">
        <w:r>
          <w:rPr>
            <w:rStyle w:val="Internetlink"/>
          </w:rPr>
          <w:t>substantiviertes Partizip</w:t>
        </w:r>
      </w:hyperlink>
      <w:r>
        <w:rPr/>
        <w:t>. Man kann das Partizip Aorist sowohl vorzeitig wie gleichzeitig übersetzen.</w:t>
      </w:r>
    </w:p>
  </w:footnote>
  <w:footnote w:id="1404">
    <w:p>
      <w:pPr>
        <w:pStyle w:val="Funote"/>
        <w:rPr/>
      </w:pPr>
      <w:r>
        <w:rPr>
          <w:i/>
        </w:rPr>
        <w:footnoteRef/>
        <w:tab/>
        <w:t>weltliche Sorgen</w:t>
      </w:r>
      <w:r>
        <w:rPr/>
        <w:t xml:space="preserve"> W. „Sorgen der Welt/Zeit/Gegenwart“, </w:t>
      </w:r>
      <w:hyperlink r:id="rId209">
        <w:r>
          <w:rPr>
            <w:rStyle w:val="Internetlink"/>
          </w:rPr>
          <w:t>appositiver Genitiv</w:t>
        </w:r>
      </w:hyperlink>
      <w:r>
        <w:rPr/>
        <w:t>.</w:t>
      </w:r>
    </w:p>
  </w:footnote>
  <w:footnote w:id="1405">
    <w:p>
      <w:pPr>
        <w:pStyle w:val="Funote"/>
        <w:rPr/>
      </w:pPr>
      <w:r>
        <w:rPr>
          <w:i/>
        </w:rPr>
        <w:footnoteRef/>
        <w:tab/>
        <w:t>wenn … dazukommen</w:t>
      </w:r>
      <w:r>
        <w:rPr/>
        <w:t xml:space="preserve"> Temporal aufgelöstes </w:t>
      </w:r>
      <w:hyperlink r:id="rId210">
        <w:r>
          <w:rPr>
            <w:rStyle w:val="Internetlink"/>
          </w:rPr>
          <w:t>Ptz. conj.</w:t>
        </w:r>
      </w:hyperlink>
      <w:r>
        <w:rPr/>
        <w:t>.</w:t>
      </w:r>
    </w:p>
  </w:footnote>
  <w:footnote w:id="1406">
    <w:p>
      <w:pPr>
        <w:pStyle w:val="Funote"/>
        <w:rPr/>
      </w:pPr>
      <w:r>
        <w:rPr>
          <w:i/>
        </w:rPr>
        <w:footnoteRef/>
        <w:tab/>
        <w:t>die … gesät werden</w:t>
      </w:r>
      <w:r>
        <w:rPr/>
        <w:t xml:space="preserve"> Als Relativsatz aufgelöstes </w:t>
      </w:r>
      <w:hyperlink r:id="rId211">
        <w:r>
          <w:rPr>
            <w:rStyle w:val="Internetlink"/>
          </w:rPr>
          <w:t>subst. Ptz.</w:t>
        </w:r>
      </w:hyperlink>
      <w:r>
        <w:rPr/>
        <w:t>.</w:t>
      </w:r>
    </w:p>
  </w:footnote>
  <w:footnote w:id="1407">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8">
    <w:p>
      <w:pPr>
        <w:pStyle w:val="Funote"/>
        <w:rPr/>
      </w:pPr>
      <w:r>
        <w:rPr/>
        <w:footnoteRef/>
        <w:tab/>
        <w:t>Bringt man W. »kommt«, d.h. etwa »wird herbeigebracht«, eine gängige griechische Wendung (NSS).</w:t>
      </w:r>
    </w:p>
  </w:footnote>
  <w:footnote w:id="1409">
    <w:p>
      <w:pPr>
        <w:pStyle w:val="Funote"/>
        <w:rPr/>
      </w:pPr>
      <w:r>
        <w:rPr>
          <w:i/>
        </w:rPr>
        <w:footnoteRef/>
        <w:tab/>
        <w:t>um zu stellen</w:t>
      </w:r>
      <w:r>
        <w:rPr/>
        <w:t xml:space="preserve"> (2x) Oder etwas genauer an der griechischen Syntax orientiert: „damit … gestellt wird“</w:t>
      </w:r>
    </w:p>
  </w:footnote>
  <w:footnote w:id="1410">
    <w:p>
      <w:pPr>
        <w:pStyle w:val="Funote"/>
        <w:rPr/>
      </w:pPr>
      <w:r>
        <w:rPr>
          <w:i/>
        </w:rPr>
        <w:footnoteRef/>
        <w:tab/>
        <w:t>um zu machen</w:t>
      </w:r>
      <w:r>
        <w:rPr/>
        <w:t xml:space="preserve"> Oder etwas genauer an der griechischen Syntax orientiert: „damit … gemacht wird“</w:t>
      </w:r>
    </w:p>
  </w:footnote>
  <w:footnote w:id="1411">
    <w:p>
      <w:pPr>
        <w:pStyle w:val="Funote"/>
        <w:rPr/>
      </w:pPr>
      <w:r>
        <w:rPr>
          <w:i/>
        </w:rPr>
        <w:footnoteRef/>
        <w:tab/>
        <w:t>Während … {und}</w:t>
      </w:r>
      <w:r>
        <w:rPr/>
        <w:t xml:space="preserve"> W. „und … und“. In Markus' volkstümlichem Griechisch entspricht das wohl (ähnlich wie im Hebräischen) einer temporalen Verbindung (vgl. Mk 2,23), daher die Wiedergabe als temporaler Nebensatz.</w:t>
      </w:r>
    </w:p>
  </w:footnote>
  <w:footnote w:id="1412">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3">
    <w:p>
      <w:pPr>
        <w:pStyle w:val="Funote"/>
        <w:rPr/>
      </w:pPr>
      <w:r>
        <w:rPr>
          <w:i/>
        </w:rPr>
        <w:footnoteRef/>
        <w:tab/>
        <w:t>voll ausgereiftem Weizen</w:t>
      </w:r>
      <w:r>
        <w:rPr/>
        <w:t xml:space="preserve"> bezieht sich auf die Körner in der Ähre. </w:t>
      </w:r>
    </w:p>
  </w:footnote>
  <w:footnote w:id="1414">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5">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6">
    <w:p>
      <w:pPr>
        <w:pStyle w:val="Funote"/>
        <w:rPr/>
      </w:pPr>
      <w:r>
        <w:rPr/>
        <w:footnoteRef/>
        <w:tab/>
        <w:t>[das] kleinste W. »kleiner«. Superlativisch gebrauchter Komparativ (NSS).</w:t>
      </w:r>
    </w:p>
  </w:footnote>
  <w:footnote w:id="1417">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8">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9">
    <w:p>
      <w:pPr>
        <w:pStyle w:val="Funote"/>
        <w:rPr/>
      </w:pPr>
      <w:r>
        <w:rPr>
          <w:i/>
        </w:rPr>
        <w:footnoteRef/>
        <w:tab/>
        <w:t>in seinem Schatten</w:t>
      </w:r>
      <w:r>
        <w:rPr/>
        <w:t xml:space="preserve"> W. „unter seinem Schatten“</w:t>
      </w:r>
    </w:p>
  </w:footnote>
  <w:footnote w:id="1420">
    <w:p>
      <w:pPr>
        <w:pStyle w:val="Funote"/>
        <w:rPr/>
      </w:pPr>
      <w:r>
        <w:rPr>
          <w:i/>
        </w:rPr>
        <w:footnoteRef/>
        <w:tab/>
        <w:t>erläuterte</w:t>
      </w:r>
      <w:r>
        <w:rPr/>
        <w:t xml:space="preserve"> Das Imperfekt drückt entweder eine grundsätzliche Gepflogenheit aus oder hat die Predigt von Mk 4,2 im Sinn. Zur Phrase </w:t>
      </w:r>
      <w:r>
        <w:rPr>
          <w:i/>
        </w:rPr>
        <w:t>erläuterte ihnen [seine] Botschaft</w:t>
      </w:r>
      <w:r>
        <w:rPr/>
        <w:t xml:space="preserve"> s. die </w:t>
      </w:r>
      <w:r>
        <w:fldChar w:fldCharType="begin"/>
      </w:r>
      <w:r>
        <w:instrText> HYPERLINK "file:///wiki/Markus_2" \l "note_e"</w:instrText>
      </w:r>
      <w:r>
        <w:fldChar w:fldCharType="separate"/>
      </w:r>
      <w:r>
        <w:rPr>
          <w:rStyle w:val="Internetlink"/>
        </w:rPr>
        <w:t>Fußnote zu Mk 2,2</w:t>
      </w:r>
      <w:r>
        <w:fldChar w:fldCharType="end"/>
      </w:r>
      <w:r>
        <w:rPr/>
        <w:t xml:space="preserve"> und die folgende Fußnote zu </w:t>
      </w:r>
      <w:r>
        <w:rPr>
          <w:i/>
        </w:rPr>
        <w:t>Wort</w:t>
      </w:r>
      <w:r>
        <w:rPr/>
        <w:t>.</w:t>
      </w:r>
    </w:p>
  </w:footnote>
  <w:footnote w:id="1421">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2">
    <w:p>
      <w:pPr>
        <w:pStyle w:val="Funote"/>
        <w:rPr/>
      </w:pPr>
      <w:r>
        <w:rPr/>
        <w:footnoteRef/>
        <w:tab/>
        <w:t>Jünger Gemeint sind hier nicht nur die Zwölf, sondern die größere Gruppe seiner Anhänger, die schon in V. 10 im Blick war (Collins 2007, 256).</w:t>
      </w:r>
    </w:p>
  </w:footnote>
  <w:footnote w:id="1423">
    <w:p>
      <w:pPr>
        <w:pStyle w:val="Funote"/>
        <w:rPr/>
      </w:pPr>
      <w:r>
        <w:rPr>
          <w:i/>
        </w:rPr>
        <w:footnoteRef/>
        <w:tab/>
        <w:t>sprach</w:t>
      </w:r>
      <w:r>
        <w:rPr/>
        <w:t xml:space="preserve"> und </w:t>
      </w:r>
      <w:r>
        <w:rPr>
          <w:i/>
        </w:rPr>
        <w:t>erklärte</w:t>
      </w:r>
      <w:r>
        <w:rPr/>
        <w:t xml:space="preserve"> stehen im </w:t>
      </w:r>
      <w:hyperlink r:id="rId212">
        <w:r>
          <w:rPr>
            <w:rStyle w:val="Internetlink"/>
          </w:rPr>
          <w:t>Imperfekt</w:t>
        </w:r>
      </w:hyperlink>
      <w:r>
        <w:rPr/>
        <w:t xml:space="preserve">, wie große Teile der Rahmenhandlung in Kap. 4. Dazu vgl. die Fußnoten zu </w:t>
      </w:r>
      <w:hyperlink w:anchor="note_o">
        <w:r>
          <w:rPr>
            <w:rStyle w:val="Internetlink"/>
          </w:rPr>
          <w:t>V. 10</w:t>
        </w:r>
      </w:hyperlink>
      <w:r>
        <w:rPr/>
        <w:t xml:space="preserve"> und </w:t>
      </w:r>
      <w:hyperlink w:anchor="note_n">
        <w:r>
          <w:rPr>
            <w:rStyle w:val="Internetlink"/>
          </w:rPr>
          <w:t>9</w:t>
        </w:r>
      </w:hyperlink>
      <w:r>
        <w:rPr/>
        <w:t xml:space="preserve"> sowie </w:t>
      </w:r>
      <w:hyperlink w:anchor="note_ao">
        <w:r>
          <w:rPr>
            <w:rStyle w:val="Internetlink"/>
          </w:rPr>
          <w:t>V. 33</w:t>
        </w:r>
      </w:hyperlink>
      <w:r>
        <w:rPr/>
        <w:t>.</w:t>
      </w:r>
    </w:p>
  </w:footnote>
  <w:footnote w:id="1424">
    <w:p>
      <w:pPr>
        <w:pStyle w:val="Funote"/>
        <w:rPr/>
      </w:pPr>
      <w:r>
        <w:rPr>
          <w:i/>
        </w:rPr>
        <w:footnoteRef/>
        <w:tab/>
        <w:t>als es Abend geworden war</w:t>
      </w:r>
      <w:r>
        <w:rPr/>
        <w:t xml:space="preserve"> </w:t>
      </w:r>
      <w:hyperlink r:id="rId213">
        <w:r>
          <w:rPr>
            <w:rStyle w:val="Internetlink"/>
          </w:rPr>
          <w:t>Gen. abs.</w:t>
        </w:r>
      </w:hyperlink>
      <w:r>
        <w:rPr/>
        <w:t>, temporal als Nebensatz aufgelöst.</w:t>
      </w:r>
    </w:p>
  </w:footnote>
  <w:footnote w:id="1425">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6">
    <w:p>
      <w:pPr>
        <w:pStyle w:val="Funote"/>
        <w:rPr/>
      </w:pPr>
      <w:r>
        <w:rPr>
          <w:i/>
        </w:rPr>
        <w:footnoteRef/>
        <w:tab/>
        <w:t>nachdem sie die Menschenmenge weggeschickt hatten (wobei … zurückließen)</w:t>
      </w:r>
      <w:r>
        <w:rPr/>
        <w:t xml:space="preserve"> </w:t>
      </w:r>
      <w:hyperlink r:id="rId214">
        <w:r>
          <w:rPr>
            <w:rStyle w:val="Internetlink"/>
          </w:rPr>
          <w:t>Ptz. conj.</w:t>
        </w:r>
      </w:hyperlink>
      <w:r>
        <w:rPr/>
        <w:t>, temporal (oder modal) als Nebensatz aufgelöst. Deutsche Übersetzungen verwenden durchweg „wegschicken“, englische „zurücklassen“.</w:t>
      </w:r>
    </w:p>
  </w:footnote>
  <w:footnote w:id="1427">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8">
    <w:p>
      <w:pPr>
        <w:pStyle w:val="Funote"/>
        <w:rPr/>
      </w:pPr>
      <w:r>
        <w:rPr>
          <w:i/>
        </w:rPr>
        <w:footnoteRef/>
        <w:tab/>
        <w:t>starker Sturmwind</w:t>
      </w:r>
      <w:r>
        <w:rPr/>
        <w:t xml:space="preserve"> W. „großer Sturmwind [des] Windes“, eine Formulierung, die sich vielleicht an Jona 1,4 anlehnt.</w:t>
      </w:r>
    </w:p>
  </w:footnote>
  <w:footnote w:id="1429">
    <w:p>
      <w:pPr>
        <w:pStyle w:val="Funote"/>
        <w:rPr/>
      </w:pPr>
      <w:r>
        <w:rPr>
          <w:i/>
        </w:rPr>
        <w:footnoteRef/>
        <w:tab/>
        <w:t>schlugen [bald]</w:t>
      </w:r>
      <w:r>
        <w:rPr/>
        <w:t xml:space="preserve"> </w:t>
      </w:r>
      <w:hyperlink r:id="rId215">
        <w:r>
          <w:rPr>
            <w:rStyle w:val="Internetlink"/>
          </w:rPr>
          <w:t>Imperfekt</w:t>
        </w:r>
      </w:hyperlink>
      <w:r>
        <w:rPr/>
        <w:t xml:space="preserve">, </w:t>
      </w:r>
      <w:r>
        <w:rPr>
          <w:i/>
        </w:rPr>
        <w:t>[langsam] füllte</w:t>
      </w:r>
      <w:r>
        <w:rPr/>
        <w:t xml:space="preserve"> </w:t>
      </w:r>
      <w:hyperlink r:id="rId216">
        <w:r>
          <w:rPr>
            <w:rStyle w:val="Internetlink"/>
          </w:rPr>
          <w:t>Infinitiv</w:t>
        </w:r>
      </w:hyperlink>
      <w:r>
        <w:rPr/>
        <w:t xml:space="preserve"> Präsens (im AcI). Beide Tempusformen suggerieren einen anhaltenden Vorgang, der durch die mit angegebenen Worteinfügungen kenntlich gemacht wurde.</w:t>
      </w:r>
    </w:p>
  </w:footnote>
  <w:footnote w:id="1430">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1">
    <w:p>
      <w:pPr>
        <w:pStyle w:val="Funote"/>
        <w:rPr/>
      </w:pPr>
      <w:r>
        <w:rPr>
          <w:i/>
        </w:rPr>
        <w:footnoteRef/>
        <w:tab/>
        <w:t>wachte auf</w:t>
      </w:r>
      <w:r>
        <w:rPr/>
        <w:t xml:space="preserve"> </w:t>
      </w:r>
      <w:hyperlink r:id="rId217">
        <w:r>
          <w:rPr>
            <w:rStyle w:val="Internetlink"/>
          </w:rPr>
          <w:t>Ptz. conj.</w:t>
        </w:r>
      </w:hyperlink>
      <w:r>
        <w:rPr/>
        <w:t xml:space="preserve"> (Aor.), temporal, beigeordnet aufgelöst.</w:t>
      </w:r>
    </w:p>
  </w:footnote>
  <w:footnote w:id="1432">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3">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4">
    <w:p>
      <w:pPr>
        <w:pStyle w:val="Funote"/>
        <w:rPr/>
      </w:pPr>
      <w:r>
        <w:rPr>
          <w:i/>
        </w:rPr>
        <w:footnoteRef/>
        <w:tab/>
        <w:t>gehorchen</w:t>
      </w:r>
      <w:r>
        <w:rPr/>
        <w:t xml:space="preserve"> W. „gehorcht“</w:t>
      </w:r>
    </w:p>
  </w:footnote>
  <w:footnote w:id="1435">
    <w:p>
      <w:pPr>
        <w:pStyle w:val="Funote"/>
        <w:rPr/>
      </w:pPr>
      <w:r>
        <w:rPr/>
        <w:footnoteRef/>
        <w:tab/>
        <w:t>[Status: Zuverlässig]</w:t>
      </w:r>
    </w:p>
  </w:footnote>
  <w:footnote w:id="1436">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7">
    <w:p>
      <w:pPr>
        <w:pStyle w:val="Funote"/>
        <w:rPr/>
      </w:pPr>
      <w:r>
        <w:rPr>
          <w:i/>
        </w:rPr>
        <w:footnoteRef/>
        <w:tab/>
        <w:t>als er ... gestiegen war (stieg)</w:t>
      </w:r>
      <w:r>
        <w:rPr/>
        <w:t xml:space="preserve"> </w:t>
      </w:r>
      <w:hyperlink r:id="rId218">
        <w:r>
          <w:rPr>
            <w:rStyle w:val="Internetlink"/>
          </w:rPr>
          <w:t>Gen. abs.</w:t>
        </w:r>
      </w:hyperlink>
      <w:r>
        <w:rPr/>
        <w:t>, temporal aufgelöst.</w:t>
      </w:r>
    </w:p>
  </w:footnote>
  <w:footnote w:id="1438">
    <w:p>
      <w:pPr>
        <w:pStyle w:val="Funote"/>
        <w:rPr/>
      </w:pPr>
      <w:r>
        <w:rPr>
          <w:i/>
        </w:rPr>
        <w:footnoteRef/>
        <w:tab/>
        <w:t>nicht einmal … man … noch</w:t>
      </w:r>
      <w:r>
        <w:rPr/>
        <w:t xml:space="preserve"> W. „nicht einmal … niemand … nicht mehr“. Die dreifache Verneinung intensiviert die ausgedrückte Unmöglichkeit. </w:t>
      </w:r>
    </w:p>
  </w:footnote>
  <w:footnote w:id="1439">
    <w:p>
      <w:pPr>
        <w:pStyle w:val="Funote"/>
        <w:rPr/>
      </w:pPr>
      <w:r>
        <w:rPr>
          <w:i/>
        </w:rPr>
        <w:footnoteRef/>
        <w:tab/>
        <w:t>[mit] Fußfesseln und Ketten gefesselt</w:t>
      </w:r>
      <w:r>
        <w:rPr/>
        <w:t xml:space="preserve"> Schöner wäre „(eisernen) Fuß- und Handfesseln“, etwas freier auch „an Händen und Füßen mit Ketten gefesselt“.</w:t>
      </w:r>
    </w:p>
  </w:footnote>
  <w:footnote w:id="1440">
    <w:p>
      <w:pPr>
        <w:pStyle w:val="Funote"/>
        <w:rPr/>
      </w:pPr>
      <w:r>
        <w:rPr/>
        <w:footnoteRef/>
        <w:tab/>
        <w:t>zerrissen W. „auseinander zerrissen“ (vgl. LN 19.29).</w:t>
      </w:r>
    </w:p>
  </w:footnote>
  <w:footnote w:id="1441">
    <w:p>
      <w:pPr>
        <w:pStyle w:val="Funote"/>
        <w:rPr/>
      </w:pPr>
      <w:r>
        <w:rPr>
          <w:i/>
        </w:rPr>
        <w:footnoteRef/>
        <w:tab/>
        <w:t>hatte ... zerrissen und … zerrieben</w:t>
      </w:r>
      <w:r>
        <w:rPr/>
        <w:t xml:space="preserve"> W. „(die Ketten) waren zerrissen und zerrieben worden“.</w:t>
      </w:r>
    </w:p>
  </w:footnote>
  <w:footnote w:id="1442">
    <w:p>
      <w:pPr>
        <w:pStyle w:val="Funote"/>
        <w:rPr/>
      </w:pPr>
      <w:r>
        <w:rPr>
          <w:i/>
        </w:rPr>
        <w:footnoteRef/>
        <w:tab/>
        <w:t>hielt er sich … auf … wo (wobei, während) er schrie</w:t>
      </w:r>
      <w:r>
        <w:rPr/>
        <w:t xml:space="preserve"> Oder einfach „schrie er ununterbrochen … und schnitt sich“. W. </w:t>
      </w:r>
      <w:r>
        <w:rPr>
          <w:lang w:val="el-GR"/>
        </w:rPr>
        <w:t>ἦν κράζων</w:t>
      </w:r>
      <w:r>
        <w:rPr/>
        <w:t xml:space="preserve"> (w. „war schreiend“) Dieses so genannte periphrastische oder </w:t>
      </w:r>
      <w:hyperlink r:id="rId219">
        <w:r>
          <w:rPr>
            <w:rStyle w:val="Internetlink"/>
          </w:rPr>
          <w:t>umschreibende Partizip</w:t>
        </w:r>
      </w:hyperlink>
      <w:r>
        <w:rPr/>
        <w:t xml:space="preserve"> kann man verschieden übersetzen. Häufig dient es als Beschreibung eines anhaltenden Zustands. Hier wurde das Hauptverb aus stilistischen Gründen separat übersetzt (weitere Infos auf der verlinkten Seite). Der Satz lässt sich auch als HS+</w:t>
      </w:r>
      <w:hyperlink r:id="rId220">
        <w:r>
          <w:rPr>
            <w:rStyle w:val="Internetlink"/>
          </w:rPr>
          <w:t>Ptz. conj.</w:t>
        </w:r>
      </w:hyperlink>
      <w:r>
        <w:rPr/>
        <w:t xml:space="preserve"> (modal-temporal) übersetzen wie in der Klammer; der Unterschied trägt nichts aus. </w:t>
      </w:r>
    </w:p>
  </w:footnote>
  <w:footnote w:id="1443">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4">
    <w:p>
      <w:pPr>
        <w:pStyle w:val="Funote"/>
        <w:rPr/>
      </w:pPr>
      <w:r>
        <w:rPr>
          <w:i/>
        </w:rPr>
        <w:footnoteRef/>
        <w:tab/>
        <w:t>als/weil er sah</w:t>
      </w:r>
      <w:r>
        <w:rPr/>
        <w:t xml:space="preserve"> </w:t>
      </w:r>
      <w:hyperlink r:id="rId221">
        <w:r>
          <w:rPr>
            <w:rStyle w:val="Internetlink"/>
          </w:rPr>
          <w:t>Ptz. conj.</w:t>
        </w:r>
      </w:hyperlink>
      <w:r>
        <w:rPr/>
        <w:t>, als temporaler (oder kausaler) Nebensatz aufgelöst.</w:t>
      </w:r>
    </w:p>
  </w:footnote>
  <w:footnote w:id="1445">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6">
    <w:p>
      <w:pPr>
        <w:pStyle w:val="Funote"/>
        <w:rPr/>
      </w:pPr>
      <w:r>
        <w:rPr>
          <w:i/>
        </w:rPr>
        <w:footnoteRef/>
        <w:tab/>
        <w:t>Er schrie ... und</w:t>
      </w:r>
      <w:r>
        <w:rPr/>
        <w:t xml:space="preserve"> </w:t>
      </w:r>
      <w:hyperlink r:id="rId222">
        <w:r>
          <w:rPr>
            <w:rStyle w:val="Internetlink"/>
          </w:rPr>
          <w:t>Ptz. conj.</w:t>
        </w:r>
      </w:hyperlink>
      <w:r>
        <w:rPr/>
        <w:t xml:space="preserve"> (temporal), mit „und“-Kombination aufgelöst.</w:t>
      </w:r>
    </w:p>
  </w:footnote>
  <w:footnote w:id="1447">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8">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9">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50">
    <w:p>
      <w:pPr>
        <w:pStyle w:val="Funote"/>
        <w:rPr/>
      </w:pPr>
      <w:r>
        <w:rPr/>
        <w:footnoteRef/>
        <w:tab/>
        <w:t>»Was [ist] dein Name?« und »Mein Name [ist]...« W. »Was (für ein) Name [ist] dir?« etc. (possessiver Dativ; NSS)</w:t>
      </w:r>
    </w:p>
  </w:footnote>
  <w:footnote w:id="1451">
    <w:p>
      <w:pPr>
        <w:pStyle w:val="Funote"/>
        <w:rPr/>
      </w:pPr>
      <w:r>
        <w:rPr>
          <w:i/>
        </w:rPr>
        <w:footnoteRef/>
        <w:tab/>
        <w:t>immer wieder (inständig)</w:t>
      </w:r>
      <w:r>
        <w:rPr/>
        <w:t xml:space="preserve"> Das Adverb </w:t>
      </w:r>
      <w:r>
        <w:rPr>
          <w:lang w:val="el-GR"/>
        </w:rPr>
        <w:t>πολλὰ</w:t>
      </w:r>
      <w:r>
        <w:rPr/>
        <w:t xml:space="preserve"> kann man sowohl intensivierend als auch wiederholend verstehen. Die meisten Übersetzungen intensivieren (vgl. aber V. 23, 38 und 43).</w:t>
      </w:r>
    </w:p>
  </w:footnote>
  <w:footnote w:id="1452">
    <w:p>
      <w:pPr>
        <w:pStyle w:val="Funote"/>
        <w:rPr/>
      </w:pPr>
      <w:r>
        <w:rPr/>
        <w:footnoteRef/>
        <w:tab/>
        <w:t>am Berghang W. „an dem Berg“. Die Präposition weist auf einen Hang hin (vgl. EÜ, NGÜ, GNB).</w:t>
      </w:r>
    </w:p>
  </w:footnote>
  <w:footnote w:id="1453">
    <w:p>
      <w:pPr>
        <w:pStyle w:val="Funote"/>
        <w:rPr/>
      </w:pPr>
      <w:r>
        <w:rPr>
          <w:i/>
        </w:rPr>
        <w:footnoteRef/>
        <w:tab/>
        <w:t>weidete gerade</w:t>
      </w:r>
      <w:r>
        <w:rPr/>
        <w:t xml:space="preserve"> </w:t>
      </w:r>
      <w:hyperlink r:id="rId223">
        <w:r>
          <w:rPr>
            <w:rStyle w:val="Internetlink"/>
          </w:rPr>
          <w:t>Periphrastische Konjugation</w:t>
        </w:r>
      </w:hyperlink>
      <w:r>
        <w:rPr/>
        <w:t>, die das Imperfekt umschreibt und die Gleichzeitigkeit des durativen Aspekts stärker betont.</w:t>
      </w:r>
    </w:p>
  </w:footnote>
  <w:footnote w:id="1454">
    <w:p>
      <w:pPr>
        <w:pStyle w:val="Funote"/>
        <w:rPr/>
      </w:pPr>
      <w:r>
        <w:rPr>
          <w:i/>
        </w:rPr>
        <w:footnoteRef/>
        <w:tab/>
        <w:t>Schweineherde</w:t>
      </w:r>
      <w:r>
        <w:rPr/>
        <w:t xml:space="preserve"> W. „Herde [der] Schweine“</w:t>
      </w:r>
    </w:p>
  </w:footnote>
  <w:footnote w:id="1455">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6">
    <w:p>
      <w:pPr>
        <w:pStyle w:val="Funote"/>
        <w:rPr/>
      </w:pPr>
      <w:r>
        <w:rPr>
          <w:i/>
        </w:rPr>
        <w:footnoteRef/>
        <w:tab/>
        <w:t>fuhren aus und</w:t>
      </w:r>
      <w:r>
        <w:rPr/>
        <w:t xml:space="preserve"> Temporales oder modales </w:t>
      </w:r>
      <w:hyperlink r:id="rId224">
        <w:r>
          <w:rPr>
            <w:rStyle w:val="Internetlink"/>
          </w:rPr>
          <w:t>Ptz. conj.</w:t>
        </w:r>
      </w:hyperlink>
      <w:r>
        <w:rPr/>
        <w:t>, hier mit Hilfe einer „und“-Kombination beigeordnet.</w:t>
      </w:r>
    </w:p>
  </w:footnote>
  <w:footnote w:id="1457">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8">
    <w:p>
      <w:pPr>
        <w:pStyle w:val="Funote"/>
        <w:rPr/>
      </w:pPr>
      <w:r>
        <w:rPr>
          <w:i/>
        </w:rPr>
        <w:footnoteRef/>
        <w:tab/>
        <w:t>ihre Hirten</w:t>
      </w:r>
      <w:r>
        <w:rPr/>
        <w:t xml:space="preserve"> Oder etwas wörtlicher „die sie hüteten“.</w:t>
      </w:r>
    </w:p>
  </w:footnote>
  <w:footnote w:id="1459">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60">
    <w:p>
      <w:pPr>
        <w:pStyle w:val="Funote"/>
        <w:rPr/>
      </w:pPr>
      <w:r>
        <w:rPr/>
        <w:footnoteRef/>
        <w:tab/>
        <w:t>was das Geschehene war W. „was das Geschehene ist“; der Objektsatz steht in der selben Zeit, in der direkte Rede stehen würde (vgl. Zerwick § 346; ad loc. Grosvenor/Zerwick).</w:t>
      </w:r>
    </w:p>
  </w:footnote>
  <w:footnote w:id="1461">
    <w:p>
      <w:pPr>
        <w:pStyle w:val="Funote"/>
        <w:rPr/>
      </w:pPr>
      <w:r>
        <w:rPr>
          <w:i/>
        </w:rPr>
        <w:footnoteRef/>
        <w:tab/>
        <w:t>sahen, dass der Besessene saß, bekleidet und bei Verstand</w:t>
      </w:r>
      <w:r>
        <w:rPr/>
        <w:t xml:space="preserve"> Dreifaches </w:t>
      </w:r>
      <w:hyperlink r:id="rId225">
        <w:r>
          <w:rPr>
            <w:rStyle w:val="Internetlink"/>
          </w:rPr>
          <w:t>AcP</w:t>
        </w:r>
      </w:hyperlink>
      <w:r>
        <w:rPr/>
        <w:t xml:space="preserve">. Aus stilistischen Gründen (allerdings im Rahmen des griechischen Satzbaus) wurde nur das erste Ptz. als Teil des AcP aufgelöst und die anderen beiden Partizipien </w:t>
      </w:r>
      <w:hyperlink r:id="rId226">
        <w:r>
          <w:rPr>
            <w:rStyle w:val="Internetlink"/>
          </w:rPr>
          <w:t>modal</w:t>
        </w:r>
      </w:hyperlink>
      <w:r>
        <w:rPr/>
        <w:t xml:space="preserve"> verstanden. </w:t>
      </w:r>
      <w:r>
        <w:rPr>
          <w:i/>
        </w:rPr>
        <w:t>bekleidet</w:t>
      </w:r>
      <w:r>
        <w:rPr/>
        <w:t xml:space="preserve"> bedarf keiner Auflösung, </w:t>
      </w:r>
      <w:r>
        <w:rPr>
          <w:i/>
        </w:rPr>
        <w:t>bei Verstand</w:t>
      </w:r>
      <w:r>
        <w:rPr/>
        <w:t xml:space="preserve"> gibt das Ptz. als Präpositionalphrase wieder.</w:t>
      </w:r>
    </w:p>
  </w:footnote>
  <w:footnote w:id="1462">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3">
    <w:p>
      <w:pPr>
        <w:pStyle w:val="Funote"/>
        <w:rPr/>
      </w:pPr>
      <w:r>
        <w:rPr>
          <w:i/>
        </w:rPr>
        <w:footnoteRef/>
        <w:tab/>
        <w:t>Als er ins Boot stieg</w:t>
      </w:r>
      <w:r>
        <w:rPr/>
        <w:t xml:space="preserve"> </w:t>
      </w:r>
      <w:hyperlink r:id="rId227">
        <w:r>
          <w:rPr>
            <w:rStyle w:val="Internetlink"/>
          </w:rPr>
          <w:t>Gen. abs.</w:t>
        </w:r>
      </w:hyperlink>
      <w:r>
        <w:rPr/>
        <w:t>, als temporaler Nebensatz aufgelöst.</w:t>
      </w:r>
    </w:p>
  </w:footnote>
  <w:footnote w:id="1464">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5">
    <w:p>
      <w:pPr>
        <w:pStyle w:val="Funote"/>
        <w:rPr/>
      </w:pPr>
      <w:r>
        <w:rPr>
          <w:i/>
        </w:rPr>
        <w:footnoteRef/>
        <w:tab/>
        <w:t>Dekapolis</w:t>
      </w:r>
      <w:r>
        <w:rPr/>
        <w:t xml:space="preserve"> Die Dekapolis war eine Region von etwa zehn Städten im heutigen Jordanien, als östlich des Jordan und des Sees Gennesaret. Weitere Informationen liefert der Artikel </w:t>
      </w:r>
      <w:hyperlink r:id="rId228">
        <w:r>
          <w:rPr>
            <w:rStyle w:val="Internetlink"/>
          </w:rPr>
          <w:t>Dekapolis</w:t>
        </w:r>
      </w:hyperlink>
      <w:r>
        <w:rPr/>
        <w:t>.</w:t>
      </w:r>
    </w:p>
  </w:footnote>
  <w:footnote w:id="1466">
    <w:p>
      <w:pPr>
        <w:pStyle w:val="Funote"/>
        <w:rPr/>
      </w:pPr>
      <w:r>
        <w:rPr>
          <w:i/>
        </w:rPr>
        <w:footnoteRef/>
        <w:tab/>
        <w:t>was Jesus ihm getan hatte</w:t>
      </w:r>
      <w:r>
        <w:rPr/>
        <w:t xml:space="preserve"> W. „was getan hatte ihm Jesus“. „Jesus“ ist bewusst nachgestellt, um den Kontrast zu betonen, der zwischen V. 20 und dem parallelen V. 19 besteht („was </w:t>
      </w:r>
      <w:r>
        <w:rPr>
          <w:i/>
        </w:rPr>
        <w:t>der Herr</w:t>
      </w:r>
      <w:r>
        <w:rPr/>
        <w:t xml:space="preserve"> dir getan hat“). Der Geheilte verkündigt Jesus als „den Herrn“.</w:t>
      </w:r>
    </w:p>
  </w:footnote>
  <w:footnote w:id="1467">
    <w:p>
      <w:pPr>
        <w:pStyle w:val="Funote"/>
        <w:rPr/>
      </w:pPr>
      <w:r>
        <w:rPr>
          <w:i/>
        </w:rPr>
        <w:footnoteRef/>
        <w:tab/>
        <w:t>staunten (wunderten sich)</w:t>
      </w:r>
      <w:r>
        <w:rPr/>
        <w:t xml:space="preserve"> Eine zeitgemäßere, treffende Übersetzung wäre vielleicht „sie konnten es kaum glauben“.</w:t>
      </w:r>
    </w:p>
  </w:footnote>
  <w:footnote w:id="1468">
    <w:p>
      <w:pPr>
        <w:pStyle w:val="Funote"/>
        <w:rPr/>
      </w:pPr>
      <w:r>
        <w:rPr>
          <w:i/>
        </w:rPr>
        <w:footnoteRef/>
        <w:tab/>
        <w:t>nachdem … gefahren war</w:t>
      </w:r>
      <w:r>
        <w:rPr/>
        <w:t xml:space="preserve"> </w:t>
      </w:r>
      <w:hyperlink r:id="rId229">
        <w:r>
          <w:rPr>
            <w:rStyle w:val="Internetlink"/>
          </w:rPr>
          <w:t>Gen. abs.</w:t>
        </w:r>
      </w:hyperlink>
      <w:r>
        <w:rPr/>
        <w:t>, als temporaler Nebensatz aufgelöst.</w:t>
      </w:r>
    </w:p>
  </w:footnote>
  <w:footnote w:id="1469">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70">
    <w:p>
      <w:pPr>
        <w:pStyle w:val="Funote"/>
        <w:rPr/>
      </w:pPr>
      <w:r>
        <w:rPr>
          <w:i/>
        </w:rPr>
        <w:footnoteRef/>
        <w:tab/>
        <w:t>Synagogenvorsteher</w:t>
      </w:r>
      <w:r>
        <w:rPr/>
        <w:t xml:space="preserve"> Zur Zeit Jesu wurden Synagogen von Laien geleitet. Diese waren verantwortlich v.a. für die Leitung des Gottesdienstes, aber auch für die finanziellen, administrativen und politischen Aspekte des Synagogenlebens (TRE 32, S. 506).</w:t>
      </w:r>
    </w:p>
  </w:footnote>
  <w:footnote w:id="1471">
    <w:p>
      <w:pPr>
        <w:pStyle w:val="Funote"/>
        <w:rPr/>
      </w:pPr>
      <w:r>
        <w:rPr>
          <w:i/>
        </w:rPr>
        <w:footnoteRef/>
        <w:tab/>
        <w:t>namens Jairus</w:t>
      </w:r>
      <w:r>
        <w:rPr/>
        <w:t xml:space="preserve"> Gr. der Dativ von Name (possessiver Dativ).</w:t>
      </w:r>
    </w:p>
  </w:footnote>
  <w:footnote w:id="1472">
    <w:p>
      <w:pPr>
        <w:pStyle w:val="Funote"/>
        <w:rPr/>
      </w:pPr>
      <w:r>
        <w:rPr>
          <w:i/>
        </w:rPr>
        <w:footnoteRef/>
        <w:tab/>
        <w:t>als er ihn sah</w:t>
      </w:r>
      <w:r>
        <w:rPr/>
        <w:t xml:space="preserve"> Temporales </w:t>
      </w:r>
      <w:hyperlink r:id="rId230">
        <w:r>
          <w:rPr>
            <w:rStyle w:val="Internetlink"/>
          </w:rPr>
          <w:t>Ptz. conj.</w:t>
        </w:r>
      </w:hyperlink>
      <w:r>
        <w:rPr/>
        <w:t xml:space="preserve">, wohl </w:t>
      </w:r>
      <w:hyperlink r:id="rId231">
        <w:r>
          <w:rPr>
            <w:rStyle w:val="Internetlink"/>
          </w:rPr>
          <w:t>beschreibendes Partizip</w:t>
        </w:r>
      </w:hyperlink>
      <w:r>
        <w:rPr/>
        <w:t>.</w:t>
      </w:r>
    </w:p>
  </w:footnote>
  <w:footnote w:id="1473">
    <w:p>
      <w:pPr>
        <w:pStyle w:val="Funote"/>
        <w:rPr/>
      </w:pPr>
      <w:r>
        <w:rPr>
          <w:i/>
        </w:rPr>
        <w:footnoteRef/>
        <w:tab/>
        <w:t>inständig (mehrfach)</w:t>
      </w:r>
      <w:r>
        <w:rPr/>
        <w:t xml:space="preserve">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4">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5">
    <w:p>
      <w:pPr>
        <w:pStyle w:val="Funote"/>
        <w:rPr/>
      </w:pPr>
      <w:r>
        <w:rPr>
          <w:i/>
        </w:rPr>
        <w:footnoteRef/>
        <w:tab/>
        <w:t>komm doch und</w:t>
      </w:r>
      <w:r>
        <w:rPr/>
        <w:t xml:space="preserve"> Temporales </w:t>
      </w:r>
      <w:hyperlink r:id="rId232">
        <w:r>
          <w:rPr>
            <w:rStyle w:val="Internetlink"/>
          </w:rPr>
          <w:t>Ptz. conj.</w:t>
        </w:r>
      </w:hyperlink>
      <w:r>
        <w:rPr/>
        <w:t xml:space="preserve">, als Beiordnung übersetzt. Wohl </w:t>
      </w:r>
      <w:hyperlink r:id="rId233">
        <w:r>
          <w:rPr>
            <w:rStyle w:val="Internetlink"/>
          </w:rPr>
          <w:t>beschreibendes Partizip</w:t>
        </w:r>
      </w:hyperlink>
      <w:r>
        <w:rPr/>
        <w:t>.</w:t>
      </w:r>
    </w:p>
  </w:footnote>
  <w:footnote w:id="1476">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7">
    <w:p>
      <w:pPr>
        <w:pStyle w:val="Funote"/>
        <w:rPr/>
      </w:pPr>
      <w:r>
        <w:rPr>
          <w:i/>
        </w:rPr>
        <w:footnoteRef/>
        <w:tab/>
        <w:t>drängten sich um ihn</w:t>
      </w:r>
      <w:r>
        <w:rPr/>
        <w:t xml:space="preserve"> Das griechische Wort konnotiert großen Druck und kann in anderen Zusammenhängen auch „zusammendrücken“ heißen (</w:t>
      </w:r>
      <w:hyperlink r:id="rId234">
        <w:r>
          <w:rPr>
            <w:rStyle w:val="Internetlink"/>
          </w:rPr>
          <w:t>LSJ</w:t>
        </w:r>
      </w:hyperlink>
      <w:r>
        <w:rPr/>
        <w:t>). Den Druck der Menge beschreibt Markus also sehr plastisch. Etwas freier: „es herrschte ein großes Gedränge“</w:t>
      </w:r>
    </w:p>
  </w:footnote>
  <w:footnote w:id="1478">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9">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80">
    <w:p>
      <w:pPr>
        <w:pStyle w:val="Funote"/>
        <w:rPr/>
      </w:pPr>
      <w:r>
        <w:rPr>
          <w:i/>
        </w:rPr>
        <w:footnoteRef/>
        <w:tab/>
        <w:t>als sie (die) ... hörte, näherte sie sich … und</w:t>
      </w:r>
      <w:r>
        <w:rPr/>
        <w:t xml:space="preserve"> Zwei </w:t>
      </w:r>
      <w:hyperlink r:id="rId235">
        <w:r>
          <w:rPr>
            <w:rStyle w:val="Internetlink"/>
          </w:rPr>
          <w:t>Ptz. conj.</w:t>
        </w:r>
      </w:hyperlink>
      <w:r>
        <w:rPr/>
        <w:t xml:space="preserve"> (Präsens und Aorist), temporal aufgelöst. Das erste könnte man auch </w:t>
      </w:r>
      <w:hyperlink r:id="rId236">
        <w:r>
          <w:rPr>
            <w:rStyle w:val="Internetlink"/>
          </w:rPr>
          <w:t>attributiv</w:t>
        </w:r>
      </w:hyperlink>
      <w:r>
        <w:rPr/>
        <w:t xml:space="preserve"> verstehen und in den vorangehenden Relativsatz einreihen.</w:t>
      </w:r>
    </w:p>
  </w:footnote>
  <w:footnote w:id="1481">
    <w:p>
      <w:pPr>
        <w:pStyle w:val="Funote"/>
        <w:rPr/>
      </w:pPr>
      <w:r>
        <w:rPr>
          <w:i/>
        </w:rPr>
        <w:footnoteRef/>
        <w:tab/>
        <w:t>sagte sich</w:t>
      </w:r>
      <w:r>
        <w:rPr/>
        <w:t xml:space="preserve"> Das </w:t>
      </w:r>
      <w:hyperlink r:id="rId237">
        <w:r>
          <w:rPr>
            <w:rStyle w:val="Internetlink"/>
          </w:rPr>
          <w:t>Imperfekt</w:t>
        </w:r>
      </w:hyperlink>
      <w:r>
        <w:rPr/>
        <w:t xml:space="preserve">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2">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3">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4">
    <w:p>
      <w:pPr>
        <w:pStyle w:val="Funote"/>
        <w:rPr/>
      </w:pPr>
      <w:r>
        <w:rPr/>
        <w:footnoteRef/>
        <w:tab/>
        <w:t>Leiden (Qual) W. „Geißel“, übertragen „Plage“. Per Bedeutungserweiterung auch „Leiden“ oder „Gebrechen“ (vgl. LN 23.182).</w:t>
      </w:r>
    </w:p>
  </w:footnote>
  <w:footnote w:id="1485">
    <w:p>
      <w:pPr>
        <w:pStyle w:val="Funote"/>
        <w:rPr/>
      </w:pPr>
      <w:r>
        <w:rPr>
          <w:i/>
        </w:rPr>
        <w:footnoteRef/>
        <w:tab/>
        <w:t>der (als/weil er) merkte</w:t>
      </w:r>
      <w:r>
        <w:rPr/>
        <w:t xml:space="preserve"> </w:t>
      </w:r>
      <w:hyperlink r:id="rId238">
        <w:r>
          <w:rPr>
            <w:rStyle w:val="Internetlink"/>
          </w:rPr>
          <w:t>Ptz. conj.</w:t>
        </w:r>
      </w:hyperlink>
      <w:r>
        <w:rPr/>
        <w:t xml:space="preserve"> (temporal oder kausal), hier als Relativsatz aufgelöst.</w:t>
      </w:r>
    </w:p>
  </w:footnote>
  <w:footnote w:id="1486">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7">
    <w:p>
      <w:pPr>
        <w:pStyle w:val="Funote"/>
        <w:rPr/>
      </w:pPr>
      <w:r>
        <w:rPr>
          <w:i/>
        </w:rPr>
        <w:footnoteRef/>
        <w:tab/>
        <w:t>fragte (sagte, wiederholte)</w:t>
      </w:r>
      <w:r>
        <w:rPr/>
        <w:t xml:space="preserve"> Das Verb steht im </w:t>
      </w:r>
      <w:hyperlink r:id="rId239">
        <w:r>
          <w:rPr>
            <w:rStyle w:val="Internetlink"/>
          </w:rPr>
          <w:t>Imperfekt</w:t>
        </w:r>
      </w:hyperlink>
      <w:r>
        <w:rPr/>
        <w: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8">
    <w:p>
      <w:pPr>
        <w:pStyle w:val="Funote"/>
        <w:rPr/>
      </w:pPr>
      <w:r>
        <w:rPr>
          <w:i/>
        </w:rPr>
        <w:footnoteRef/>
        <w:tab/>
        <w:t>die sich um dich drängt</w:t>
      </w:r>
      <w:r>
        <w:rPr/>
        <w:t xml:space="preserve"> </w:t>
      </w:r>
      <w:hyperlink r:id="rId240">
        <w:r>
          <w:rPr>
            <w:rStyle w:val="Internetlink"/>
          </w:rPr>
          <w:t>Atr. Ptz.</w:t>
        </w:r>
      </w:hyperlink>
      <w:r>
        <w:rPr/>
        <w:t>, als Relativsatz aufgelöst. Zum Wort s. die Fußnote in V. 24.</w:t>
      </w:r>
    </w:p>
  </w:footnote>
  <w:footnote w:id="1489">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90">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1">
    <w:p>
      <w:pPr>
        <w:pStyle w:val="Funote"/>
        <w:rPr/>
      </w:pPr>
      <w:r>
        <w:rPr>
          <w:i/>
        </w:rPr>
        <w:footnoteRef/>
        <w:tab/>
        <w:t>Während er noch redete</w:t>
      </w:r>
      <w:r>
        <w:rPr/>
        <w:t xml:space="preserve"> Temporaler </w:t>
      </w:r>
      <w:hyperlink r:id="rId241">
        <w:r>
          <w:rPr>
            <w:rStyle w:val="Internetlink"/>
          </w:rPr>
          <w:t>Gen. abs.</w:t>
        </w:r>
      </w:hyperlink>
      <w:r>
        <w:rPr/>
        <w:t>, als Nebensatz aufgelöst.</w:t>
      </w:r>
    </w:p>
  </w:footnote>
  <w:footnote w:id="1492">
    <w:p>
      <w:pPr>
        <w:pStyle w:val="Funote"/>
        <w:rPr/>
      </w:pPr>
      <w:r>
        <w:rPr>
          <w:i/>
        </w:rPr>
        <w:footnoteRef/>
        <w:tab/>
        <w:t>und richteten aus</w:t>
      </w:r>
      <w:r>
        <w:rPr/>
        <w:t xml:space="preserve"> </w:t>
      </w:r>
      <w:hyperlink r:id="rId242">
        <w:r>
          <w:rPr>
            <w:rStyle w:val="Internetlink"/>
          </w:rPr>
          <w:t>Ptz. conj.</w:t>
        </w:r>
      </w:hyperlink>
      <w:r>
        <w:rPr/>
        <w:t>, temporal-modal, beigeordnet übersetzt.</w:t>
      </w:r>
    </w:p>
  </w:footnote>
  <w:footnote w:id="1493">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4">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5">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6">
    <w:p>
      <w:pPr>
        <w:pStyle w:val="Funote"/>
        <w:rPr/>
      </w:pPr>
      <w:r>
        <w:rPr>
          <w:i/>
        </w:rPr>
        <w:footnoteRef/>
        <w:tab/>
        <w:t>sah er … [Menschen], die heftig heulten und wehklagten</w:t>
      </w:r>
      <w:r>
        <w:rPr/>
        <w:t xml:space="preserve"> </w:t>
      </w:r>
      <w:hyperlink r:id="rId243">
        <w:r>
          <w:rPr>
            <w:rStyle w:val="Internetlink"/>
          </w:rPr>
          <w:t>AcP</w:t>
        </w:r>
      </w:hyperlink>
      <w:r>
        <w:rPr/>
        <w:t xml:space="preserve"> (zwei Ptz.), unter Ergänzung eines Objekts mit Relativsatz wiedergegeben.</w:t>
      </w:r>
    </w:p>
  </w:footnote>
  <w:footnote w:id="1497">
    <w:p>
      <w:pPr>
        <w:pStyle w:val="Funote"/>
        <w:rPr/>
      </w:pPr>
      <w:r>
        <w:rPr>
          <w:i/>
        </w:rPr>
        <w:footnoteRef/>
        <w:tab/>
        <w:t>nach dem (beim) Eintreten</w:t>
      </w:r>
      <w:r>
        <w:rPr/>
        <w:t xml:space="preserve"> Temporal-modales </w:t>
      </w:r>
      <w:hyperlink r:id="rId244">
        <w:r>
          <w:rPr>
            <w:rStyle w:val="Internetlink"/>
          </w:rPr>
          <w:t>Ptz. conj.</w:t>
        </w:r>
      </w:hyperlink>
      <w:r>
        <w:rPr/>
        <w:t>, als Präpositionalphrase aufgelöst.</w:t>
      </w:r>
    </w:p>
  </w:footnote>
  <w:footnote w:id="1498">
    <w:p>
      <w:pPr>
        <w:pStyle w:val="Funote"/>
        <w:rPr/>
      </w:pPr>
      <w:r>
        <w:rPr>
          <w:i/>
        </w:rPr>
        <w:footnoteRef/>
        <w:tab/>
        <w:t>Er nahm die Hand</w:t>
      </w:r>
      <w:r>
        <w:rPr/>
        <w:t xml:space="preserve"> </w:t>
      </w:r>
      <w:hyperlink r:id="rId245">
        <w:r>
          <w:rPr>
            <w:rStyle w:val="Internetlink"/>
          </w:rPr>
          <w:t>Gen. abs.</w:t>
        </w:r>
      </w:hyperlink>
      <w:r>
        <w:rPr/>
        <w:t>, temporal-modal, beigeordnet aufgelöst.</w:t>
      </w:r>
    </w:p>
  </w:footnote>
  <w:footnote w:id="1499">
    <w:p>
      <w:pPr>
        <w:pStyle w:val="Funote"/>
        <w:rPr/>
      </w:pPr>
      <w:r>
        <w:rPr/>
        <w:footnoteRef/>
        <w:tab/>
        <w:t>„</w:t>
      </w:r>
      <w:r>
        <w:rPr>
          <w:i/>
        </w:rPr>
        <w:t>Talita kum!“</w:t>
      </w:r>
      <w:r>
        <w:rPr/>
        <w:t xml:space="preserve"> Aramäisch für „Mädchen, steh auf!“ </w:t>
      </w:r>
      <w:r>
        <w:rPr>
          <w:i/>
        </w:rPr>
        <w:t>Kum</w:t>
      </w:r>
      <w:r>
        <w:rPr/>
        <w:t xml:space="preserve"> (</w:t>
      </w:r>
      <w:r>
        <w:rPr>
          <w:rtl w:val="true"/>
          <w:lang w:bidi="he-IL"/>
        </w:rPr>
        <w:t>קום</w:t>
      </w:r>
      <w:r>
        <w:rPr/>
        <w:t>) ist der maskuline Imperativ.</w:t>
      </w:r>
    </w:p>
  </w:footnote>
  <w:footnote w:id="1500">
    <w:p>
      <w:pPr>
        <w:pStyle w:val="Funote"/>
        <w:rPr/>
      </w:pPr>
      <w:r>
        <w:rPr/>
        <w:footnoteRef/>
        <w:tab/>
        <w:t>begann umherzugehen Als inchoatives Imperfekt übersetzt (vgl. Guelich 1989, 303).</w:t>
      </w:r>
    </w:p>
  </w:footnote>
  <w:footnote w:id="1501">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2">
    <w:p>
      <w:pPr>
        <w:pStyle w:val="Funote"/>
        <w:rPr/>
      </w:pPr>
      <w:r>
        <w:rPr>
          <w:i/>
        </w:rPr>
        <w:footnoteRef/>
        <w:tab/>
        <w:t>unmissverständlich (mehrmals, ausdrücklich)</w:t>
      </w:r>
      <w:r>
        <w:rPr/>
        <w:t xml:space="preserve"> Das Adverb </w:t>
      </w:r>
      <w:r>
        <w:rPr>
          <w:lang w:val="el-GR"/>
        </w:rPr>
        <w:t>πολλὰ</w:t>
      </w:r>
      <w:r>
        <w:rPr/>
        <w:t xml:space="preserve"> kann man sowohl intensivierend als auch wiederholend verstehen, die meisten Übersetzungen intensivieren. Vgl. V. 23 und 38, aber auch V. 10.</w:t>
      </w:r>
    </w:p>
  </w:footnote>
  <w:footnote w:id="1503">
    <w:p>
      <w:pPr>
        <w:pStyle w:val="Funote"/>
        <w:rPr/>
      </w:pPr>
      <w:r>
        <w:rPr>
          <w:i/>
        </w:rPr>
        <w:footnoteRef/>
        <w:tab/>
        <w:t>[man solle]</w:t>
      </w:r>
      <w:r>
        <w:rPr/>
        <w:t xml:space="preserve"> Der griechische Infinitivsatz ist (dem Deutschen ganz ähnlich) final. In der gegenwärtigen Formulierung ist im Deutschen eine finale Satzeinleitung notwendig.</w:t>
      </w:r>
    </w:p>
  </w:footnote>
  <w:footnote w:id="1504">
    <w:p>
      <w:pPr>
        <w:pStyle w:val="Funote"/>
        <w:rPr/>
      </w:pPr>
      <w:r>
        <w:rPr/>
        <w:footnoteRef/>
        <w:tab/>
        <w:t>[Status: Zuverlässig]</w:t>
      </w:r>
    </w:p>
  </w:footnote>
  <w:footnote w:id="1505">
    <w:p>
      <w:pPr>
        <w:pStyle w:val="Funote"/>
        <w:rPr/>
      </w:pPr>
      <w:r>
        <w:rPr>
          <w:i/>
        </w:rPr>
        <w:footnoteRef/>
        <w:tab/>
        <w:t>Heimat</w:t>
      </w:r>
      <w:r>
        <w:rPr/>
        <w:t xml:space="preserve"> Gemeint ist Nazaret (Mk 1,9.24). Die meisten Übersetzungen spezifizieren „Heimatstadt“ oder „Vaterstadt“.</w:t>
      </w:r>
    </w:p>
  </w:footnote>
  <w:footnote w:id="1506">
    <w:p>
      <w:pPr>
        <w:pStyle w:val="Funote"/>
        <w:rPr/>
      </w:pPr>
      <w:r>
        <w:rPr>
          <w:i/>
        </w:rPr>
        <w:footnoteRef/>
        <w:tab/>
        <w:t>als … gekommen war</w:t>
      </w:r>
      <w:r>
        <w:rPr/>
        <w:t xml:space="preserve"> </w:t>
      </w:r>
      <w:hyperlink r:id="rId246">
        <w:r>
          <w:rPr>
            <w:rStyle w:val="Internetlink"/>
          </w:rPr>
          <w:t>Gen. abs.</w:t>
        </w:r>
      </w:hyperlink>
      <w:r>
        <w:rPr/>
        <w:t>, als temporaler Nebensatz aufgelöst.</w:t>
      </w:r>
    </w:p>
  </w:footnote>
  <w:footnote w:id="1507">
    <w:p>
      <w:pPr>
        <w:pStyle w:val="Funote"/>
        <w:rPr/>
      </w:pPr>
      <w:r>
        <w:rPr>
          <w:i/>
        </w:rPr>
        <w:footnoteRef/>
        <w:tab/>
        <w:t>begann er, in der Synagoge zu lehren (lehrte er)</w:t>
      </w:r>
      <w:r>
        <w:rPr/>
        <w:t xml:space="preserve"> Markus benutzt „beginnen“ gerne schwach und ohne echte Funktion. Viele Übersetzungen formulieren daher wie in der Klammer. Vgl. die </w:t>
      </w:r>
      <w:r>
        <w:fldChar w:fldCharType="begin"/>
      </w:r>
      <w:r>
        <w:instrText> HYPERLINK "file:///wiki/Markus_5" \l "af"</w:instrText>
      </w:r>
      <w:r>
        <w:fldChar w:fldCharType="separate"/>
      </w:r>
      <w:r>
        <w:rPr>
          <w:rStyle w:val="Internetlink"/>
        </w:rPr>
        <w:t>Fußnote zu 5,17</w:t>
      </w:r>
      <w:r>
        <w:fldChar w:fldCharType="end"/>
      </w:r>
      <w:r>
        <w:rPr/>
        <w:t>.</w:t>
      </w:r>
    </w:p>
  </w:footnote>
  <w:footnote w:id="1508">
    <w:p>
      <w:pPr>
        <w:pStyle w:val="Funote"/>
        <w:rPr/>
      </w:pPr>
      <w:r>
        <w:rPr>
          <w:i/>
        </w:rPr>
        <w:footnoteRef/>
        <w:tab/>
        <w:t>und sagten</w:t>
      </w:r>
      <w:r>
        <w:rPr/>
        <w:t xml:space="preserve"> Modales </w:t>
      </w:r>
      <w:hyperlink r:id="rId247">
        <w:r>
          <w:rPr>
            <w:rStyle w:val="Internetlink"/>
          </w:rPr>
          <w:t>Ptz. conj.</w:t>
        </w:r>
      </w:hyperlink>
      <w:r>
        <w:rPr/>
        <w:t>, beigeordnet aufgelöst.</w:t>
      </w:r>
    </w:p>
  </w:footnote>
  <w:footnote w:id="1509">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10">
    <w:p>
      <w:pPr>
        <w:pStyle w:val="Funote"/>
        <w:rPr/>
      </w:pPr>
      <w:r>
        <w:rPr/>
        <w:footnoteRef/>
        <w:tab/>
        <w:t>auflegte und Modales Ptz. conj., hier mit „und“ beigeordnet. Auch möglich: „indem er ihnen die Hände auflegte“ oder „durch Handauflegen“ (MEN)</w:t>
      </w:r>
    </w:p>
  </w:footnote>
  <w:footnote w:id="1511">
    <w:p>
      <w:pPr>
        <w:pStyle w:val="Funote"/>
        <w:rPr/>
      </w:pPr>
      <w:r>
        <w:rPr>
          <w:i/>
        </w:rPr>
        <w:footnoteRef/>
        <w:tab/>
        <w:t>und lehrte</w:t>
      </w:r>
      <w:r>
        <w:rPr/>
        <w:t xml:space="preserve"> Modales </w:t>
      </w:r>
      <w:hyperlink r:id="rId248">
        <w:r>
          <w:rPr>
            <w:rStyle w:val="Internetlink"/>
          </w:rPr>
          <w:t>Ptz. conj.</w:t>
        </w:r>
      </w:hyperlink>
      <w:r>
        <w:rPr/>
        <w:t>, beigeordnet aufgelöst.</w:t>
      </w:r>
    </w:p>
  </w:footnote>
  <w:footnote w:id="1512">
    <w:p>
      <w:pPr>
        <w:pStyle w:val="Funote"/>
        <w:rPr/>
      </w:pPr>
      <w:r>
        <w:rPr/>
        <w:footnoteRef/>
        <w:tab/>
        <w:t>paarweise W. „zwei zwei“. Die Formulierung war sowohl in der Volkssprache als auch in semitischen Sprachen gebräuchlich (NSS).</w:t>
      </w:r>
    </w:p>
  </w:footnote>
  <w:footnote w:id="1513">
    <w:p>
      <w:pPr>
        <w:pStyle w:val="Funote"/>
        <w:rPr/>
      </w:pPr>
      <w:r>
        <w:rPr>
          <w:i/>
        </w:rPr>
        <w:footnoteRef/>
        <w:tab/>
        <w:t>sandte aus</w:t>
      </w:r>
      <w:r>
        <w:rPr/>
        <w:t xml:space="preserve"> W. „begann auszusenden“. Dazu s. die </w:t>
      </w:r>
      <w:r>
        <w:fldChar w:fldCharType="begin"/>
      </w:r>
      <w:r>
        <w:instrText> HYPERLINK "file:///wiki/Markus_5" \l "af"</w:instrText>
      </w:r>
      <w:r>
        <w:fldChar w:fldCharType="separate"/>
      </w:r>
      <w:r>
        <w:rPr>
          <w:rStyle w:val="Internetlink"/>
        </w:rPr>
        <w:t>Fußnote zu 5,17</w:t>
      </w:r>
      <w:r>
        <w:fldChar w:fldCharType="end"/>
      </w:r>
      <w:r>
        <w:rPr/>
        <w:t>. Ein ähnlicher Fall liegt auch in V. 2 vor.</w:t>
      </w:r>
    </w:p>
  </w:footnote>
  <w:footnote w:id="1514">
    <w:p>
      <w:pPr>
        <w:pStyle w:val="Funote"/>
        <w:rPr/>
      </w:pPr>
      <w:r>
        <w:rPr>
          <w:i/>
        </w:rPr>
        <w:footnoteRef/>
        <w:tab/>
        <w:t>Geld</w:t>
      </w:r>
      <w:r>
        <w:rPr/>
        <w:t xml:space="preserve"> W. „Kupfer(münze)“ (oder „Bronze(münze)“). Das Wort wird hier metonymisch für Kupfermünzen, also Kleingeld benutzt. Die Parallelstelle Mt 10,19 führt aus: „weder Gold noch Silber noch Kupfer...“ </w:t>
      </w:r>
      <w:r>
        <w:rPr>
          <w:i/>
        </w:rPr>
        <w:t>im Gürtel</w:t>
      </w:r>
      <w:r>
        <w:rPr/>
        <w:t xml:space="preserve"> Im Orient bewahrte man Geld lange in den Falten des Gürtels auf, einem breiten Tuch, das entsprechend um die Hüfte gebunden war.</w:t>
      </w:r>
    </w:p>
  </w:footnote>
  <w:footnote w:id="1515">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6">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7">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8">
    <w:p>
      <w:pPr>
        <w:pStyle w:val="Funote"/>
        <w:rPr/>
      </w:pPr>
      <w:r>
        <w:rPr>
          <w:i/>
        </w:rPr>
        <w:footnoteRef/>
        <w:tab/>
        <w:t>beim Aufbruch</w:t>
      </w:r>
      <w:r>
        <w:rPr/>
        <w:t xml:space="preserve"> bzw. </w:t>
      </w:r>
      <w:r>
        <w:rPr>
          <w:i/>
        </w:rPr>
        <w:t>geht von dort weg und</w:t>
      </w:r>
      <w:r>
        <w:rPr/>
        <w:t xml:space="preserve"> Modales </w:t>
      </w:r>
      <w:hyperlink r:id="rId249">
        <w:r>
          <w:rPr>
            <w:rStyle w:val="Internetlink"/>
          </w:rPr>
          <w:t>Ptz. conj.</w:t>
        </w:r>
      </w:hyperlink>
      <w:r>
        <w:rPr/>
        <w:t>, als Präpositionalphrase (bzw. beigeordnete Konstruktion) übersetzt.</w:t>
      </w:r>
    </w:p>
  </w:footnote>
  <w:footnote w:id="1519">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20">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1">
    <w:p>
      <w:pPr>
        <w:pStyle w:val="Funote"/>
        <w:rPr/>
      </w:pPr>
      <w:r>
        <w:rPr>
          <w:i/>
        </w:rPr>
        <w:footnoteRef/>
        <w:tab/>
        <w:t>machten sich auf den Weg</w:t>
      </w:r>
      <w:r>
        <w:rPr/>
        <w:t xml:space="preserve"> Modal-temporales </w:t>
      </w:r>
      <w:hyperlink r:id="rId250">
        <w:r>
          <w:rPr>
            <w:rStyle w:val="Internetlink"/>
          </w:rPr>
          <w:t>Ptz. conj.</w:t>
        </w:r>
      </w:hyperlink>
      <w:r>
        <w:rPr/>
        <w:t>, beigeordnet aufgelöst.</w:t>
      </w:r>
    </w:p>
  </w:footnote>
  <w:footnote w:id="1522">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3">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4">
    <w:p>
      <w:pPr>
        <w:pStyle w:val="Funote"/>
        <w:rPr/>
      </w:pPr>
      <w:r>
        <w:rPr>
          <w:i/>
        </w:rPr>
        <w:footnoteRef/>
        <w:tab/>
        <w:t>Das erklärt, warum</w:t>
      </w:r>
      <w:r>
        <w:rPr/>
        <w:t xml:space="preserve"> W. „und aus diesem Grund/deshalb“</w:t>
      </w:r>
    </w:p>
  </w:footnote>
  <w:footnote w:id="1525">
    <w:p>
      <w:pPr>
        <w:pStyle w:val="Funote"/>
        <w:rPr/>
      </w:pPr>
      <w:r>
        <w:rPr/>
        <w:footnoteRef/>
        <w:tab/>
        <w:t>Elija Die Rückkehr des im Alten Testament entrückten Propheten wurde aufgrund von Mal 3,23-24 zu Jesu Zeit vielfach erwartet (France 2002, 253).</w:t>
      </w:r>
    </w:p>
  </w:footnote>
  <w:footnote w:id="1526">
    <w:p>
      <w:pPr>
        <w:pStyle w:val="Funote"/>
        <w:rPr/>
      </w:pPr>
      <w:r>
        <w:rPr>
          <w:i/>
        </w:rPr>
        <w:footnoteRef/>
        <w:tab/>
        <w:t>Als … hörte</w:t>
      </w:r>
      <w:r>
        <w:rPr/>
        <w:t xml:space="preserve"> </w:t>
      </w:r>
      <w:hyperlink r:id="rId251">
        <w:r>
          <w:rPr>
            <w:rStyle w:val="Internetlink"/>
          </w:rPr>
          <w:t>Ptz. conj.</w:t>
        </w:r>
      </w:hyperlink>
      <w:r>
        <w:rPr/>
        <w:t>, als temporaler Nebensatz aufgelöst.</w:t>
      </w:r>
    </w:p>
  </w:footnote>
  <w:footnote w:id="1527">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8">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9">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30">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1">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2">
    <w:p>
      <w:pPr>
        <w:pStyle w:val="Funote"/>
        <w:rPr/>
      </w:pPr>
      <w:r>
        <w:rPr>
          <w:i/>
        </w:rPr>
        <w:footnoteRef/>
        <w:tab/>
        <w:t>plante (wollte)</w:t>
      </w:r>
      <w:r>
        <w:rPr/>
        <w:t xml:space="preserve"> „wollen“ im durativen </w:t>
      </w:r>
      <w:hyperlink r:id="rId252">
        <w:r>
          <w:rPr>
            <w:rStyle w:val="Internetlink"/>
          </w:rPr>
          <w:t>Imperfekt</w:t>
        </w:r>
      </w:hyperlink>
      <w:r>
        <w:rPr/>
        <w:t xml:space="preserve"> ist „über einen längeren Zeitraum wollen“ → „planen“.</w:t>
      </w:r>
    </w:p>
  </w:footnote>
  <w:footnote w:id="1533">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4">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5">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6">
    <w:p>
      <w:pPr>
        <w:pStyle w:val="Funote"/>
        <w:rPr/>
      </w:pPr>
      <w:r>
        <w:rPr>
          <w:i/>
        </w:rPr>
        <w:footnoteRef/>
        <w:tab/>
        <w:t>wenn er ihm zuhörte</w:t>
      </w:r>
      <w:r>
        <w:rPr/>
        <w:t xml:space="preserve"> Temporales </w:t>
      </w:r>
      <w:hyperlink r:id="rId253">
        <w:r>
          <w:rPr>
            <w:rStyle w:val="Internetlink"/>
          </w:rPr>
          <w:t>Ptz. conj.</w:t>
        </w:r>
      </w:hyperlink>
      <w:r>
        <w:rPr/>
        <w:t>, als Nebensatz aufgelöst. Die Klammer übersetzt vorzeitig, Sinn wäre „nach dem Zuhören“.</w:t>
      </w:r>
    </w:p>
  </w:footnote>
  <w:footnote w:id="1537">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8">
    <w:p>
      <w:pPr>
        <w:pStyle w:val="Funote"/>
        <w:rPr/>
      </w:pPr>
      <w:r>
        <w:rPr>
          <w:i/>
        </w:rPr>
        <w:footnoteRef/>
        <w:tab/>
        <w:t>als ein günstiger Zeitpunkt kam</w:t>
      </w:r>
      <w:r>
        <w:rPr/>
        <w:t xml:space="preserve"> </w:t>
      </w:r>
      <w:hyperlink r:id="rId254">
        <w:r>
          <w:rPr>
            <w:rStyle w:val="Internetlink"/>
          </w:rPr>
          <w:t>Gen. abs.</w:t>
        </w:r>
      </w:hyperlink>
      <w:r>
        <w:rPr/>
        <w:t>, temporal als Nebensatz aufgelöst. Der Hauptsatz kommt erst in V. 22.</w:t>
      </w:r>
    </w:p>
  </w:footnote>
  <w:footnote w:id="1539">
    <w:p>
      <w:pPr>
        <w:pStyle w:val="Funote"/>
        <w:rPr/>
      </w:pPr>
      <w:r>
        <w:rPr>
          <w:i/>
        </w:rPr>
        <w:footnoteRef/>
        <w:tab/>
        <w:t>[anlässlich] seines Geburtstages</w:t>
      </w:r>
      <w:r>
        <w:rPr/>
        <w:t xml:space="preserve"> </w:t>
      </w:r>
      <w:hyperlink r:id="rId255">
        <w:r>
          <w:rPr>
            <w:rStyle w:val="Internetlink"/>
          </w:rPr>
          <w:t>Temporaler Dativ</w:t>
        </w:r>
      </w:hyperlink>
      <w:r>
        <w:rPr/>
        <w:t>.</w:t>
      </w:r>
    </w:p>
  </w:footnote>
  <w:footnote w:id="1540">
    <w:p>
      <w:pPr>
        <w:pStyle w:val="Funote"/>
        <w:rPr/>
      </w:pPr>
      <w:r>
        <w:rPr>
          <w:i/>
        </w:rPr>
        <w:footnoteRef/>
        <w:tab/>
        <w:t>Galiläas angesehenste Bürger</w:t>
      </w:r>
      <w:r>
        <w:rPr/>
        <w:t xml:space="preserve"> W. „die Ersten Galiläas“</w:t>
      </w:r>
    </w:p>
  </w:footnote>
  <w:footnote w:id="1541">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2">
    <w:p>
      <w:pPr>
        <w:pStyle w:val="Funote"/>
        <w:rPr/>
      </w:pPr>
      <w:r>
        <w:rPr>
          <w:i/>
        </w:rPr>
        <w:footnoteRef/>
        <w:tab/>
        <w:t>als … hereinkam und tanzte</w:t>
      </w:r>
      <w:r>
        <w:rPr/>
        <w:t xml:space="preserve"> </w:t>
      </w:r>
      <w:hyperlink r:id="rId256">
        <w:r>
          <w:rPr>
            <w:rStyle w:val="Internetlink"/>
          </w:rPr>
          <w:t>Gen. abs.</w:t>
        </w:r>
      </w:hyperlink>
      <w:r>
        <w:rPr/>
        <w:t>, als temporaler Nebensatz aufgelöst. Nach der generellen Zeitangabe (V. 21) bildet dieser Gen. abs. nun die spezifische. Als Herodes' Aufforderung kam, wusste Herodias, dass dies der „günstige Tag“ (V. 21) war.</w:t>
      </w:r>
    </w:p>
  </w:footnote>
  <w:footnote w:id="1543">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4">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5">
    <w:p>
      <w:pPr>
        <w:pStyle w:val="Funote"/>
        <w:rPr/>
      </w:pPr>
      <w:r>
        <w:rPr>
          <w:i/>
        </w:rPr>
        <w:footnoteRef/>
        <w:tab/>
        <w:t>schwor ihr mehrmals/eindringlich</w:t>
      </w:r>
      <w:r>
        <w:rPr/>
        <w:t xml:space="preserve">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6">
    <w:p>
      <w:pPr>
        <w:pStyle w:val="Funote"/>
        <w:rPr/>
      </w:pPr>
      <w:r>
        <w:rPr>
          <w:i/>
        </w:rPr>
        <w:footnoteRef/>
        <w:tab/>
        <w:t>ging hinaus und</w:t>
      </w:r>
      <w:r>
        <w:rPr/>
        <w:t xml:space="preserve"> Modal-temporales </w:t>
      </w:r>
      <w:hyperlink r:id="rId257">
        <w:r>
          <w:rPr>
            <w:rStyle w:val="Internetlink"/>
          </w:rPr>
          <w:t>beschreibendes Partizip</w:t>
        </w:r>
      </w:hyperlink>
      <w:r>
        <w:rPr/>
        <w:t xml:space="preserve"> Aor., mit „und“-Kombination übersetzt.</w:t>
      </w:r>
    </w:p>
  </w:footnote>
  <w:footnote w:id="1547">
    <w:p>
      <w:pPr>
        <w:pStyle w:val="Funote"/>
        <w:rPr/>
      </w:pPr>
      <w:r>
        <w:rPr>
          <w:i/>
        </w:rPr>
        <w:footnoteRef/>
        <w:tab/>
        <w:t>eilig</w:t>
      </w:r>
      <w:r>
        <w:rPr/>
        <w:t xml:space="preserve"> W. „mit Eile“</w:t>
      </w:r>
    </w:p>
  </w:footnote>
  <w:footnote w:id="1548">
    <w:p>
      <w:pPr>
        <w:pStyle w:val="Funote"/>
        <w:rPr/>
      </w:pPr>
      <w:r>
        <w:rPr>
          <w:i/>
        </w:rPr>
        <w:footnoteRef/>
        <w:tab/>
        <w:t>ging … hinein und</w:t>
      </w:r>
      <w:r>
        <w:rPr/>
        <w:t xml:space="preserve"> Modal-temporales </w:t>
      </w:r>
      <w:hyperlink r:id="rId258">
        <w:r>
          <w:rPr>
            <w:rStyle w:val="Internetlink"/>
          </w:rPr>
          <w:t>beschreibendes Partizip</w:t>
        </w:r>
      </w:hyperlink>
      <w:r>
        <w:rPr/>
        <w:t xml:space="preserve"> Aor., mit „und“-Kombination übersetzt.</w:t>
      </w:r>
    </w:p>
  </w:footnote>
  <w:footnote w:id="1549">
    <w:p>
      <w:pPr>
        <w:pStyle w:val="Funote"/>
        <w:rPr/>
      </w:pPr>
      <w:r>
        <w:rPr>
          <w:i/>
        </w:rPr>
        <w:footnoteRef/>
        <w:tab/>
        <w:t>wurde sehr traurig</w:t>
      </w:r>
      <w:r>
        <w:rPr/>
        <w:t xml:space="preserve"> Konzessives </w:t>
      </w:r>
      <w:hyperlink r:id="rId259">
        <w:r>
          <w:rPr>
            <w:rStyle w:val="Internetlink"/>
          </w:rPr>
          <w:t>Ptz. conj.</w:t>
        </w:r>
      </w:hyperlink>
      <w:r>
        <w:rPr/>
        <w:t>., als gleichgeordneter Hauptsatz mit folgendem „aber“ aufgelöst.</w:t>
      </w:r>
    </w:p>
  </w:footnote>
  <w:footnote w:id="1550">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1">
    <w:p>
      <w:pPr>
        <w:pStyle w:val="Funote"/>
        <w:rPr/>
      </w:pPr>
      <w:r>
        <w:rPr>
          <w:i/>
        </w:rPr>
        <w:footnoteRef/>
        <w:tab/>
        <w:t>Also</w:t>
      </w:r>
      <w:r>
        <w:rPr/>
        <w:t xml:space="preserve">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2">
    <w:p>
      <w:pPr>
        <w:pStyle w:val="Funote"/>
        <w:rPr/>
      </w:pPr>
      <w:r>
        <w:rPr>
          <w:i/>
        </w:rPr>
        <w:footnoteRef/>
        <w:tab/>
        <w:t>schickte … und</w:t>
      </w:r>
      <w:r>
        <w:rPr/>
        <w:t xml:space="preserve"> Modal-temporales </w:t>
      </w:r>
      <w:hyperlink r:id="rId260">
        <w:r>
          <w:rPr>
            <w:rStyle w:val="Internetlink"/>
          </w:rPr>
          <w:t>Ptz. conj.</w:t>
        </w:r>
      </w:hyperlink>
      <w:r>
        <w:rPr/>
        <w:t>, mit „und“-Kombination übersetzt.</w:t>
      </w:r>
    </w:p>
  </w:footnote>
  <w:footnote w:id="1553">
    <w:p>
      <w:pPr>
        <w:pStyle w:val="Funote"/>
        <w:rPr/>
      </w:pPr>
      <w:r>
        <w:rPr>
          <w:i/>
        </w:rPr>
        <w:footnoteRef/>
        <w:tab/>
        <w:t>als … erfuhren</w:t>
      </w:r>
      <w:r>
        <w:rPr/>
        <w:t xml:space="preserve"> Temporales </w:t>
      </w:r>
      <w:hyperlink r:id="rId261">
        <w:r>
          <w:rPr>
            <w:rStyle w:val="Internetlink"/>
          </w:rPr>
          <w:t>Ptz. conj.</w:t>
        </w:r>
      </w:hyperlink>
      <w:r>
        <w:rPr/>
        <w:t>, als Nebensatz aufgelöst.</w:t>
      </w:r>
    </w:p>
  </w:footnote>
  <w:footnote w:id="1554">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5">
    <w:p>
      <w:pPr>
        <w:pStyle w:val="Funote"/>
        <w:rPr/>
      </w:pPr>
      <w:r>
        <w:rPr/>
        <w:footnoteRef/>
        <w:tab/>
        <w:t>ganz allein NSS schlägt (wie es auch andere Übersetzungen verstehen) die sinngemäß wohl richtige Übersetzung „um für sich allein zu sein“.</w:t>
      </w:r>
    </w:p>
  </w:footnote>
  <w:footnote w:id="1556">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7">
    <w:p>
      <w:pPr>
        <w:pStyle w:val="Funote"/>
        <w:rPr/>
      </w:pPr>
      <w:r>
        <w:rPr>
          <w:i/>
        </w:rPr>
        <w:footnoteRef/>
        <w:tab/>
        <w:t>an ihrem Zielort</w:t>
      </w:r>
      <w:r>
        <w:rPr/>
        <w:t xml:space="preserve"> Sinngemäße Wiedergabe von </w:t>
      </w:r>
      <w:r>
        <w:rPr>
          <w:i/>
        </w:rPr>
        <w:t>dort</w:t>
      </w:r>
      <w:r>
        <w:rPr/>
        <w:t>.</w:t>
      </w:r>
    </w:p>
  </w:footnote>
  <w:footnote w:id="1558">
    <w:p>
      <w:pPr>
        <w:pStyle w:val="Funote"/>
        <w:rPr/>
      </w:pPr>
      <w:r>
        <w:rPr>
          <w:i/>
        </w:rPr>
        <w:footnoteRef/>
        <w:tab/>
        <w:t>als er ausstieg</w:t>
      </w:r>
      <w:r>
        <w:rPr/>
        <w:t xml:space="preserve"> </w:t>
      </w:r>
      <w:hyperlink r:id="rId262">
        <w:r>
          <w:rPr>
            <w:rStyle w:val="Internetlink"/>
          </w:rPr>
          <w:t>Ptz. conj.</w:t>
        </w:r>
      </w:hyperlink>
      <w:r>
        <w:rPr/>
        <w:t>, als temporaler Nebensatz aufgelöst.</w:t>
      </w:r>
    </w:p>
  </w:footnote>
  <w:footnote w:id="1559">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60">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1">
    <w:p>
      <w:pPr>
        <w:pStyle w:val="Funote"/>
        <w:rPr/>
      </w:pPr>
      <w:r>
        <w:rPr>
          <w:i/>
        </w:rPr>
        <w:footnoteRef/>
        <w:tab/>
        <w:t>kamen … zu ihm und</w:t>
      </w:r>
      <w:r>
        <w:rPr/>
        <w:t xml:space="preserve"> Temp. </w:t>
      </w:r>
      <w:hyperlink r:id="rId263">
        <w:r>
          <w:rPr>
            <w:rStyle w:val="Internetlink"/>
          </w:rPr>
          <w:t>Ptz. conj.</w:t>
        </w:r>
      </w:hyperlink>
      <w:r>
        <w:rPr/>
        <w:t>, parataktisch aufgelöst.</w:t>
      </w:r>
    </w:p>
  </w:footnote>
  <w:footnote w:id="1562">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3">
    <w:p>
      <w:pPr>
        <w:pStyle w:val="Funote"/>
        <w:rPr/>
      </w:pPr>
      <w:r>
        <w:rPr>
          <w:i/>
        </w:rPr>
        <w:footnoteRef/>
        <w:tab/>
        <w:t>gehen und</w:t>
      </w:r>
      <w:r>
        <w:rPr/>
        <w:t xml:space="preserve"> W. „weggehen und“ </w:t>
      </w:r>
      <w:hyperlink r:id="rId264">
        <w:r>
          <w:rPr>
            <w:rStyle w:val="Internetlink"/>
          </w:rPr>
          <w:t>Beschreibendes Partizip</w:t>
        </w:r>
      </w:hyperlink>
      <w:r>
        <w:rPr/>
        <w:t>, beigeordnet aufgelöst.</w:t>
      </w:r>
    </w:p>
  </w:footnote>
  <w:footnote w:id="1564">
    <w:p>
      <w:pPr>
        <w:pStyle w:val="Funote"/>
        <w:rPr/>
      </w:pPr>
      <w:r>
        <w:rPr>
          <w:i/>
        </w:rPr>
        <w:footnoteRef/>
        <w:tab/>
        <w:t>antwortete {und sagte}</w:t>
      </w:r>
      <w:r>
        <w:rPr/>
        <w:t xml:space="preserve"> W. etwa „antwortend sagte er...“ Diese pleonastische Verbindung geben wir aus stilistischen Gründen mit nur einem Verb wieder. </w:t>
      </w:r>
      <w:r>
        <w:rPr>
          <w:i/>
        </w:rPr>
        <w:t>antwortete</w:t>
      </w:r>
      <w:r>
        <w:rPr/>
        <w:t xml:space="preserve"> Mod. </w:t>
      </w:r>
      <w:hyperlink r:id="rId265">
        <w:r>
          <w:rPr>
            <w:rStyle w:val="Internetlink"/>
          </w:rPr>
          <w:t>Ptz. conj.</w:t>
        </w:r>
      </w:hyperlink>
      <w:r>
        <w:rPr/>
        <w:t>.</w:t>
      </w:r>
    </w:p>
  </w:footnote>
  <w:footnote w:id="1565">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6">
    <w:p>
      <w:pPr>
        <w:pStyle w:val="Funote"/>
        <w:rPr/>
      </w:pPr>
      <w:r>
        <w:rPr/>
        <w:footnoteRef/>
        <w:tab/>
        <w:t>[für] zweihundert Denare Genitiv des Preises. Ein Denar entsprach einem Tagelohn (Guelich 1989, 341).</w:t>
      </w:r>
    </w:p>
  </w:footnote>
  <w:footnote w:id="1567">
    <w:p>
      <w:pPr>
        <w:pStyle w:val="Funote"/>
        <w:rPr/>
      </w:pPr>
      <w:r>
        <w:rPr>
          <w:i/>
        </w:rPr>
        <w:footnoteRef/>
        <w:tab/>
        <w:t>nachdem sie [es] festgestellt hatten</w:t>
      </w:r>
      <w:r>
        <w:rPr/>
        <w:t xml:space="preserve"> </w:t>
      </w:r>
      <w:hyperlink r:id="rId266">
        <w:r>
          <w:rPr>
            <w:rStyle w:val="Internetlink"/>
          </w:rPr>
          <w:t>Ptz. conj.</w:t>
        </w:r>
      </w:hyperlink>
      <w:r>
        <w:rPr/>
        <w:t xml:space="preserve"> Aor., temporal-vorzeitig als Nebensatz aufgelöst. Oder: „sie stellten es fest und“</w:t>
      </w:r>
    </w:p>
  </w:footnote>
  <w:footnote w:id="1568">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9">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70">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1">
    <w:p>
      <w:pPr>
        <w:pStyle w:val="Funote"/>
        <w:rPr/>
      </w:pPr>
      <w:r>
        <w:rPr>
          <w:i/>
        </w:rPr>
        <w:footnoteRef/>
        <w:tab/>
        <w:t>er nahm</w:t>
      </w:r>
      <w:r>
        <w:rPr/>
        <w:t xml:space="preserve"> und </w:t>
      </w:r>
      <w:r>
        <w:rPr>
          <w:i/>
        </w:rPr>
        <w:t>blickte auf</w:t>
      </w:r>
      <w:r>
        <w:rPr/>
        <w:t xml:space="preserve"> Modal-temporales </w:t>
      </w:r>
      <w:hyperlink r:id="rId267">
        <w:r>
          <w:rPr>
            <w:rStyle w:val="Internetlink"/>
          </w:rPr>
          <w:t>Ptz. conj.</w:t>
        </w:r>
      </w:hyperlink>
      <w:r>
        <w:rPr/>
        <w:t xml:space="preserve"> (2x), beigeordnet übersetzt.</w:t>
      </w:r>
    </w:p>
  </w:footnote>
  <w:footnote w:id="1572">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3">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4">
    <w:p>
      <w:pPr>
        <w:pStyle w:val="Funote"/>
        <w:rPr/>
      </w:pPr>
      <w:r>
        <w:rPr/>
        <w:footnoteRef/>
        <w:tab/>
        <w:t>verabschieden wollte Im Griechischen „verabschiedet“; es ist hier so formuliert, wie es die entsprechende wörtliche Rede wäre (NSS).</w:t>
      </w:r>
    </w:p>
  </w:footnote>
  <w:footnote w:id="1575">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6">
    <w:p>
      <w:pPr>
        <w:pStyle w:val="Funote"/>
        <w:rPr/>
      </w:pPr>
      <w:r>
        <w:rPr>
          <w:i/>
        </w:rPr>
        <w:footnoteRef/>
        <w:tab/>
        <w:t>als es … geworden war</w:t>
      </w:r>
      <w:r>
        <w:rPr/>
        <w:t xml:space="preserve"> </w:t>
      </w:r>
      <w:hyperlink r:id="rId268">
        <w:r>
          <w:rPr>
            <w:rStyle w:val="Internetlink"/>
          </w:rPr>
          <w:t>Gen. abs.</w:t>
        </w:r>
      </w:hyperlink>
      <w:r>
        <w:rPr/>
        <w:t>, als temporaler Nebensatz aufgelöst.</w:t>
      </w:r>
    </w:p>
  </w:footnote>
  <w:footnote w:id="1577">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8">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9">
    <w:p>
      <w:pPr>
        <w:pStyle w:val="Funote"/>
        <w:rPr/>
      </w:pPr>
      <w:r>
        <w:rPr>
          <w:i/>
        </w:rPr>
        <w:footnoteRef/>
        <w:tab/>
        <w:t>indem … lief</w:t>
      </w:r>
      <w:r>
        <w:rPr/>
        <w:t xml:space="preserve"> Modales </w:t>
      </w:r>
      <w:hyperlink r:id="rId269">
        <w:r>
          <w:rPr>
            <w:rStyle w:val="Internetlink"/>
          </w:rPr>
          <w:t>Ptc. conj.</w:t>
        </w:r>
      </w:hyperlink>
      <w:r>
        <w:rPr/>
        <w:t>, als Nebensatz aufgelöst.</w:t>
      </w:r>
    </w:p>
  </w:footnote>
  <w:footnote w:id="1580">
    <w:p>
      <w:pPr>
        <w:pStyle w:val="Funote"/>
        <w:rPr/>
      </w:pPr>
      <w:r>
        <w:rPr>
          <w:i/>
        </w:rPr>
        <w:footnoteRef/>
        <w:tab/>
        <w:t>wollte</w:t>
      </w:r>
      <w:r>
        <w:rPr/>
        <w:t xml:space="preserve"> Die Verwendung des </w:t>
      </w:r>
      <w:hyperlink r:id="rId270">
        <w:r>
          <w:rPr>
            <w:rStyle w:val="Internetlink"/>
          </w:rPr>
          <w:t>Imperfekts</w:t>
        </w:r>
      </w:hyperlink>
      <w:r>
        <w:rPr/>
        <w:t xml:space="preserve"> zeigt wohl an, dass dies in dieser Szene seine Absicht war.</w:t>
      </w:r>
    </w:p>
  </w:footnote>
  <w:footnote w:id="1581">
    <w:p>
      <w:pPr>
        <w:pStyle w:val="Funote"/>
        <w:rPr/>
      </w:pPr>
      <w:r>
        <w:rPr>
          <w:i/>
        </w:rPr>
        <w:footnoteRef/>
        <w:tab/>
        <w:t>als … sahen</w:t>
      </w:r>
      <w:r>
        <w:rPr/>
        <w:t xml:space="preserve"> </w:t>
      </w:r>
      <w:hyperlink r:id="rId271">
        <w:r>
          <w:rPr>
            <w:rStyle w:val="Internetlink"/>
          </w:rPr>
          <w:t>Ptz. conj.</w:t>
        </w:r>
      </w:hyperlink>
      <w:r>
        <w:rPr/>
        <w:t>, als temporaler Nebensatz aufgelöst.</w:t>
      </w:r>
    </w:p>
  </w:footnote>
  <w:footnote w:id="1582">
    <w:p>
      <w:pPr>
        <w:pStyle w:val="Funote"/>
        <w:rPr/>
      </w:pPr>
      <w:r>
        <w:rPr>
          <w:i/>
        </w:rPr>
        <w:footnoteRef/>
        <w:tab/>
        <w:t>schrien auf (fingen an zu schreien)</w:t>
      </w:r>
      <w:r>
        <w:rPr/>
        <w:t xml:space="preserve"> Wie in der Klammer kann man den Aorist auch </w:t>
      </w:r>
      <w:hyperlink r:id="rId272">
        <w:r>
          <w:rPr>
            <w:rStyle w:val="Internetlink"/>
          </w:rPr>
          <w:t>ingressiv</w:t>
        </w:r>
      </w:hyperlink>
      <w:r>
        <w:rPr/>
        <w:t xml:space="preserve"> übersetzen, der den Anfang von etwas markiert.</w:t>
      </w:r>
    </w:p>
  </w:footnote>
  <w:footnote w:id="1583">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4">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5">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6">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7">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8">
    <w:p>
      <w:pPr>
        <w:pStyle w:val="Funote"/>
        <w:rPr/>
      </w:pPr>
      <w:r>
        <w:rPr>
          <w:i/>
        </w:rPr>
        <w:footnoteRef/>
        <w:tab/>
        <w:t>ihr Herz war verstockt (verhärtet)</w:t>
      </w:r>
      <w:r>
        <w:rPr/>
        <w:t xml:space="preserve">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 xml:space="preserve">schwierigkeiten der Jünger zu sprechen. </w:t>
      </w:r>
    </w:p>
  </w:footnote>
  <w:footnote w:id="1589">
    <w:p>
      <w:pPr>
        <w:pStyle w:val="Funote"/>
        <w:rPr/>
      </w:pPr>
      <w:r>
        <w:rPr>
          <w:i/>
        </w:rPr>
        <w:footnoteRef/>
        <w:tab/>
        <w:t>nachdem sie übergesetzt hatten</w:t>
      </w:r>
      <w:r>
        <w:rPr/>
        <w:t xml:space="preserve"> Temp. </w:t>
      </w:r>
      <w:hyperlink r:id="rId273">
        <w:r>
          <w:rPr>
            <w:rStyle w:val="Internetlink"/>
          </w:rPr>
          <w:t>Ptz. conj.</w:t>
        </w:r>
      </w:hyperlink>
      <w:r>
        <w:rPr/>
        <w:t>, als vorzeitiger Nebensatz aufgelöst.</w:t>
      </w:r>
    </w:p>
  </w:footnote>
  <w:footnote w:id="1590">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1">
    <w:p>
      <w:pPr>
        <w:pStyle w:val="Funote"/>
        <w:rPr/>
      </w:pPr>
      <w:r>
        <w:rPr>
          <w:i/>
        </w:rPr>
        <w:footnoteRef/>
        <w:tab/>
        <w:t>erkannten … und</w:t>
      </w:r>
      <w:r>
        <w:rPr/>
        <w:t xml:space="preserve"> Kausales oder temporales </w:t>
      </w:r>
      <w:hyperlink r:id="rId274">
        <w:r>
          <w:rPr>
            <w:rStyle w:val="Internetlink"/>
          </w:rPr>
          <w:t>Ptz. conj.</w:t>
        </w:r>
      </w:hyperlink>
      <w:r>
        <w:rPr/>
        <w:t>, hier beigeordnet aufgelöst.</w:t>
      </w:r>
    </w:p>
  </w:footnote>
  <w:footnote w:id="1592">
    <w:p>
      <w:pPr>
        <w:pStyle w:val="Funote"/>
        <w:rPr/>
      </w:pPr>
      <w:r>
        <w:rPr>
          <w:i/>
        </w:rPr>
        <w:footnoteRef/>
        <w:tab/>
        <w:t>die</w:t>
      </w:r>
      <w:r>
        <w:rPr/>
        <w:t xml:space="preserve"> W. „jene“, im Deutschen obsolet.</w:t>
      </w:r>
    </w:p>
  </w:footnote>
  <w:footnote w:id="1593">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4">
    <w:p>
      <w:pPr>
        <w:pStyle w:val="Funote"/>
        <w:rPr/>
      </w:pPr>
      <w:r>
        <w:rPr>
          <w:i/>
        </w:rPr>
        <w:footnoteRef/>
        <w:tab/>
        <w:t>diejenigen, denen es schlecht ging</w:t>
      </w:r>
      <w:r>
        <w:rPr/>
        <w:t xml:space="preserve"> </w:t>
      </w:r>
      <w:hyperlink r:id="rId275">
        <w:r>
          <w:rPr>
            <w:rStyle w:val="Internetlink"/>
          </w:rPr>
          <w:t>Subst. Ptz.</w:t>
        </w:r>
      </w:hyperlink>
      <w:r>
        <w:rPr/>
        <w:t xml:space="preserve">,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 </w:t>
      </w:r>
    </w:p>
  </w:footnote>
  <w:footnote w:id="1595">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6">
    <w:p>
      <w:pPr>
        <w:pStyle w:val="Funote"/>
        <w:rPr/>
      </w:pPr>
      <w:r>
        <w:rPr/>
        <w:footnoteRef/>
        <w:tab/>
        <w:t>[Status: Zuverlässig]</w:t>
      </w:r>
    </w:p>
  </w:footnote>
  <w:footnote w:id="1597">
    <w:p>
      <w:pPr>
        <w:pStyle w:val="Funote"/>
        <w:rPr/>
      </w:pPr>
      <w:r>
        <w:rPr>
          <w:i/>
        </w:rPr>
        <w:footnoteRef/>
        <w:tab/>
        <w:t>die ... gekommen waren</w:t>
      </w:r>
      <w:r>
        <w:rPr/>
        <w:t xml:space="preserve"> </w:t>
      </w:r>
      <w:hyperlink r:id="rId276">
        <w:r>
          <w:rPr>
            <w:rStyle w:val="Internetlink"/>
          </w:rPr>
          <w:t>attr. Ptz.</w:t>
        </w:r>
      </w:hyperlink>
      <w:r>
        <w:rPr/>
        <w:t xml:space="preserve"> Aor., als vorzeitiger Relativsatz aufgelöst.</w:t>
      </w:r>
    </w:p>
  </w:footnote>
  <w:footnote w:id="1598">
    <w:p>
      <w:pPr>
        <w:pStyle w:val="Funote"/>
        <w:rPr/>
      </w:pPr>
      <w:r>
        <w:rPr>
          <w:i/>
        </w:rPr>
        <w:footnoteRef/>
        <w:tab/>
        <w:t>weil (als) sie gesehen hatten (sahen)</w:t>
      </w:r>
      <w:r>
        <w:rPr/>
        <w:t xml:space="preserve"> Kausales oder temporales </w:t>
      </w:r>
      <w:hyperlink r:id="rId277">
        <w:r>
          <w:rPr>
            <w:rStyle w:val="Internetlink"/>
          </w:rPr>
          <w:t>Ptz. conj.</w:t>
        </w:r>
      </w:hyperlink>
      <w:r>
        <w:rPr/>
        <w:t>.</w:t>
      </w:r>
    </w:p>
  </w:footnote>
  <w:footnote w:id="1599">
    <w:p>
      <w:pPr>
        <w:pStyle w:val="Funote"/>
        <w:rPr/>
      </w:pPr>
      <w:r>
        <w:rPr>
          <w:i/>
        </w:rPr>
        <w:footnoteRef/>
        <w:tab/>
        <w:t>[mit] unreinen ... [mit] ungewaschenen, Händen</w:t>
      </w:r>
      <w:r>
        <w:rPr/>
        <w:t xml:space="preserve"> </w:t>
      </w:r>
      <w:hyperlink r:id="rId278">
        <w:r>
          <w:rPr>
            <w:rStyle w:val="Internetlink"/>
          </w:rPr>
          <w:t>Instr. Dativ</w:t>
        </w:r>
      </w:hyperlink>
      <w:r>
        <w:rPr/>
        <w:t>.</w:t>
      </w:r>
    </w:p>
  </w:footnote>
  <w:footnote w:id="1600">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1">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2">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3">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4">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5">
    <w:p>
      <w:pPr>
        <w:pStyle w:val="Funote"/>
        <w:rPr/>
      </w:pPr>
      <w:r>
        <w:rPr/>
        <w:footnoteRef/>
        <w:tab/>
        <w:t>nach der Rückkehr vom Markt W. „vom Markt“, ein griechisches Idiom. Möglich wäre vielleicht auch „essen nichts, was vom Markt kommt, ohne es gewaschen zu haben“ (NSS).</w:t>
      </w:r>
    </w:p>
  </w:footnote>
  <w:footnote w:id="1606">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7">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8">
    <w:p>
      <w:pPr>
        <w:pStyle w:val="Funote"/>
        <w:rPr/>
      </w:pPr>
      <w:r>
        <w:rPr>
          <w:i/>
        </w:rPr>
        <w:footnoteRef/>
        <w:tab/>
        <w:t>[mit] unreinen Händen</w:t>
      </w:r>
      <w:r>
        <w:rPr/>
        <w:t xml:space="preserve"> </w:t>
      </w:r>
      <w:hyperlink r:id="rId279">
        <w:r>
          <w:rPr>
            <w:rStyle w:val="Internetlink"/>
          </w:rPr>
          <w:t>Instr. Dativ</w:t>
        </w:r>
      </w:hyperlink>
      <w:r>
        <w:rPr/>
        <w:t>.</w:t>
      </w:r>
    </w:p>
  </w:footnote>
  <w:footnote w:id="1609">
    <w:p>
      <w:pPr>
        <w:pStyle w:val="Funote"/>
        <w:rPr/>
      </w:pPr>
      <w:r>
        <w:rPr>
          <w:i/>
        </w:rPr>
        <w:footnoteRef/>
        <w:tab/>
        <w:t>[mit] den Lippen</w:t>
      </w:r>
      <w:r>
        <w:rPr/>
        <w:t xml:space="preserve"> </w:t>
      </w:r>
      <w:hyperlink r:id="rId280">
        <w:r>
          <w:rPr>
            <w:rStyle w:val="Internetlink"/>
          </w:rPr>
          <w:t>Instr. Dativ</w:t>
        </w:r>
      </w:hyperlink>
      <w:r>
        <w:rPr/>
        <w:t>.</w:t>
      </w:r>
    </w:p>
  </w:footnote>
  <w:footnote w:id="1610">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1">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2">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3">
    <w:p>
      <w:pPr>
        <w:pStyle w:val="Funote"/>
        <w:rPr/>
      </w:pPr>
      <w:r>
        <w:rPr>
          <w:i/>
        </w:rPr>
        <w:footnoteRef/>
        <w:tab/>
        <w:t>er fuhr fort</w:t>
      </w:r>
      <w:r>
        <w:rPr/>
        <w:t xml:space="preserve"> (V. 9 und 20) übersetzt das </w:t>
      </w:r>
      <w:hyperlink r:id="rId281">
        <w:r>
          <w:rPr>
            <w:rStyle w:val="Internetlink"/>
          </w:rPr>
          <w:t>Imperfekt</w:t>
        </w:r>
      </w:hyperlink>
      <w:r>
        <w:rPr/>
        <w:t xml:space="preserve"> </w:t>
      </w:r>
      <w:r>
        <w:rPr>
          <w:lang w:val="el-GR"/>
        </w:rPr>
        <w:t>ἔλεγεν</w:t>
      </w:r>
      <w:r>
        <w:rPr/>
        <w:t>. Der durative Aspekt zeigt hier wohl an, dass Jesus weiterspricht. Vgl. die ähnliche Übersetzung des Imperfekts in V. 14.</w:t>
      </w:r>
    </w:p>
  </w:footnote>
  <w:footnote w:id="1614">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5">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6">
    <w:p>
      <w:pPr>
        <w:pStyle w:val="Funote"/>
        <w:rPr/>
      </w:pPr>
      <w:r>
        <w:rPr/>
        <w:footnoteRef/>
        <w:tab/>
        <w:t>Anakoluth (z.B. Kleist 1937, S. 208). Jesus hat sich hier offenbar so in Rage geredet, dass er nicht einmal seinen begonnenen Satz zu Ende führt.</w:t>
      </w:r>
    </w:p>
  </w:footnote>
  <w:footnote w:id="1617">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8">
    <w:p>
      <w:pPr>
        <w:pStyle w:val="Funote"/>
        <w:rPr/>
      </w:pPr>
      <w:r>
        <w:rPr>
          <w:i/>
        </w:rPr>
        <w:footnoteRef/>
        <w:tab/>
        <w:t>nicht mehr, etwas</w:t>
      </w:r>
      <w:r>
        <w:rPr/>
        <w:t xml:space="preserve"> W. „nicht mehr, nichts“, eine doppelte Verneinung, die den Effekt der Aussage (s. die vorige Fußnote) verstärkt.</w:t>
      </w:r>
    </w:p>
  </w:footnote>
  <w:footnote w:id="1619">
    <w:p>
      <w:pPr>
        <w:pStyle w:val="Funote"/>
        <w:rPr/>
      </w:pPr>
      <w:r>
        <w:rPr>
          <w:i/>
        </w:rPr>
        <w:footnoteRef/>
        <w:tab/>
        <w:t>[für seinen] Vater oder [seine] Mutter</w:t>
      </w:r>
      <w:r>
        <w:rPr/>
        <w:t xml:space="preserve"> </w:t>
      </w:r>
      <w:hyperlink r:id="rId282">
        <w:r>
          <w:rPr>
            <w:rStyle w:val="Internetlink"/>
          </w:rPr>
          <w:t>Instr. Dat.</w:t>
        </w:r>
      </w:hyperlink>
      <w:r>
        <w:rPr/>
        <w:t xml:space="preserve"> (2x).</w:t>
      </w:r>
    </w:p>
  </w:footnote>
  <w:footnote w:id="1620">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1">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2">
    <w:p>
      <w:pPr>
        <w:pStyle w:val="Funote"/>
        <w:rPr/>
      </w:pPr>
      <w:r>
        <w:rPr>
          <w:i/>
        </w:rPr>
        <w:footnoteRef/>
        <w:tab/>
        <w:t>er rief ... und</w:t>
      </w:r>
      <w:r>
        <w:rPr/>
        <w:t xml:space="preserve"> </w:t>
      </w:r>
      <w:hyperlink r:id="rId283">
        <w:r>
          <w:rPr>
            <w:rStyle w:val="Internetlink"/>
          </w:rPr>
          <w:t>Ptz. conj.</w:t>
        </w:r>
      </w:hyperlink>
      <w:r>
        <w:rPr/>
        <w:t xml:space="preserve"> Aor., temporal-modal, beigeordnet übersetzt.</w:t>
      </w:r>
    </w:p>
  </w:footnote>
  <w:footnote w:id="1623">
    <w:p>
      <w:pPr>
        <w:pStyle w:val="Funote"/>
        <w:rPr/>
      </w:pPr>
      <w:r>
        <w:rPr>
          <w:i/>
        </w:rPr>
        <w:footnoteRef/>
        <w:tab/>
        <w:t>sprach nun</w:t>
      </w:r>
      <w:r>
        <w:rPr/>
        <w:t xml:space="preserve"> übersetzt das </w:t>
      </w:r>
      <w:hyperlink r:id="rId284">
        <w:r>
          <w:rPr>
            <w:rStyle w:val="Internetlink"/>
          </w:rPr>
          <w:t>Imperfekt</w:t>
        </w:r>
      </w:hyperlink>
      <w:r>
        <w:rPr/>
        <w:t xml:space="preserve"> </w:t>
      </w:r>
      <w:r>
        <w:rPr>
          <w:lang w:val="el-GR"/>
        </w:rPr>
        <w:t>ἔλεγεν</w:t>
      </w:r>
      <w:r>
        <w:rPr/>
        <w:t>. Der durative Aspekt zeigt hier wohl an, dass Jesus weiterspricht, und zwar jetzt an die Menge gewandt. Vgl. die ähnliche Übersetzung des Imperfekts in V. 9 und 20.</w:t>
      </w:r>
    </w:p>
  </w:footnote>
  <w:footnote w:id="1624">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5">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6">
    <w:p>
      <w:pPr>
        <w:pStyle w:val="Funote"/>
        <w:rPr/>
      </w:pPr>
      <w:r>
        <w:rPr>
          <w:i/>
        </w:rPr>
        <w:footnoteRef/>
        <w:tab/>
        <w:t>was herauskommt</w:t>
      </w:r>
      <w:r>
        <w:rPr/>
        <w:t xml:space="preserve"> und </w:t>
      </w:r>
      <w:r>
        <w:rPr>
          <w:i/>
        </w:rPr>
        <w:t>das verunreinigt</w:t>
      </w:r>
      <w:r>
        <w:rPr/>
        <w:t xml:space="preserve"> </w:t>
      </w:r>
      <w:hyperlink r:id="rId285">
        <w:r>
          <w:rPr>
            <w:rStyle w:val="Internetlink"/>
          </w:rPr>
          <w:t>Subst. Ptz.</w:t>
        </w:r>
      </w:hyperlink>
      <w:r>
        <w:rPr/>
        <w:t xml:space="preserve"> (2x), als Relativsatz aufgelöst. Man könnte das zweite Partizip auch als </w:t>
      </w:r>
      <w:hyperlink r:id="rId286">
        <w:r>
          <w:rPr>
            <w:rStyle w:val="Internetlink"/>
          </w:rPr>
          <w:t>umschreibendes Partizip</w:t>
        </w:r>
      </w:hyperlink>
      <w:r>
        <w:rPr/>
        <w:t xml:space="preserve"> übersetzen (dazu s. die vorige Fußnote): „Vielmehr verunreinigt den Menschen das, was aus dem Menschen herauskommt.“</w:t>
      </w:r>
    </w:p>
  </w:footnote>
  <w:footnote w:id="1627">
    <w:p>
      <w:pPr>
        <w:pStyle w:val="Funote"/>
        <w:rPr/>
      </w:pPr>
      <w:r>
        <w:rPr/>
        <w:footnoteRef/>
        <w:tab/>
        <w:t>Textkritik: Dieser Vers fehlt in den frühesten bekannten Handschriften; genaueres im Kommentar</w:t>
      </w:r>
    </w:p>
  </w:footnote>
  <w:footnote w:id="1628">
    <w:p>
      <w:pPr>
        <w:pStyle w:val="Funote"/>
        <w:rPr/>
      </w:pPr>
      <w:r>
        <w:rPr>
          <w:i/>
        </w:rPr>
        <w:footnoteRef/>
        <w:tab/>
        <w:t>sagte</w:t>
      </w:r>
      <w:r>
        <w:rPr/>
        <w:t xml:space="preserve"> </w:t>
      </w:r>
      <w:hyperlink r:id="rId287">
        <w:r>
          <w:rPr>
            <w:rStyle w:val="Internetlink"/>
          </w:rPr>
          <w:t>Historisches Präsens</w:t>
        </w:r>
      </w:hyperlink>
      <w:r>
        <w:rPr/>
        <w:t>.</w:t>
      </w:r>
    </w:p>
  </w:footnote>
  <w:footnote w:id="1629">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30">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1">
    <w:p>
      <w:pPr>
        <w:pStyle w:val="Funote"/>
        <w:rPr/>
      </w:pPr>
      <w:r>
        <w:rPr>
          <w:i/>
        </w:rPr>
        <w:footnoteRef/>
        <w:tab/>
        <w:t>Was … herauskommt</w:t>
      </w:r>
      <w:r>
        <w:rPr/>
        <w:t xml:space="preserve"> </w:t>
      </w:r>
      <w:hyperlink r:id="rId288">
        <w:r>
          <w:rPr>
            <w:rStyle w:val="Internetlink"/>
          </w:rPr>
          <w:t>Subst. Ptz.</w:t>
        </w:r>
      </w:hyperlink>
      <w:r>
        <w:rPr/>
        <w:t>, als Relativsatz aufgelöst.</w:t>
      </w:r>
    </w:p>
  </w:footnote>
  <w:footnote w:id="1632">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3">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4">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5">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6">
    <w:p>
      <w:pPr>
        <w:pStyle w:val="Funote"/>
        <w:rPr/>
      </w:pPr>
      <w:r>
        <w:rPr>
          <w:i/>
        </w:rPr>
        <w:footnoteRef/>
        <w:tab/>
        <w:t>brach er auf und</w:t>
      </w:r>
      <w:r>
        <w:rPr/>
        <w:t xml:space="preserve"> sowie </w:t>
      </w:r>
      <w:r>
        <w:rPr>
          <w:i/>
        </w:rPr>
        <w:t>er begab sich … und</w:t>
      </w:r>
      <w:r>
        <w:rPr/>
        <w:t xml:space="preserve"> </w:t>
      </w:r>
      <w:hyperlink r:id="rId289">
        <w:r>
          <w:rPr>
            <w:rStyle w:val="Internetlink"/>
          </w:rPr>
          <w:t>Ptz. conj.</w:t>
        </w:r>
      </w:hyperlink>
      <w:r>
        <w:rPr/>
        <w:t>, beigeordnet aufgelöst.</w:t>
      </w:r>
    </w:p>
  </w:footnote>
  <w:footnote w:id="1637">
    <w:p>
      <w:pPr>
        <w:pStyle w:val="Funote"/>
        <w:rPr/>
      </w:pPr>
      <w:r>
        <w:rPr>
          <w:i/>
        </w:rPr>
        <w:footnoteRef/>
        <w:tab/>
        <w:t>von einem unreinen Geist besessen war</w:t>
      </w:r>
      <w:r>
        <w:rPr/>
        <w:t xml:space="preserve"> W. „einen unreinen Geist hatte“</w:t>
      </w:r>
    </w:p>
  </w:footnote>
  <w:footnote w:id="1638">
    <w:p>
      <w:pPr>
        <w:pStyle w:val="Funote"/>
        <w:rPr/>
      </w:pPr>
      <w:r>
        <w:rPr>
          <w:i/>
        </w:rPr>
        <w:footnoteRef/>
        <w:tab/>
        <w:t>kam … und</w:t>
      </w:r>
      <w:r>
        <w:rPr/>
        <w:t xml:space="preserve"> </w:t>
      </w:r>
      <w:hyperlink r:id="rId290">
        <w:r>
          <w:rPr>
            <w:rStyle w:val="Internetlink"/>
          </w:rPr>
          <w:t>Ptz. conj.</w:t>
        </w:r>
      </w:hyperlink>
      <w:r>
        <w:rPr/>
        <w:t>, temporal, beigeordnet aufgelöst.</w:t>
      </w:r>
    </w:p>
  </w:footnote>
  <w:footnote w:id="1639">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40">
    <w:p>
      <w:pPr>
        <w:pStyle w:val="Funote"/>
        <w:rPr/>
      </w:pPr>
      <w:r>
        <w:rPr>
          <w:i/>
        </w:rPr>
        <w:footnoteRef/>
        <w:tab/>
        <w:t>sie bat ihn hartnäckig (immer wieder)</w:t>
      </w:r>
      <w:r>
        <w:rPr/>
        <w:t xml:space="preserve"> Das Verb steht im </w:t>
      </w:r>
      <w:hyperlink r:id="rId291">
        <w:r>
          <w:rPr>
            <w:rStyle w:val="Internetlink"/>
          </w:rPr>
          <w:t>Imperfekt</w:t>
        </w:r>
      </w:hyperlink>
      <w:r>
        <w:rPr/>
        <w:t xml:space="preserve">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1">
    <w:p>
      <w:pPr>
        <w:pStyle w:val="Funote"/>
        <w:rPr/>
      </w:pPr>
      <w:r>
        <w:rPr/>
        <w:footnoteRef/>
        <w:tab/>
        <w:t>die Krümel W. »von den Krümeln«, eine Präpositionalphrase, die den partitiven Genitiv ersetzt (NSS).</w:t>
      </w:r>
    </w:p>
  </w:footnote>
  <w:footnote w:id="1642">
    <w:p>
      <w:pPr>
        <w:pStyle w:val="Funote"/>
        <w:rPr/>
      </w:pPr>
      <w:r>
        <w:rPr>
          <w:i/>
        </w:rPr>
        <w:footnoteRef/>
        <w:tab/>
        <w:t>Weil du das gesagt hast</w:t>
      </w:r>
      <w:r>
        <w:rPr/>
        <w:t xml:space="preserve"> W. „Aufgrund dieses Wortes/dieser Äußerung bzw. Antwort“</w:t>
      </w:r>
    </w:p>
  </w:footnote>
  <w:footnote w:id="1643">
    <w:p>
      <w:pPr>
        <w:pStyle w:val="Funote"/>
        <w:rPr/>
      </w:pPr>
      <w:r>
        <w:rPr/>
        <w:footnoteRef/>
        <w:tab/>
        <w:t>geh D.h. »Du kannst gehen« (NGÜ) oder »Geh nach Hause« (EÜ, GNB). Vgl. 10,52.</w:t>
      </w:r>
    </w:p>
  </w:footnote>
  <w:footnote w:id="1644">
    <w:p>
      <w:pPr>
        <w:pStyle w:val="Funote"/>
        <w:rPr/>
      </w:pPr>
      <w:r>
        <w:rPr>
          <w:i/>
        </w:rPr>
        <w:footnoteRef/>
        <w:tab/>
        <w:t>ging zurück … und</w:t>
      </w:r>
      <w:r>
        <w:rPr/>
        <w:t xml:space="preserve"> W. „ging weg“. </w:t>
      </w:r>
      <w:hyperlink r:id="rId292">
        <w:r>
          <w:rPr>
            <w:rStyle w:val="Internetlink"/>
          </w:rPr>
          <w:t>Ptz. conj.</w:t>
        </w:r>
      </w:hyperlink>
      <w:r>
        <w:rPr/>
        <w:t>, beigeordnet aufgelöst.</w:t>
      </w:r>
    </w:p>
  </w:footnote>
  <w:footnote w:id="1645">
    <w:p>
      <w:pPr>
        <w:pStyle w:val="Funote"/>
        <w:rPr/>
      </w:pPr>
      <w:r>
        <w:rPr>
          <w:i/>
        </w:rPr>
        <w:footnoteRef/>
        <w:tab/>
        <w:t>reiste … und</w:t>
      </w:r>
      <w:r>
        <w:rPr/>
        <w:t xml:space="preserve"> </w:t>
      </w:r>
      <w:hyperlink r:id="rId293">
        <w:r>
          <w:rPr>
            <w:rStyle w:val="Internetlink"/>
          </w:rPr>
          <w:t>Ptz. conj.</w:t>
        </w:r>
      </w:hyperlink>
      <w:r>
        <w:rPr/>
        <w:t>, beigeordnet aufgelöst.</w:t>
      </w:r>
    </w:p>
  </w:footnote>
  <w:footnote w:id="1646">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7">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8">
    <w:p>
      <w:pPr>
        <w:pStyle w:val="Funote"/>
        <w:rPr/>
      </w:pPr>
      <w:r>
        <w:rPr/>
        <w:footnoteRef/>
        <w:tab/>
        <w:t>ihm die Hand aufzulegen bedeutet offenbar, ihn dadurch zu heilen (Collins 2007, 370).</w:t>
      </w:r>
    </w:p>
  </w:footnote>
  <w:footnote w:id="1649">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50">
    <w:p>
      <w:pPr>
        <w:pStyle w:val="Funote"/>
        <w:rPr/>
      </w:pPr>
      <w:r>
        <w:rPr>
          <w:i/>
        </w:rPr>
        <w:footnoteRef/>
        <w:tab/>
        <w:t>blickte er ... auf und</w:t>
      </w:r>
      <w:r>
        <w:rPr/>
        <w:t xml:space="preserve"> </w:t>
      </w:r>
      <w:hyperlink r:id="rId294">
        <w:r>
          <w:rPr>
            <w:rStyle w:val="Internetlink"/>
          </w:rPr>
          <w:t>Ptz. conj.</w:t>
        </w:r>
      </w:hyperlink>
      <w:r>
        <w:rPr/>
        <w:t>, beigeordnet aufgelöst.</w:t>
      </w:r>
    </w:p>
  </w:footnote>
  <w:footnote w:id="1651">
    <w:p>
      <w:pPr>
        <w:pStyle w:val="Funote"/>
        <w:rPr/>
      </w:pPr>
      <w:r>
        <w:rPr/>
        <w:footnoteRef/>
        <w:tab/>
        <w:t>„</w:t>
      </w:r>
      <w:r>
        <w:rPr/>
        <w:t>Effata!“ Das ist wahrscheinlich eine nicht 100% genau überlieferte aramäische Form (France 2002, 304; Guelich 1989, 395f.).</w:t>
      </w:r>
    </w:p>
  </w:footnote>
  <w:footnote w:id="1652">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3">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4">
    <w:p>
      <w:pPr>
        <w:pStyle w:val="Funote"/>
        <w:rPr/>
      </w:pPr>
      <w:r>
        <w:rPr>
          <w:i/>
        </w:rPr>
        <w:footnoteRef/>
        <w:tab/>
        <w:t>und sagten</w:t>
      </w:r>
      <w:r>
        <w:rPr/>
        <w:t xml:space="preserve"> </w:t>
      </w:r>
      <w:hyperlink r:id="rId295">
        <w:r>
          <w:rPr>
            <w:rStyle w:val="Internetlink"/>
          </w:rPr>
          <w:t>Ptz. conj.</w:t>
        </w:r>
      </w:hyperlink>
      <w:r>
        <w:rPr/>
        <w:t>, beigeordnet aufgelöst.</w:t>
      </w:r>
    </w:p>
  </w:footnote>
  <w:footnote w:id="1655">
    <w:p>
      <w:pPr>
        <w:pStyle w:val="Funote"/>
        <w:rPr/>
      </w:pPr>
      <w:r>
        <w:rPr/>
        <w:footnoteRef/>
        <w:tab/>
        <w:t>[Status: Zuverlässig]</w:t>
      </w:r>
    </w:p>
  </w:footnote>
  <w:footnote w:id="1656">
    <w:p>
      <w:pPr>
        <w:pStyle w:val="Funote"/>
        <w:rPr/>
      </w:pPr>
      <w:r>
        <w:rPr>
          <w:i/>
        </w:rPr>
        <w:footnoteRef/>
        <w:tab/>
        <w:t>rief er zu sich und</w:t>
      </w:r>
      <w:r>
        <w:rPr/>
        <w:t xml:space="preserve"> </w:t>
      </w:r>
      <w:hyperlink r:id="rId296">
        <w:r>
          <w:rPr>
            <w:rStyle w:val="Internetlink"/>
          </w:rPr>
          <w:t>Ptz. conj.</w:t>
        </w:r>
      </w:hyperlink>
      <w:r>
        <w:rPr/>
        <w:t>, beigeordnet aufgelöst.</w:t>
      </w:r>
    </w:p>
  </w:footnote>
  <w:footnote w:id="1657">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8">
    <w:p>
      <w:pPr>
        <w:pStyle w:val="Funote"/>
        <w:rPr/>
      </w:pPr>
      <w:r>
        <w:rPr/>
        <w:footnoteRef/>
        <w:tab/>
        <w:t>Woher LUT, ZÜR übersetzen »Wie«, doch gemeint ist, woher die Jünger das Brot (pars pro toto für Nahrung) nehmen sollen (Pesch 1976, 403; vgl. GNB, NGÜ, EÜ).</w:t>
      </w:r>
    </w:p>
  </w:footnote>
  <w:footnote w:id="1659">
    <w:p>
      <w:pPr>
        <w:pStyle w:val="Funote"/>
        <w:rPr/>
      </w:pPr>
      <w:r>
        <w:rPr>
          <w:i/>
        </w:rPr>
        <w:footnoteRef/>
        <w:tab/>
        <w:t>nachdem er ... genommen und ein Dankgebet gesprochen hatte</w:t>
      </w:r>
      <w:r>
        <w:rPr/>
        <w:t xml:space="preserve"> Temporal-modales </w:t>
      </w:r>
      <w:hyperlink r:id="rId297">
        <w:r>
          <w:rPr>
            <w:rStyle w:val="Internetlink"/>
          </w:rPr>
          <w:t>Ptz. conj.</w:t>
        </w:r>
      </w:hyperlink>
      <w:r>
        <w:rPr/>
        <w:t xml:space="preserve"> Aor., hier als vorzeitiger temporaler Nebensatz aufgelöst. </w:t>
      </w:r>
      <w:r>
        <w:rPr>
          <w:i/>
        </w:rPr>
        <w:t>ein Dankgebet gesprochen</w:t>
      </w:r>
      <w:r>
        <w:rPr/>
        <w:t xml:space="preserve"> W. „gedankt“. Gemeint ist hier jedoch ein Dankgebet.</w:t>
      </w:r>
    </w:p>
  </w:footnote>
  <w:footnote w:id="1660">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1">
    <w:p>
      <w:pPr>
        <w:pStyle w:val="Funote"/>
        <w:rPr/>
      </w:pPr>
      <w:r>
        <w:rPr/>
        <w:footnoteRef/>
        <w:tab/>
        <w:t>die übrig gebliebenen Brocken W. „die Reste der Brocken“ (Gen. part.; NSS)</w:t>
      </w:r>
    </w:p>
  </w:footnote>
  <w:footnote w:id="1662">
    <w:p>
      <w:pPr>
        <w:pStyle w:val="Funote"/>
        <w:rPr/>
      </w:pPr>
      <w:r>
        <w:rPr>
          <w:i/>
        </w:rPr>
        <w:footnoteRef/>
        <w:tab/>
        <w:t>stieg er … und</w:t>
      </w:r>
      <w:r>
        <w:rPr/>
        <w:t xml:space="preserve"> </w:t>
      </w:r>
      <w:hyperlink r:id="rId298">
        <w:r>
          <w:rPr>
            <w:rStyle w:val="Internetlink"/>
          </w:rPr>
          <w:t>Ptz. conj.</w:t>
        </w:r>
      </w:hyperlink>
      <w:r>
        <w:rPr/>
        <w:t>, beigeordnet aufgelöst.</w:t>
      </w:r>
    </w:p>
  </w:footnote>
  <w:footnote w:id="1663">
    <w:p>
      <w:pPr>
        <w:pStyle w:val="Funote"/>
        <w:rPr/>
      </w:pPr>
      <w:r>
        <w:rPr>
          <w:i/>
        </w:rPr>
        <w:footnoteRef/>
        <w:tab/>
        <w:t>Dalmanuta</w:t>
      </w:r>
      <w:r>
        <w:rPr/>
        <w:t xml:space="preserve">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4">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5">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7">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8">
    <w:p>
      <w:pPr>
        <w:pStyle w:val="Funote"/>
        <w:rPr/>
      </w:pPr>
      <w:r>
        <w:rPr>
          <w:i/>
        </w:rPr>
        <w:footnoteRef/>
        <w:tab/>
        <w:t>stöhnte (seufzte) … auf und</w:t>
      </w:r>
      <w:r>
        <w:rPr/>
        <w:t xml:space="preserve"> Modales </w:t>
      </w:r>
      <w:hyperlink r:id="rId299">
        <w:r>
          <w:rPr>
            <w:rStyle w:val="Internetlink"/>
          </w:rPr>
          <w:t>Ptz. conj.</w:t>
        </w:r>
      </w:hyperlink>
      <w:r>
        <w:rPr/>
        <w:t>, beigeordnet aufgelöst.</w:t>
      </w:r>
    </w:p>
  </w:footnote>
  <w:footnote w:id="1669">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70">
    <w:p>
      <w:pPr>
        <w:pStyle w:val="Funote"/>
        <w:rPr/>
      </w:pPr>
      <w:r>
        <w:rPr/>
        <w:footnoteRef/>
        <w:tab/>
        <w:t>Diese Generation (dieses Pack) ist in Mk beinahe ein Schimpfwort, vgl. deutlich noch Mk 8,38; 9,19 (dazu auch FN bc); ad loc. z.B. van Iersel 1998, S. 262; allgemein EWNT I, S. 294; TWNT I, S. 661 u.ö. Sehr gut daher B/N: »Dieses Pack«.</w:t>
      </w:r>
    </w:p>
  </w:footnote>
  <w:footnote w:id="1671">
    <w:p>
      <w:pPr>
        <w:pStyle w:val="Funote"/>
        <w:rPr/>
      </w:pPr>
      <w:r>
        <w:rPr>
          <w:i/>
        </w:rPr>
        <w:footnoteRef/>
        <w:tab/>
        <w:t>er ließ sie [stehen]</w:t>
      </w:r>
      <w:r>
        <w:rPr/>
        <w:t xml:space="preserve"> Temporales </w:t>
      </w:r>
      <w:hyperlink r:id="rId300">
        <w:r>
          <w:rPr>
            <w:rStyle w:val="Internetlink"/>
          </w:rPr>
          <w:t>Ptz. conj.</w:t>
        </w:r>
      </w:hyperlink>
      <w:r>
        <w:rPr/>
        <w:t>, beigeordnet aufgelöst.</w:t>
      </w:r>
    </w:p>
  </w:footnote>
  <w:footnote w:id="1672">
    <w:p>
      <w:pPr>
        <w:pStyle w:val="Funote"/>
        <w:rPr/>
      </w:pPr>
      <w:r>
        <w:rPr>
          <w:i/>
        </w:rPr>
        <w:footnoteRef/>
        <w:tab/>
        <w:t>Sie</w:t>
      </w:r>
      <w:r>
        <w:rPr/>
        <w:t xml:space="preserve"> Die meisten Übersetzungen übersetzen sinngemäß „die Jünger“, nicht „sie“, aber es gibt keinen direkten Anhaltspunkt dafür, dass Jesus davon auszunehmen ist.</w:t>
      </w:r>
    </w:p>
  </w:footnote>
  <w:footnote w:id="1673">
    <w:p>
      <w:pPr>
        <w:pStyle w:val="Funote"/>
        <w:rPr/>
      </w:pPr>
      <w:r>
        <w:rPr>
          <w:i/>
        </w:rPr>
        <w:footnoteRef/>
        <w:tab/>
        <w:t>sie hatten vergessen (vergaßen)</w:t>
      </w:r>
      <w:r>
        <w:rPr/>
        <w:t xml:space="preserve"> Der Aorist wird hier wohl mit vorzeitiger Bedeutung benutzt.</w:t>
      </w:r>
    </w:p>
  </w:footnote>
  <w:footnote w:id="1674">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5">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6">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7">
    <w:p>
      <w:pPr>
        <w:pStyle w:val="Funote"/>
        <w:rPr/>
      </w:pPr>
      <w:r>
        <w:rPr>
          <w:i/>
        </w:rPr>
        <w:footnoteRef/>
        <w:tab/>
        <w:t>der (als er, weil er) Bescheid wusste ([das] bemerkte)</w:t>
      </w:r>
      <w:r>
        <w:rPr/>
        <w:t xml:space="preserve"> Modal-temporales </w:t>
      </w:r>
      <w:hyperlink r:id="rId301">
        <w:r>
          <w:rPr>
            <w:rStyle w:val="Internetlink"/>
          </w:rPr>
          <w:t>Ptz. conj.</w:t>
        </w:r>
      </w:hyperlink>
      <w:r>
        <w:rPr/>
        <w:t xml:space="preserve"> (oder </w:t>
      </w:r>
      <w:hyperlink r:id="rId302">
        <w:r>
          <w:rPr>
            <w:rStyle w:val="Internetlink"/>
          </w:rPr>
          <w:t>attr. Ptz.</w:t>
        </w:r>
      </w:hyperlink>
      <w:r>
        <w:rPr/>
        <w:t>), hier als Relativsatz aufgelöst.</w:t>
      </w:r>
    </w:p>
  </w:footnote>
  <w:footnote w:id="1678">
    <w:p>
      <w:pPr>
        <w:pStyle w:val="Funote"/>
        <w:rPr/>
      </w:pPr>
      <w:r>
        <w:rPr>
          <w:i/>
        </w:rPr>
        <w:footnoteRef/>
        <w:tab/>
        <w:t>diskutiert ihr (macht ihr euch Gedanken)</w:t>
      </w:r>
      <w:r>
        <w:rPr/>
        <w:t xml:space="preserve"> Zur Abwägung zwischen den beiden Alternativen s. die Fußnote im vorigen Vers.</w:t>
      </w:r>
    </w:p>
  </w:footnote>
  <w:footnote w:id="1679">
    <w:p>
      <w:pPr>
        <w:pStyle w:val="Funote"/>
        <w:rPr/>
      </w:pPr>
      <w:r>
        <w:rPr>
          <w:i/>
        </w:rPr>
        <w:footnoteRef/>
        <w:tab/>
        <w:t>und … [denn immer] noch nicht</w:t>
      </w:r>
      <w:r>
        <w:rPr/>
        <w:t xml:space="preserve">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80">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1">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2">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3">
    <w:p>
      <w:pPr>
        <w:pStyle w:val="Funote"/>
        <w:rPr/>
      </w:pPr>
      <w:r>
        <w:rPr/>
        <w:footnoteRef/>
        <w:tab/>
        <w:t>Brote … zerbrochen habe »Brote zerbrechen« steht hier als metonymisches Idiom dafür, dass Jesus sie mit Nahrung versorgt hat (vgl. LN 23.20).</w:t>
      </w:r>
    </w:p>
  </w:footnote>
  <w:footnote w:id="1684">
    <w:p>
      <w:pPr>
        <w:pStyle w:val="Funote"/>
        <w:rPr/>
      </w:pPr>
      <w:r>
        <w:rPr>
          <w:i/>
        </w:rPr>
        <w:footnoteRef/>
        <w:tab/>
        <w:t>sagte er (fuhr fort)</w:t>
      </w:r>
      <w:r>
        <w:rPr/>
        <w:t xml:space="preserve"> Das </w:t>
      </w:r>
      <w:hyperlink r:id="rId303">
        <w:r>
          <w:rPr>
            <w:rStyle w:val="Internetlink"/>
          </w:rPr>
          <w:t>Imperfekt</w:t>
        </w:r>
      </w:hyperlink>
      <w:r>
        <w:rPr/>
        <w:t xml:space="preserve"> zeigt hier wohl einfach an, dass Jesus weitersprach oder fortfuhr.</w:t>
      </w:r>
    </w:p>
  </w:footnote>
  <w:footnote w:id="1685">
    <w:p>
      <w:pPr>
        <w:pStyle w:val="Funote"/>
        <w:rPr/>
      </w:pPr>
      <w:r>
        <w:rPr/>
        <w:footnoteRef/>
        <w:tab/>
        <w:t>Als, ({Und} ... {und}) W. „und … und“, hier als temporales Satzgefüge verstanden (vgl. Reiser 1983, 119).</w:t>
      </w:r>
    </w:p>
  </w:footnote>
  <w:footnote w:id="1686">
    <w:p>
      <w:pPr>
        <w:pStyle w:val="Funote"/>
        <w:rPr/>
      </w:pPr>
      <w:r>
        <w:rPr>
          <w:i/>
        </w:rPr>
        <w:footnoteRef/>
        <w:tab/>
        <w:t>er nahm … und</w:t>
      </w:r>
      <w:r>
        <w:rPr/>
        <w:t xml:space="preserve"> </w:t>
      </w:r>
      <w:hyperlink r:id="rId304">
        <w:r>
          <w:rPr>
            <w:rStyle w:val="Internetlink"/>
          </w:rPr>
          <w:t>Ptz. conj.</w:t>
        </w:r>
      </w:hyperlink>
      <w:r>
        <w:rPr/>
        <w:t>, beigeordnet aufgelöst.</w:t>
      </w:r>
    </w:p>
  </w:footnote>
  <w:footnote w:id="1687">
    <w:p>
      <w:pPr>
        <w:pStyle w:val="Funote"/>
        <w:rPr/>
      </w:pPr>
      <w:r>
        <w:rPr>
          <w:i/>
        </w:rPr>
        <w:footnoteRef/>
        <w:tab/>
        <w:t>gespuckt</w:t>
      </w:r>
      <w:r>
        <w:rPr/>
        <w:t xml:space="preserve"> Zur Funktion von Spucke in Wunderheilungen vgl. </w:t>
      </w:r>
      <w:r>
        <w:fldChar w:fldCharType="begin"/>
      </w:r>
      <w:r>
        <w:instrText> HYPERLINK "http://www.offene-bibel.de/wiki/index.php5?title=Markus_7" \l "note_bf"</w:instrText>
      </w:r>
      <w:r>
        <w:fldChar w:fldCharType="separate"/>
      </w:r>
      <w:r>
        <w:rPr>
          <w:rStyle w:val="Internetlink"/>
        </w:rPr>
        <w:t>FN bf</w:t>
      </w:r>
      <w:r>
        <w:fldChar w:fldCharType="end"/>
      </w:r>
      <w:r>
        <w:rPr/>
        <w:t xml:space="preserve"> zu </w:t>
      </w:r>
      <w:r>
        <w:fldChar w:fldCharType="begin"/>
      </w:r>
      <w:r>
        <w:instrText> HYPERLINK "file:///wiki/Markus_7" \l "s33"</w:instrText>
      </w:r>
      <w:r>
        <w:fldChar w:fldCharType="separate"/>
      </w:r>
      <w:r>
        <w:rPr>
          <w:rStyle w:val="Internetlink"/>
        </w:rPr>
        <w:t>Mk 7,33</w:t>
      </w:r>
      <w:r>
        <w:fldChar w:fldCharType="end"/>
      </w:r>
      <w:r>
        <w:rPr/>
        <w:t xml:space="preserve">. Ähnlich wie dort wird auch hier der Brauch des Ausspeiens durch das Motiv des Auflegens der Hände erweitert, das eine für Jesus typische „Medikation“ bei Wunderheilungen gewesen zu sein scheint (s. noch </w:t>
      </w:r>
      <w:r>
        <w:fldChar w:fldCharType="begin"/>
      </w:r>
      <w:r>
        <w:instrText> HYPERLINK "file:///wiki/Markus_1" \l "s41"</w:instrText>
      </w:r>
      <w:r>
        <w:fldChar w:fldCharType="separate"/>
      </w:r>
      <w:r>
        <w:rPr>
          <w:rStyle w:val="Internetlink"/>
        </w:rPr>
        <w:t>Mk 1,41</w:t>
      </w:r>
      <w:r>
        <w:fldChar w:fldCharType="end"/>
      </w:r>
      <w:r>
        <w:rPr/>
        <w:t xml:space="preserve">; </w:t>
      </w:r>
      <w:r>
        <w:fldChar w:fldCharType="begin"/>
      </w:r>
      <w:r>
        <w:instrText> HYPERLINK "file:///wiki/Markus_5" \l "s23"</w:instrText>
      </w:r>
      <w:r>
        <w:fldChar w:fldCharType="separate"/>
      </w:r>
      <w:r>
        <w:rPr>
          <w:rStyle w:val="Internetlink"/>
        </w:rPr>
        <w:t>5,23</w:t>
      </w:r>
      <w:r>
        <w:fldChar w:fldCharType="end"/>
      </w:r>
      <w:r>
        <w:rPr/>
        <w:t>).</w:t>
      </w:r>
    </w:p>
  </w:footnote>
  <w:footnote w:id="1688">
    <w:p>
      <w:pPr>
        <w:pStyle w:val="Funote"/>
        <w:rPr/>
      </w:pPr>
      <w:r>
        <w:rPr>
          <w:i/>
        </w:rPr>
        <w:footnoteRef/>
        <w:tab/>
        <w:t>nachdem er … gespuckt und … aufgelegt hatte</w:t>
      </w:r>
      <w:r>
        <w:rPr/>
        <w:t xml:space="preserve"> Temp. </w:t>
      </w:r>
      <w:hyperlink r:id="rId305">
        <w:r>
          <w:rPr>
            <w:rStyle w:val="Internetlink"/>
          </w:rPr>
          <w:t>Ptz. conj.</w:t>
        </w:r>
      </w:hyperlink>
      <w:r>
        <w:rPr/>
        <w:t xml:space="preserve"> (2x), als Nebensatz aufgelöst.</w:t>
      </w:r>
    </w:p>
  </w:footnote>
  <w:footnote w:id="1689">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90">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1">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2">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3">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4">
    <w:p>
      <w:pPr>
        <w:pStyle w:val="Funote"/>
        <w:rPr/>
      </w:pPr>
      <w:r>
        <w:rPr>
          <w:i/>
        </w:rPr>
        <w:footnoteRef/>
        <w:tab/>
        <w:t>wobei er ihm auftrug (sagte)</w:t>
      </w:r>
      <w:r>
        <w:rPr/>
        <w:t xml:space="preserve"> Modales </w:t>
      </w:r>
      <w:hyperlink r:id="rId306">
        <w:r>
          <w:rPr>
            <w:rStyle w:val="Internetlink"/>
          </w:rPr>
          <w:t>Ptz. conj.</w:t>
        </w:r>
      </w:hyperlink>
      <w:r>
        <w:rPr/>
        <w:t>, als Nebensatz aufgelöst. Eine andere Möglichkeit wäre „mit den (folgenden) Worten“.</w:t>
      </w:r>
    </w:p>
  </w:footnote>
  <w:footnote w:id="1695">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6">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7">
    <w:p>
      <w:pPr>
        <w:pStyle w:val="Funote"/>
        <w:rPr/>
      </w:pPr>
      <w:r>
        <w:rPr>
          <w:i/>
        </w:rPr>
        <w:footnoteRef/>
        <w:tab/>
        <w:t>{und sagte}</w:t>
      </w:r>
      <w:r>
        <w:rPr/>
        <w:t xml:space="preserve"> </w:t>
      </w:r>
      <w:hyperlink r:id="rId307">
        <w:r>
          <w:rPr>
            <w:rStyle w:val="Internetlink"/>
          </w:rPr>
          <w:t>Pleonastisches Partizip</w:t>
        </w:r>
      </w:hyperlink>
      <w:r>
        <w:rPr/>
        <w:t>.</w:t>
      </w:r>
    </w:p>
  </w:footnote>
  <w:footnote w:id="1698">
    <w:p>
      <w:pPr>
        <w:pStyle w:val="Funote"/>
        <w:rPr/>
      </w:pPr>
      <w:r>
        <w:rPr/>
        <w:footnoteRef/>
        <w:tab/>
        <w:t>„</w:t>
      </w:r>
      <w:r>
        <w:rPr>
          <w:i/>
        </w:rPr>
        <w:t>Für wen halten mich die Leute?“</w:t>
      </w:r>
      <w:r>
        <w:rPr/>
        <w:t xml:space="preserve"> Oder „Was sagen die Leute (Menschen), wer ich bin?“ W. etwa „Wen sagen/halten die Leute mich zu sein?“ (</w:t>
      </w:r>
      <w:hyperlink r:id="rId308">
        <w:r>
          <w:rPr>
            <w:rStyle w:val="Internetlink"/>
          </w:rPr>
          <w:t>AcI</w:t>
        </w:r>
      </w:hyperlink>
      <w:r>
        <w:rPr/>
        <w:t>)</w:t>
      </w:r>
    </w:p>
  </w:footnote>
  <w:footnote w:id="1699">
    <w:p>
      <w:pPr>
        <w:pStyle w:val="Funote"/>
        <w:rPr/>
      </w:pPr>
      <w:r>
        <w:rPr>
          <w:i/>
        </w:rPr>
        <w:footnoteRef/>
        <w:tab/>
        <w:t>{sagend}</w:t>
      </w:r>
      <w:r>
        <w:rPr/>
        <w:t xml:space="preserve"> </w:t>
      </w:r>
      <w:hyperlink r:id="rId309">
        <w:r>
          <w:rPr>
            <w:rStyle w:val="Internetlink"/>
          </w:rPr>
          <w:t>Pleonastisches Partizip</w:t>
        </w:r>
      </w:hyperlink>
      <w:r>
        <w:rPr/>
        <w:t>.</w:t>
      </w:r>
    </w:p>
  </w:footnote>
  <w:footnote w:id="1700">
    <w:p>
      <w:pPr>
        <w:pStyle w:val="Funote"/>
        <w:rPr/>
      </w:pPr>
      <w:r>
        <w:rPr>
          <w:i/>
        </w:rPr>
        <w:footnoteRef/>
        <w:tab/>
        <w:t>Für wen haltet ihr mich?</w:t>
      </w:r>
      <w:r>
        <w:rPr/>
        <w:t xml:space="preserve"> W. etwa „Ihr aber, wen sagt/haltet ihr mich zu sein?“ (</w:t>
      </w:r>
      <w:hyperlink r:id="rId310">
        <w:r>
          <w:rPr>
            <w:rStyle w:val="Internetlink"/>
          </w:rPr>
          <w:t>AcI</w:t>
        </w:r>
      </w:hyperlink>
      <w:r>
        <w:rPr/>
        <w:t>. Vgl. die Frage in V. 27)</w:t>
      </w:r>
    </w:p>
  </w:footnote>
  <w:footnote w:id="1701">
    <w:p>
      <w:pPr>
        <w:pStyle w:val="Funote"/>
        <w:rPr/>
      </w:pPr>
      <w:r>
        <w:rPr>
          <w:i/>
        </w:rPr>
        <w:footnoteRef/>
        <w:tab/>
        <w:t>{antwortend}</w:t>
      </w:r>
      <w:r>
        <w:rPr/>
        <w:t xml:space="preserve"> </w:t>
      </w:r>
      <w:hyperlink r:id="rId311">
        <w:r>
          <w:rPr>
            <w:rStyle w:val="Internetlink"/>
          </w:rPr>
          <w:t>Pleonastisches Partizip</w:t>
        </w:r>
      </w:hyperlink>
      <w:r>
        <w:rPr/>
        <w:t>; übersetze schlicht: „Petrus antwortete:...“</w:t>
      </w:r>
    </w:p>
  </w:footnote>
  <w:footnote w:id="1702">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3">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5">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6">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7">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8">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9">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10">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1">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2">
    <w:p>
      <w:pPr>
        <w:pStyle w:val="Funote"/>
        <w:rPr/>
      </w:pPr>
      <w:r>
        <w:rPr>
          <w:i/>
        </w:rPr>
        <w:footnoteRef/>
        <w:tab/>
        <w:t>rief zu sich … und</w:t>
      </w:r>
      <w:r>
        <w:rPr/>
        <w:t xml:space="preserve"> Temporales </w:t>
      </w:r>
      <w:hyperlink r:id="rId312">
        <w:r>
          <w:rPr>
            <w:rStyle w:val="Internetlink"/>
          </w:rPr>
          <w:t>Ptz. conj.</w:t>
        </w:r>
      </w:hyperlink>
      <w:r>
        <w:rPr/>
        <w:t>, beigeordnet aufgelöst.</w:t>
      </w:r>
    </w:p>
  </w:footnote>
  <w:footnote w:id="1713">
    <w:p>
      <w:pPr>
        <w:pStyle w:val="Funote"/>
        <w:rPr/>
      </w:pPr>
      <w:r>
        <w:rPr/>
        <w:footnoteRef/>
        <w:tab/>
        <w:t>mir nachfolgen W. »hinter mir gehen« (vgl. Mk 1,17; 2,14). Manche Übersetzungen: »Wer mein Jünger sein will...« (EÜ, NGÜ) Genau das hat Jesus hier im Blick (France 2002, 339; Pryke 1978, S. 41).</w:t>
      </w:r>
    </w:p>
  </w:footnote>
  <w:footnote w:id="1714">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5">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6">
    <w:p>
      <w:pPr>
        <w:pStyle w:val="Funote"/>
        <w:rPr/>
      </w:pPr>
      <w:r>
        <w:rPr/>
        <w:footnoteRef/>
        <w:tab/>
        <w:t>die gesamte Welt zu gewinnen Das heißt im übertragenen Sinn, (im diesseitigen Leben) den größtmöglichen Erfolg zu erzielen (France 2002, 341).</w:t>
      </w:r>
    </w:p>
  </w:footnote>
  <w:footnote w:id="1717">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8">
    <w:p>
      <w:pPr>
        <w:pStyle w:val="Funote"/>
        <w:rPr/>
      </w:pPr>
      <w:r>
        <w:rPr>
          <w:i/>
        </w:rPr>
        <w:footnoteRef/>
        <w:tab/>
        <w:t>Generation (Pack)</w:t>
      </w:r>
      <w:r>
        <w:rPr/>
        <w:t xml:space="preserve"> - zu diesem Ausdruck s. </w:t>
      </w:r>
      <w:r>
        <w:fldChar w:fldCharType="begin"/>
      </w:r>
      <w:r>
        <w:instrText> HYPERLINK "http://www.offene-bibel.de/wiki/index.php5?title=Markus_8" \l "note_o"</w:instrText>
      </w:r>
      <w:r>
        <w:fldChar w:fldCharType="separate"/>
      </w:r>
      <w:r>
        <w:rPr>
          <w:rStyle w:val="Internetlink"/>
        </w:rPr>
        <w:t>FN o</w:t>
      </w:r>
      <w:r>
        <w:fldChar w:fldCharType="end"/>
      </w:r>
      <w:r>
        <w:rPr/>
        <w:t xml:space="preserve"> zu </w:t>
      </w:r>
      <w:r>
        <w:fldChar w:fldCharType="begin"/>
      </w:r>
      <w:r>
        <w:instrText> HYPERLINK "file:///wiki/Markus_8" \l "s12"</w:instrText>
      </w:r>
      <w:r>
        <w:fldChar w:fldCharType="separate"/>
      </w:r>
      <w:r>
        <w:rPr>
          <w:rStyle w:val="Internetlink"/>
        </w:rPr>
        <w:t>V. 12</w:t>
      </w:r>
      <w:r>
        <w:fldChar w:fldCharType="end"/>
      </w:r>
      <w:r>
        <w:rPr/>
        <w:t>.</w:t>
      </w:r>
    </w:p>
  </w:footnote>
  <w:footnote w:id="1719">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20">
    <w:p>
      <w:pPr>
        <w:pStyle w:val="Funote"/>
        <w:rPr/>
      </w:pPr>
      <w:r>
        <w:rPr/>
        <w:footnoteRef/>
        <w:tab/>
        <w:t>[Status: Zuverlässig]</w:t>
      </w:r>
    </w:p>
  </w:footnote>
  <w:footnote w:id="1721">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2">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3">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4">
    <w:p>
      <w:pPr>
        <w:pStyle w:val="Funote"/>
        <w:rPr/>
      </w:pPr>
      <w:r>
        <w:rPr/>
        <w:footnoteRef/>
        <w:tab/>
        <w:t xml:space="preserve">zu </w:t>
      </w:r>
      <w:r>
        <w:rPr>
          <w:i/>
        </w:rPr>
        <w:t>Reich Gottes</w:t>
      </w:r>
      <w:r>
        <w:rPr/>
        <w:t xml:space="preserve"> vgl. Terminologie/</w:t>
      </w:r>
      <w:hyperlink r:id="rId313">
        <w:r>
          <w:rPr>
            <w:rStyle w:val="Internetlink"/>
          </w:rPr>
          <w:t>Reich Gottes</w:t>
        </w:r>
      </w:hyperlink>
      <w:r>
        <w:rPr/>
        <w:t>.</w:t>
      </w:r>
    </w:p>
  </w:footnote>
  <w:footnote w:id="1725">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6">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7">
    <w:p>
      <w:pPr>
        <w:pStyle w:val="Funote"/>
        <w:rPr/>
      </w:pPr>
      <w:r>
        <w:rPr/>
        <w:footnoteRef/>
        <w:tab/>
        <w:t>s. letzte FN</w:t>
      </w:r>
    </w:p>
  </w:footnote>
  <w:footnote w:id="1728">
    <w:p>
      <w:pPr>
        <w:pStyle w:val="Funote"/>
        <w:rPr/>
      </w:pPr>
      <w:r>
        <w:rPr>
          <w:i/>
        </w:rPr>
        <w:footnoteRef/>
        <w:tab/>
        <w:t>vor ihnen</w:t>
      </w:r>
      <w:r>
        <w:rPr/>
        <w:t xml:space="preserve"> - viele Üss. stilistisch gut: „vor ihren Augen“, aber Mk verwendet wohl bewusst „ihnen“: Die Geschehnisse der Perikope Mk 9,2-8 sind kein Selbstzweck, sondern </w:t>
      </w:r>
      <w:r>
        <w:rPr>
          <w:i/>
        </w:rPr>
        <w:t>für die Jünger bestimmt</w:t>
      </w:r>
      <w:r>
        <w:rPr/>
        <w:t xml:space="preserve">: </w:t>
      </w:r>
      <w:r>
        <w:rPr>
          <w:i/>
        </w:rPr>
        <w:t>Vor ihnen</w:t>
      </w:r>
      <w:r>
        <w:rPr/>
        <w:t xml:space="preserve"> wird Jesus verwandelt; </w:t>
      </w:r>
      <w:r>
        <w:rPr>
          <w:i/>
        </w:rPr>
        <w:t>ihnen</w:t>
      </w:r>
      <w:r>
        <w:rPr/>
        <w:t xml:space="preserve"> erscheinen Elija mit Mose, und </w:t>
      </w:r>
      <w:r>
        <w:rPr>
          <w:i/>
        </w:rPr>
        <w:t>ihnen</w:t>
      </w:r>
      <w:r>
        <w:rPr/>
        <w:t xml:space="preserve"> („aus der Wolke“) deutet die „Stimme“ aus, was sie da eben gesehen haben.</w:t>
      </w:r>
    </w:p>
  </w:footnote>
  <w:footnote w:id="1729">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30">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1">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2">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3">
    <w:p>
      <w:pPr>
        <w:pStyle w:val="Funote"/>
        <w:rPr/>
      </w:pPr>
      <w:r>
        <w:rPr/>
        <w:footnoteRef/>
        <w:tab/>
        <w:t>auf der [ganzen] Erde - eigentlich unnötig; natürlich geht es um irdische Walker. Der Sinn ist emphatisch (Cranfield 1959, S. 290), daher [ganzen].</w:t>
      </w:r>
    </w:p>
  </w:footnote>
  <w:footnote w:id="1734">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5">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6">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7">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8">
    <w:p>
      <w:pPr>
        <w:pStyle w:val="Funote"/>
        <w:rPr/>
      </w:pPr>
      <w:r>
        <w:rPr/>
        <w:footnoteRef/>
        <w:tab/>
        <w:t xml:space="preserve">Und lass uns (so lass uns denn) - konsekutives </w:t>
      </w:r>
      <w:r>
        <w:rPr>
          <w:lang w:val="el-GR"/>
        </w:rPr>
        <w:t>καὶ</w:t>
      </w:r>
      <w:r>
        <w:rPr/>
        <w:t>; »So lass uns denn...« gut nach Reiser 1983, S. 117.</w:t>
      </w:r>
    </w:p>
  </w:footnote>
  <w:footnote w:id="1739">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40">
    <w:p>
      <w:pPr>
        <w:pStyle w:val="Funote"/>
        <w:rPr/>
      </w:pPr>
      <w:r>
        <w:rPr>
          <w:i/>
        </w:rPr>
        <w:footnoteRef/>
        <w:tab/>
        <w:t>hüllte ein (verbarg, überschattete)</w:t>
      </w:r>
      <w:r>
        <w:rPr/>
        <w:t xml:space="preserve"> - s. nächste Fußnote</w:t>
      </w:r>
    </w:p>
  </w:footnote>
  <w:footnote w:id="1741">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2">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3">
    <w:p>
      <w:pPr>
        <w:pStyle w:val="Funote"/>
        <w:rPr/>
      </w:pPr>
      <w:r>
        <w:rPr/>
        <w:footnoteRef/>
        <w:tab/>
        <w:t>[darum] - »[darum]« gut nach Reiser 1983, S. 145.</w:t>
      </w:r>
    </w:p>
  </w:footnote>
  <w:footnote w:id="1744">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5">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6">
    <w:p>
      <w:pPr>
        <w:pStyle w:val="Funote"/>
        <w:rPr/>
      </w:pPr>
      <w:r>
        <w:rPr/>
        <w:footnoteRef/>
        <w:tab/>
        <w:t xml:space="preserve">V. 9: </w:t>
      </w:r>
      <w:r>
        <w:rPr>
          <w:i/>
        </w:rPr>
        <w:t>vom (aus dem)</w:t>
      </w:r>
      <w:r>
        <w:rPr/>
        <w:t xml:space="preserve"> - </w:t>
      </w:r>
      <w:r>
        <w:rPr>
          <w:lang w:val="el-GR"/>
        </w:rPr>
        <w:t>ἐκ</w:t>
      </w:r>
      <w:r>
        <w:rPr/>
        <w:t xml:space="preserve"> verwendet wie </w:t>
      </w:r>
      <w:r>
        <w:rPr>
          <w:lang w:val="el-GR"/>
        </w:rPr>
        <w:t>ἀπό</w:t>
      </w:r>
      <w:r>
        <w:rPr/>
        <w:t>; vielleicht Semitismus - s. Turner 1929a, S. 282f. Daher auch Textvarianten.</w:t>
      </w:r>
    </w:p>
  </w:footnote>
  <w:footnote w:id="1747">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8">
    <w:p>
      <w:pPr>
        <w:pStyle w:val="Funote"/>
        <w:rPr/>
      </w:pPr>
      <w:r>
        <w:rPr/>
        <w:footnoteRef/>
        <w:tab/>
        <w:t>erst (außer) - Exzeptivsatz temporal verwendet, wohl Semitismus; vgl. Beyer 1968, S. 132-34; Marcus 2009</w:t>
      </w:r>
    </w:p>
  </w:footnote>
  <w:footnote w:id="1749">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50">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1">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2">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3">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4">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5">
    <w:p>
      <w:pPr>
        <w:pStyle w:val="Funote"/>
        <w:rPr/>
      </w:pPr>
      <w:r>
        <w:rPr>
          <w:i/>
        </w:rPr>
        <w:footnoteRef/>
        <w:tab/>
        <w:t>kommt</w:t>
      </w:r>
      <w:r>
        <w:rPr/>
        <w:t xml:space="preserve"> + </w:t>
      </w:r>
      <w:r>
        <w:rPr>
          <w:i/>
        </w:rPr>
        <w:t>stellt wieder her</w:t>
      </w:r>
      <w:r>
        <w:rPr/>
        <w:t xml:space="preserve"> - Wenn wir Vv. 12f richtig gedeutet haben (vgl. </w:t>
      </w:r>
      <w:r>
        <w:fldChar w:fldCharType="begin"/>
      </w:r>
      <w:r>
        <w:instrText> HYPERLINK "http://www.offene-bibel.de/wiki/index.php5?title=Markus_9" \l "note_ai"</w:instrText>
      </w:r>
      <w:r>
        <w:fldChar w:fldCharType="separate"/>
      </w:r>
      <w:r>
        <w:rPr>
          <w:rStyle w:val="Internetlink"/>
        </w:rPr>
        <w:t>FN ai</w:t>
      </w:r>
      <w:r>
        <w:fldChar w:fldCharType="end"/>
      </w:r>
      <w:r>
        <w:rPr/>
        <w:t xml:space="preserve">, </w:t>
      </w:r>
      <w:r>
        <w:fldChar w:fldCharType="begin"/>
      </w:r>
      <w:r>
        <w:instrText> HYPERLINK "http://www.offene-bibel.de/wiki/index.php5?title=Markus_9" \l "note_al"</w:instrText>
      </w:r>
      <w:r>
        <w:fldChar w:fldCharType="separate"/>
      </w:r>
      <w:r>
        <w:rPr>
          <w:rStyle w:val="Internetlink"/>
        </w:rPr>
        <w:t>FN al</w:t>
      </w:r>
      <w:r>
        <w:fldChar w:fldCharType="end"/>
      </w:r>
      <w:r>
        <w:rPr/>
        <w:t xml:space="preserve">), werden die Verbformen in V. 12 klug verwendet: </w:t>
      </w:r>
      <w:r>
        <w:rPr>
          <w:lang w:val="el-GR"/>
        </w:rPr>
        <w:t>ἐλθὼν</w:t>
      </w:r>
      <w:r>
        <w:rPr/>
        <w:t xml:space="preserve"> </w:t>
      </w:r>
      <w:r>
        <w:rPr>
          <w:i/>
        </w:rPr>
        <w:t>kommt</w:t>
      </w:r>
      <w:r>
        <w:rPr/>
        <w:t xml:space="preserve"> ist Partizip Aorist, </w:t>
      </w:r>
      <w:r>
        <w:rPr>
          <w:lang w:val="el-GR"/>
        </w:rPr>
        <w:t>ἀποκαθιστάνει</w:t>
      </w:r>
      <w:r>
        <w:rPr/>
        <w:t xml:space="preserve"> </w:t>
      </w:r>
      <w:r>
        <w:rPr>
          <w:i/>
        </w:rPr>
        <w:t>stellt wieder her</w:t>
      </w:r>
      <w:r>
        <w:rPr/>
        <w:t xml:space="preserve"> ist Indikativ Präsens. Partizip Aorist hat meist </w:t>
      </w:r>
      <w:r>
        <w:rPr>
          <w:i/>
        </w:rPr>
        <w:t>vorzeitige</w:t>
      </w:r>
      <w:r>
        <w:rPr/>
        <w:t xml:space="preserve"> Bedeutung und wird so zeitlich relativ </w:t>
      </w:r>
      <w:r>
        <w:rPr>
          <w:i/>
        </w:rPr>
        <w:t>vor</w:t>
      </w:r>
      <w:r>
        <w:rPr/>
        <w:t xml:space="preserve"> das Indikativ Präsens </w:t>
      </w:r>
      <w:r>
        <w:rPr>
          <w:i/>
        </w:rPr>
        <w:t>er stellt wieder her</w:t>
      </w:r>
      <w:r>
        <w:rPr/>
        <w:t xml:space="preserve"> eingeordnet. Und Indikativ Präsens kann (1) </w:t>
      </w:r>
      <w:r>
        <w:rPr>
          <w:i/>
        </w:rPr>
        <w:t>gnomische</w:t>
      </w:r>
      <w:r>
        <w:rPr/>
        <w:t xml:space="preserve"> Bedeutung haben; Jesus würde dann etwas über die überzeitliche Wahrheit dessen, was geschrieben steht, aussagen, ohne auf den exakten Zeitpunkt zu achten(„In der Tat: Das mit dem zuerst-Kommen und dem folgenden alles-Wiederherstellen Elija's stimmt“), es kann aber (2) auch </w:t>
      </w:r>
      <w:r>
        <w:rPr>
          <w:i/>
        </w:rPr>
        <w:t>effektive</w:t>
      </w:r>
      <w:r>
        <w:rPr/>
        <w:t xml:space="preserve"> Bedeutung haben und so aussagen, dass es bereits geschehen ist und nun die Effekte dieses eingetreten-Seins in Kraft sind, also „er ist gekommen, </w:t>
      </w:r>
      <w:r>
        <w:rPr>
          <w:i/>
        </w:rPr>
        <w:t>hat</w:t>
      </w:r>
      <w:r>
        <w:rPr/>
        <w:t xml:space="preserve"> alles wiederhergestellt und nun </w:t>
      </w:r>
      <w:r>
        <w:rPr>
          <w:i/>
        </w:rPr>
        <w:t>ist</w:t>
      </w:r>
      <w:r>
        <w:rPr/>
        <w:t xml:space="preserve"> alles wiederhergestellt.“ In V. 12 sind - wieder: wenn wir Vv. 12f richtig gedeutet haben - beide Bedeutungen aktiv: (1) macht V. 12 zu einer sinnvollen Antwort auf die Anfrage der Jünger in V. 11, (2) deckt sich mit der folgenden Richtigstellung in V. 13.</w:t>
      </w:r>
    </w:p>
  </w:footnote>
  <w:footnote w:id="1756">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7">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8">
    <w:p>
      <w:pPr>
        <w:pStyle w:val="Funote"/>
        <w:rPr/>
      </w:pPr>
      <w:r>
        <w:rPr>
          <w:i/>
        </w:rPr>
        <w:footnoteRef/>
        <w:tab/>
        <w:t>auch (sogar)</w:t>
      </w:r>
      <w:r>
        <w:rPr/>
        <w:t xml:space="preserve"> - s. </w:t>
      </w:r>
      <w:r>
        <w:fldChar w:fldCharType="begin"/>
      </w:r>
      <w:r>
        <w:instrText> HYPERLINK "http://www.offene-bibel.de/wiki/index.php5?title=Markus_9" \l "note_an"</w:instrText>
      </w:r>
      <w:r>
        <w:fldChar w:fldCharType="separate"/>
      </w:r>
      <w:r>
        <w:rPr>
          <w:rStyle w:val="Internetlink"/>
        </w:rPr>
        <w:t>FN an</w:t>
      </w:r>
      <w:r>
        <w:fldChar w:fldCharType="end"/>
      </w:r>
    </w:p>
  </w:footnote>
  <w:footnote w:id="1759">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60">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1">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3">
    <w:p>
      <w:pPr>
        <w:pStyle w:val="Funote"/>
        <w:rPr/>
      </w:pPr>
      <w:r>
        <w:rPr>
          <w:i/>
        </w:rPr>
        <w:footnoteRef/>
        <w:tab/>
        <w:t>aus (aus heraus)</w:t>
      </w:r>
      <w:r>
        <w:rPr/>
        <w:t xml:space="preserve"> - vgl. </w:t>
      </w:r>
      <w:r>
        <w:fldChar w:fldCharType="begin"/>
      </w:r>
      <w:r>
        <w:instrText> HYPERLINK "http://www.offene-bibel.de/wiki/index.php5?title=Markus_9" \l "note_ac"</w:instrText>
      </w:r>
      <w:r>
        <w:fldChar w:fldCharType="separate"/>
      </w:r>
      <w:r>
        <w:rPr>
          <w:rStyle w:val="Internetlink"/>
        </w:rPr>
        <w:t>FN ac</w:t>
      </w:r>
      <w:r>
        <w:fldChar w:fldCharType="end"/>
      </w:r>
      <w:r>
        <w:rPr/>
        <w:t xml:space="preserve">: </w:t>
      </w:r>
      <w:r>
        <w:rPr>
          <w:lang w:val="el-GR"/>
        </w:rPr>
        <w:t>ἐκ</w:t>
      </w:r>
      <w:r>
        <w:rPr/>
        <w:t xml:space="preserve"> verwendet wie </w:t>
      </w:r>
      <w:r>
        <w:rPr>
          <w:lang w:val="el-GR"/>
        </w:rPr>
        <w:t>ἀπό</w:t>
      </w:r>
      <w:r>
        <w:rPr/>
        <w:t>; vielleicht Semitismus - s. Turner 1929a, S. 282f.</w:t>
      </w:r>
    </w:p>
  </w:footnote>
  <w:footnote w:id="1764">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5">
    <w:p>
      <w:pPr>
        <w:pStyle w:val="Funote"/>
        <w:rPr/>
      </w:pPr>
      <w:r>
        <w:rPr>
          <w:i/>
        </w:rPr>
        <w:footnoteRef/>
        <w:tab/>
        <w:t>weil</w:t>
      </w:r>
      <w:r>
        <w:rPr/>
        <w:t xml:space="preserve"> - </w:t>
      </w:r>
      <w:r>
        <w:fldChar w:fldCharType="begin"/>
      </w:r>
      <w:r>
        <w:instrText> HYPERLINK "http://www.offene-bibel.de/wiki/index.php5?title=Partizip" \l "Die_Sinnrichtungen"</w:instrText>
      </w:r>
      <w:r>
        <w:fldChar w:fldCharType="separate"/>
      </w:r>
      <w:r>
        <w:rPr>
          <w:rStyle w:val="Internetlink"/>
        </w:rPr>
        <w:t>adv. Ptc.</w:t>
      </w:r>
      <w:r>
        <w:fldChar w:fldCharType="end"/>
      </w:r>
      <w:r>
        <w:rPr/>
        <w:t>, kausal aufgelöst.</w:t>
      </w:r>
    </w:p>
  </w:footnote>
  <w:footnote w:id="1766">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7">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8">
    <w:p>
      <w:pPr>
        <w:pStyle w:val="Funote"/>
        <w:rPr/>
      </w:pPr>
      <w:r>
        <w:rPr>
          <w:i/>
        </w:rPr>
        <w:footnoteRef/>
        <w:tab/>
        <w:t>anfällt (packt)</w:t>
      </w:r>
      <w:r>
        <w:rPr/>
        <w:t xml:space="preserve"> - meist „packt“. </w:t>
      </w:r>
      <w:r>
        <w:rPr>
          <w:lang w:val="el-GR"/>
        </w:rPr>
        <w:t>καταλαμβάνω</w:t>
      </w:r>
      <w:r>
        <w:rPr/>
        <w:t xml:space="preserve"> kommt von der selben Wurzel wie </w:t>
      </w:r>
      <w:r>
        <w:rPr>
          <w:lang w:val="el-GR"/>
        </w:rPr>
        <w:t>ἐπιλαμβάνομαι</w:t>
      </w:r>
      <w:r>
        <w:rPr/>
        <w:t xml:space="preserve">, das gleichzeitig </w:t>
      </w:r>
      <w:r>
        <w:rPr>
          <w:i/>
        </w:rPr>
        <w:t>terminus technicus</w:t>
      </w:r>
      <w:r>
        <w:rPr/>
        <w:t xml:space="preserve"> für Besessenheit und für den epileptischen Anfall ist (und sogar das Etymon des deutschen „Epilepsie“ ist). In „anfallen“ kommt dieser Zhg. auch im Deutschen zum Ausdruck.</w:t>
      </w:r>
    </w:p>
  </w:footnote>
  <w:footnote w:id="1769">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70">
    <w:p>
      <w:pPr>
        <w:pStyle w:val="Funote"/>
        <w:rPr/>
      </w:pPr>
      <w:r>
        <w:rPr>
          <w:i/>
        </w:rPr>
        <w:footnoteRef/>
        <w:tab/>
        <w:t>er hat Schaum vor dem Mund (er schäumt)</w:t>
      </w:r>
      <w:r>
        <w:rPr/>
        <w:t xml:space="preserve"> + </w:t>
      </w:r>
      <w:r>
        <w:rPr>
          <w:i/>
        </w:rPr>
        <w:t>er knirscht mit den Zähnen</w:t>
      </w:r>
      <w:r>
        <w:rPr/>
        <w:t xml:space="preserve"> + </w:t>
      </w:r>
      <w:r>
        <w:rPr>
          <w:i/>
        </w:rPr>
        <w:t>er wird [ganz] starr</w:t>
      </w:r>
      <w:r>
        <w:rPr/>
        <w:t xml:space="preserve">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w:t>
      </w:r>
      <w:r>
        <w:rPr>
          <w:i/>
        </w:rPr>
        <w:t>Starr werden</w:t>
      </w:r>
      <w:r>
        <w:rPr/>
        <w:t xml:space="preserve"> gut nach Louw/Nida 23.172.; gemeint ist der Ganzkörperkrampf. Treffender: „Er hat Schaum vor dem Mund, sein Gesicht verzerrt sich und er krampft am ganzen Körper“.</w:t>
      </w:r>
    </w:p>
  </w:footnote>
  <w:footnote w:id="1771">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2">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3">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4">
    <w:p>
      <w:pPr>
        <w:pStyle w:val="Funote"/>
        <w:rPr/>
      </w:pPr>
      <w:r>
        <w:rPr>
          <w:i/>
        </w:rPr>
        <w:footnoteRef/>
        <w:tab/>
        <w:t>werde (muss)</w:t>
      </w:r>
      <w:r>
        <w:rPr/>
        <w:t xml:space="preserve"> - sicher modales Futur</w:t>
      </w:r>
    </w:p>
  </w:footnote>
  <w:footnote w:id="1775">
    <w:p>
      <w:pPr>
        <w:pStyle w:val="Funote"/>
        <w:rPr/>
      </w:pPr>
      <w:r>
        <w:rPr>
          <w:i/>
        </w:rPr>
        <w:footnoteRef/>
        <w:tab/>
        <w:t>Und als der Geist ihn sah, sofort (Kaum hatte der Geist in gesehen - da)</w:t>
      </w:r>
      <w:r>
        <w:rPr/>
        <w:t xml:space="preserve"> - Das Adverb </w:t>
      </w:r>
      <w:r>
        <w:rPr>
          <w:lang w:val="el-GR"/>
        </w:rPr>
        <w:t>εὐθύς</w:t>
      </w:r>
      <w:r>
        <w:rPr/>
        <w:t xml:space="preserve"> </w:t>
      </w:r>
      <w:r>
        <w:rPr>
          <w:i/>
        </w:rPr>
        <w:t>sofort</w:t>
      </w:r>
      <w:r>
        <w:rPr/>
        <w:t xml:space="preserve"> in „zerrte er ihn sofort in Krämpfen hin und her“ hat im Griechischen die Funktion, Spannung zu erzeugen (vgl. Pryke 1987, S. 87). Daher treffender die in der Klammer angegebene Übersetzung.</w:t>
      </w:r>
    </w:p>
  </w:footnote>
  <w:footnote w:id="1776">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7">
    <w:p>
      <w:pPr>
        <w:pStyle w:val="Funote"/>
        <w:rPr/>
      </w:pPr>
      <w:r>
        <w:rPr>
          <w:i/>
        </w:rPr>
        <w:footnoteRef/>
        <w:tab/>
        <w:t>und auf die Erde gefallen wälzte er sich schäumend (so dass der Knabe sich mit Schaum vor dem Mund auf der Erde wälzte)</w:t>
      </w:r>
      <w:r>
        <w:rPr/>
        <w:t xml:space="preserve"> - Der Satz drückt die Folgen der heftigen Konvulsionen aus; besser daher konsekutives </w:t>
      </w:r>
      <w:r>
        <w:rPr>
          <w:lang w:val="el-GR"/>
        </w:rPr>
        <w:t>καί</w:t>
      </w:r>
      <w:r>
        <w:rPr/>
        <w:t xml:space="preserve">: </w:t>
      </w:r>
      <w:r>
        <w:rPr>
          <w:i/>
        </w:rPr>
        <w:t>so dass</w:t>
      </w:r>
      <w:r>
        <w:rPr/>
        <w:t xml:space="preserve">. „Auf die Erde gefallen“ ist Partizip Aorist und drückt so das dem „Wälzen“ zeitlich relativ Vorangehende aus; schöner effektiv zu übersetzen: </w:t>
      </w:r>
      <w:r>
        <w:rPr>
          <w:i/>
        </w:rPr>
        <w:t>auf der Erde (liegend)</w:t>
      </w:r>
      <w:r>
        <w:rPr/>
        <w:t>.</w:t>
      </w:r>
    </w:p>
  </w:footnote>
  <w:footnote w:id="1778">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9">
    <w:p>
      <w:pPr>
        <w:pStyle w:val="Funote"/>
        <w:rPr/>
      </w:pPr>
      <w:r>
        <w:rPr>
          <w:i/>
        </w:rPr>
        <w:footnoteRef/>
        <w:tab/>
        <w:t>sogar (und)</w:t>
      </w:r>
      <w:r>
        <w:rPr/>
        <w:t xml:space="preserve"> + </w:t>
      </w:r>
      <w:r>
        <w:rPr>
          <w:i/>
        </w:rPr>
        <w:t>sogar (sowohl)</w:t>
      </w:r>
      <w:r>
        <w:rPr/>
        <w:t xml:space="preserve"> - sicher emphatisches </w:t>
      </w:r>
      <w:r>
        <w:rPr>
          <w:lang w:val="el-GR"/>
        </w:rPr>
        <w:t>καὶ</w:t>
      </w:r>
      <w:r>
        <w:rPr/>
        <w:t xml:space="preserve">; hierzu gut Dana/Mantey §221.3; zur Funktion im Text siehe </w:t>
      </w:r>
      <w:r>
        <w:fldChar w:fldCharType="begin"/>
      </w:r>
      <w:r>
        <w:instrText> HYPERLINK "http://www.offene-bibel.de/wiki/index.php5?title=Markus_9" \l "note_bl"</w:instrText>
      </w:r>
      <w:r>
        <w:fldChar w:fldCharType="separate"/>
      </w:r>
      <w:r>
        <w:rPr>
          <w:rStyle w:val="Internetlink"/>
        </w:rPr>
        <w:t>bl</w:t>
      </w:r>
      <w:r>
        <w:fldChar w:fldCharType="end"/>
      </w:r>
    </w:p>
  </w:footnote>
  <w:footnote w:id="1780">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1">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2">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3">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4">
    <w:p>
      <w:pPr>
        <w:pStyle w:val="Funote"/>
        <w:rPr/>
      </w:pPr>
      <w:r>
        <w:rPr>
          <w:i/>
        </w:rPr>
        <w:footnoteRef/>
        <w:tab/>
        <w:t xml:space="preserve">vermag </w:t>
      </w:r>
      <w:r>
        <w:rPr/>
        <w:t xml:space="preserve">Alles </w:t>
      </w:r>
      <w:r>
        <w:rPr>
          <w:i/>
        </w:rPr>
        <w:t>(ist allmächtig)</w:t>
      </w:r>
      <w:r>
        <w:rPr/>
        <w:t xml:space="preserve"> - s. </w:t>
      </w:r>
      <w:r>
        <w:fldChar w:fldCharType="begin"/>
      </w:r>
      <w:r>
        <w:instrText> HYPERLINK "http://www.offene-bibel.de/wiki/index.php5?title=Markus_9" \l "note_bk"</w:instrText>
      </w:r>
      <w:r>
        <w:fldChar w:fldCharType="separate"/>
      </w:r>
      <w:r>
        <w:rPr>
          <w:rStyle w:val="Internetlink"/>
        </w:rPr>
        <w:t>FN bk</w:t>
      </w:r>
      <w:r>
        <w:fldChar w:fldCharType="end"/>
      </w:r>
      <w:r>
        <w:rPr/>
        <w:t>.</w:t>
      </w:r>
    </w:p>
  </w:footnote>
  <w:footnote w:id="1785">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6">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7">
    <w:p>
      <w:pPr>
        <w:pStyle w:val="Funote"/>
        <w:rPr/>
      </w:pPr>
      <w:r>
        <w:rPr>
          <w:i/>
        </w:rPr>
        <w:footnoteRef/>
        <w:tab/>
        <w:t>zusammenlief (herandrängte)</w:t>
      </w:r>
      <w:r>
        <w:rPr/>
        <w:t xml:space="preserve"> - </w:t>
      </w:r>
      <w:r>
        <w:rPr>
          <w:lang w:val="el-GR"/>
        </w:rPr>
        <w:t>ἐπισυντρέχω</w:t>
      </w:r>
      <w:r>
        <w:rPr/>
        <w:t xml:space="preserve"> ist ein Hapax Legomenon im gesamten Griechisch; Wortbildung: </w:t>
      </w:r>
      <w:r>
        <w:rPr>
          <w:lang w:val="el-GR"/>
        </w:rPr>
        <w:t>τρέχω</w:t>
      </w:r>
      <w:r>
        <w:rPr/>
        <w:t xml:space="preserve"> </w:t>
      </w:r>
      <w:r>
        <w:rPr>
          <w:i/>
        </w:rPr>
        <w:t>laufen</w:t>
      </w:r>
      <w:r>
        <w:rPr/>
        <w:t xml:space="preserve"> -&gt; </w:t>
      </w:r>
      <w:r>
        <w:rPr>
          <w:lang w:val="el-GR"/>
        </w:rPr>
        <w:t>συν-τρέχω</w:t>
      </w:r>
      <w:r>
        <w:rPr/>
        <w:t xml:space="preserve"> </w:t>
      </w:r>
      <w:r>
        <w:rPr>
          <w:i/>
        </w:rPr>
        <w:t>zusammen-laufen</w:t>
      </w:r>
      <w:r>
        <w:rPr/>
        <w:t xml:space="preserve"> -&gt; </w:t>
      </w:r>
      <w:r>
        <w:rPr>
          <w:lang w:val="el-GR"/>
        </w:rPr>
        <w:t>ἐπι-συντρέχω</w:t>
      </w:r>
      <w:r>
        <w:rPr/>
        <w:t xml:space="preserve"> </w:t>
      </w:r>
      <w:r>
        <w:rPr>
          <w:i/>
        </w:rPr>
        <w:t>heran-zusammenlaufen</w:t>
      </w:r>
      <w:r>
        <w:rPr/>
        <w:t>; gut Louw/Nida 15.134: „eilig an einen Ort zusammenlaufen“. Redundante Wortbildung („an einen Ort“ ist in „zusammenlaufen“ bereits enthalten); besser daher gesteigert: „herandrängen“.</w:t>
      </w:r>
    </w:p>
  </w:footnote>
  <w:footnote w:id="1788">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9">
    <w:p>
      <w:pPr>
        <w:pStyle w:val="Funote"/>
        <w:rPr/>
      </w:pPr>
      <w:r>
        <w:rPr/>
        <w:footnoteRef/>
        <w:tab/>
        <w:t>Du stummer und tauber Geist - W. der stumme und taube Geist; Nominativ für Vokativ (Grosvenor/Zerwick). Kein Semitismus; vgl. Doudna 1961, S. 78.</w:t>
      </w:r>
    </w:p>
  </w:footnote>
  <w:footnote w:id="1790">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1">
    <w:p>
      <w:pPr>
        <w:pStyle w:val="Funote"/>
        <w:rPr/>
      </w:pPr>
      <w:r>
        <w:rPr>
          <w:i/>
        </w:rPr>
        <w:footnoteRef/>
        <w:tab/>
        <w:t>wurde (war)</w:t>
      </w:r>
      <w:r>
        <w:rPr/>
        <w:t xml:space="preserve"> - Nicht: „er </w:t>
      </w:r>
      <w:r>
        <w:rPr>
          <w:i/>
        </w:rPr>
        <w:t>wurde</w:t>
      </w:r>
      <w:r>
        <w:rPr/>
        <w:t xml:space="preserv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2">
    <w:p>
      <w:pPr>
        <w:pStyle w:val="Funote"/>
        <w:rPr/>
      </w:pPr>
      <w:r>
        <w:rPr/>
        <w:footnoteRef/>
        <w:tab/>
        <w:t xml:space="preserve">daher (sodass) - resultatives </w:t>
      </w:r>
      <w:r>
        <w:rPr>
          <w:lang w:val="el-GR"/>
        </w:rPr>
        <w:t>ὥστε</w:t>
      </w:r>
      <w:r>
        <w:rPr/>
        <w:t xml:space="preserve"> (Pryke 1978, S. 115) -&gt; „sodass“</w:t>
      </w:r>
    </w:p>
  </w:footnote>
  <w:footnote w:id="1793">
    <w:p>
      <w:pPr>
        <w:pStyle w:val="Funote"/>
        <w:rPr/>
      </w:pPr>
      <w:r>
        <w:rPr>
          <w:i/>
        </w:rPr>
        <w:footnoteRef/>
        <w:tab/>
        <w:t>die Meisten (die Menge)</w:t>
      </w:r>
      <w:r>
        <w:rPr/>
        <w:t xml:space="preserve"> - „die Meisten“ i.S.v. „die Menge“; vgl. </w:t>
      </w:r>
      <w:hyperlink r:id="rId314">
        <w:r>
          <w:rPr>
            <w:rStyle w:val="Internetlink"/>
          </w:rPr>
          <w:t>Pape 671, Bed. 3</w:t>
        </w:r>
      </w:hyperlink>
    </w:p>
  </w:footnote>
  <w:footnote w:id="1794">
    <w:p>
      <w:pPr>
        <w:pStyle w:val="Funote"/>
        <w:rPr/>
      </w:pPr>
      <w:r>
        <w:rPr>
          <w:i/>
        </w:rPr>
        <w:footnoteRef/>
        <w:tab/>
        <w:t>hieß ihn aufstehen</w:t>
      </w:r>
      <w:r>
        <w:rPr/>
        <w:t xml:space="preserve"> nach Louw/Nida 17.10 („to cause to stand up“); in Anbetracht des Folgesatzes sinnvoller als „weckte ihn auf“ oder gar „erweckte ihn“. Das häufige „richtete ihn auf“ oder „zog ihn hoch“ ist gut; wäre aber eine Doppelung mit dem Folgesatz.</w:t>
      </w:r>
    </w:p>
  </w:footnote>
  <w:footnote w:id="1795">
    <w:p>
      <w:pPr>
        <w:pStyle w:val="Funote"/>
        <w:rPr/>
      </w:pPr>
      <w:r>
        <w:rPr>
          <w:i/>
        </w:rPr>
        <w:footnoteRef/>
        <w:tab/>
        <w:t>für sich</w:t>
      </w:r>
      <w:r>
        <w:rPr/>
        <w:t xml:space="preserve"> - versprachlicht hier das Motiv der Sonderbelehrung (siehe Parallelstellen); besser: „Und nachdem er ins Haus gegangen war und sie unter sich waren, fragten ihn seine Jünger“.</w:t>
      </w:r>
    </w:p>
  </w:footnote>
  <w:footnote w:id="1796">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7">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8">
    <w:p>
      <w:pPr>
        <w:pStyle w:val="Funote"/>
        <w:rPr/>
      </w:pPr>
      <w:r>
        <w:rPr>
          <w:i/>
        </w:rPr>
        <w:footnoteRef/>
        <w:tab/>
        <w:t>aus (gingen sie fort und)</w:t>
      </w:r>
      <w:r>
        <w:rPr/>
        <w:t xml:space="preserve"> - W. „Von dort fortgegangen seiend“</w:t>
      </w:r>
    </w:p>
  </w:footnote>
  <w:footnote w:id="1799">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800">
    <w:p>
      <w:pPr>
        <w:pStyle w:val="Funote"/>
        <w:rPr/>
      </w:pPr>
      <w:r>
        <w:rPr>
          <w:i/>
        </w:rPr>
        <w:footnoteRef/>
        <w:tab/>
        <w:t>in die Hände der Menschen</w:t>
      </w:r>
      <w:r>
        <w:rPr/>
        <w:t xml:space="preserve"> - Biblizismus, „in die Hand von X“ entspricht „an X“, „in die Gewalt von X“. </w:t>
      </w:r>
    </w:p>
  </w:footnote>
  <w:footnote w:id="1801">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2">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3">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4">
    <w:p>
      <w:pPr>
        <w:pStyle w:val="Funote"/>
        <w:rPr/>
      </w:pPr>
      <w:r>
        <w:rPr>
          <w:i/>
        </w:rPr>
        <w:footnoteRef/>
        <w:tab/>
        <w:t>war</w:t>
      </w:r>
      <w:r>
        <w:rPr/>
        <w:t xml:space="preserve">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5">
    <w:p>
      <w:pPr>
        <w:pStyle w:val="Funote"/>
        <w:rPr/>
      </w:pPr>
      <w:r>
        <w:rPr/>
        <w:footnoteRef/>
        <w:tab/>
        <w:t>der Größte (größer) - Komparativ als Superlativ; vgl. Cranfield 1959, S. 307.</w:t>
      </w:r>
    </w:p>
  </w:footnote>
  <w:footnote w:id="1806">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7">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8">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9">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10">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1">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2">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3">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4">
    <w:p>
      <w:pPr>
        <w:pStyle w:val="Funote"/>
        <w:rPr/>
      </w:pPr>
      <w:r>
        <w:rPr>
          <w:i/>
        </w:rPr>
        <w:footnoteRef/>
        <w:tab/>
        <w:t>mit meinem Namen</w:t>
      </w:r>
      <w:r>
        <w:rPr/>
        <w:t xml:space="preserve"> - </w:t>
      </w:r>
      <w:r>
        <w:rPr>
          <w:lang w:val="el-GR"/>
        </w:rPr>
        <w:t>ἐπὶ τῷ ὀνόματί</w:t>
      </w:r>
      <w:r>
        <w:rPr/>
        <w:t xml:space="preserve"> verwendet wie oben </w:t>
      </w:r>
      <w:r>
        <w:rPr>
          <w:lang w:val="el-GR"/>
        </w:rPr>
        <w:t>ἐν τῷ ὀνόματί</w:t>
      </w:r>
      <w:r>
        <w:rPr/>
        <w:t xml:space="preserve"> (s. </w:t>
      </w:r>
      <w:r>
        <w:fldChar w:fldCharType="begin"/>
      </w:r>
      <w:r>
        <w:instrText> HYPERLINK "http://www.offene-bibel.de/wiki/index.php5?title=Markus_9" \l "note_cp"</w:instrText>
      </w:r>
      <w:r>
        <w:fldChar w:fldCharType="separate"/>
      </w:r>
      <w:r>
        <w:rPr>
          <w:rStyle w:val="Internetlink"/>
        </w:rPr>
        <w:t>FN cp</w:t>
      </w:r>
      <w:r>
        <w:fldChar w:fldCharType="end"/>
      </w:r>
      <w:r>
        <w:rPr/>
        <w:t>); vgl. BDAG: „der Machttaten vollbringt, indem er meinen Namen nennt“. So auch viele Üss.</w:t>
      </w:r>
    </w:p>
  </w:footnote>
  <w:footnote w:id="1815">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6">
    <w:p>
      <w:pPr>
        <w:pStyle w:val="Funote"/>
        <w:rPr/>
      </w:pPr>
      <w:r>
        <w:rPr>
          <w:i/>
        </w:rPr>
        <w:footnoteRef/>
        <w:tab/>
        <w:t>schlecht von mir zu sprechen vermag (von mir sprechen kann)</w:t>
      </w:r>
      <w:r>
        <w:rPr/>
        <w:t xml:space="preserve"> - </w:t>
      </w:r>
      <w:r>
        <w:rPr>
          <w:lang w:val="el-GR"/>
        </w:rPr>
        <w:t>δύναμαι</w:t>
      </w:r>
      <w:r>
        <w:rPr/>
        <w:t xml:space="preserve"> </w:t>
      </w:r>
      <w:r>
        <w:rPr>
          <w:i/>
        </w:rPr>
        <w:t>vermögen</w:t>
      </w:r>
      <w:r>
        <w:rPr/>
        <w:t xml:space="preserve"> verwendet als Hilfsverb, besser einfach „verfluchen kann“. Vgl. Turner 1927a, S. 355.</w:t>
      </w:r>
    </w:p>
  </w:footnote>
  <w:footnote w:id="1817">
    <w:p>
      <w:pPr>
        <w:pStyle w:val="Funote"/>
        <w:rPr/>
      </w:pPr>
      <w:r>
        <w:rPr/>
        <w:footnoteRef/>
        <w:tab/>
        <w:t>Wer nicht gegen uns ist, ist für uns - auch dies ist ein Sprichwort; s. Cicero, Lig 11 (vgl. Cranfield 1959, S. 310).</w:t>
      </w:r>
    </w:p>
  </w:footnote>
  <w:footnote w:id="1818">
    <w:p>
      <w:pPr>
        <w:pStyle w:val="Funote"/>
        <w:rPr/>
      </w:pPr>
      <w:r>
        <w:rPr/>
        <w:footnoteRef/>
        <w:tab/>
        <w:t xml:space="preserve">Zur Strukturellen Zuordnung von Vv. 41f siehe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w:t>
      </w:r>
    </w:p>
  </w:footnote>
  <w:footnote w:id="1819">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20">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1">
    <w:p>
      <w:pPr>
        <w:pStyle w:val="Funote"/>
        <w:rPr/>
      </w:pPr>
      <w:r>
        <w:rPr>
          <w:i/>
        </w:rPr>
        <w:footnoteRef/>
        <w:tab/>
        <w:t>einen Becher Wasser zu trinken gibt</w:t>
      </w:r>
      <w:r>
        <w:rPr/>
        <w:t xml:space="preserve"> - im Griechischen figura etymologica: </w:t>
      </w:r>
      <w:r>
        <w:rPr>
          <w:lang w:val="el-GR"/>
        </w:rPr>
        <w:t>ποτίσῃ ποτήριον</w:t>
      </w:r>
      <w:r>
        <w:rPr/>
        <w:t xml:space="preserve"> </w:t>
      </w:r>
      <w:r>
        <w:rPr>
          <w:i/>
        </w:rPr>
        <w:t>[Wer euch] tränkt mit einem Trunk</w:t>
      </w:r>
      <w:r>
        <w:rPr/>
        <w:t xml:space="preserve"> („Trunk“ aber w. „Becher“).</w:t>
      </w:r>
    </w:p>
  </w:footnote>
  <w:footnote w:id="1822">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3">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4">
    <w:p>
      <w:pPr>
        <w:pStyle w:val="Funote"/>
        <w:rPr/>
      </w:pPr>
      <w:r>
        <w:rPr>
          <w:i/>
        </w:rPr>
        <w:footnoteRef/>
        <w:tab/>
        <w:t>wird seinen Lohn nicht verlieren (wird ihn bekommen)</w:t>
      </w:r>
      <w:r>
        <w:rPr/>
        <w:t xml:space="preserve">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5">
    <w:p>
      <w:pPr>
        <w:pStyle w:val="Funote"/>
        <w:rPr/>
      </w:pPr>
      <w:r>
        <w:rPr>
          <w:i/>
        </w:rPr>
        <w:footnoteRef/>
        <w:tab/>
        <w:t>aber (und)</w:t>
      </w:r>
      <w:r>
        <w:rPr/>
        <w:t xml:space="preserve"> - „und“ zur Verknüpfung von Gegensätzen.</w:t>
      </w:r>
    </w:p>
  </w:footnote>
  <w:footnote w:id="1826">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7">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8">
    <w:p>
      <w:pPr>
        <w:pStyle w:val="Funote"/>
        <w:rPr/>
      </w:pPr>
      <w:r>
        <w:rPr/>
        <w:footnoteRef/>
        <w:tab/>
        <w:t>ist (wäre) - modales Indikativ; vgl. Kleist 1937, S. 216. So fast alle Üss.</w:t>
      </w:r>
    </w:p>
  </w:footnote>
  <w:footnote w:id="1829">
    <w:p>
      <w:pPr>
        <w:pStyle w:val="Funote"/>
        <w:rPr/>
      </w:pPr>
      <w:r>
        <w:rPr/>
        <w:footnoteRef/>
        <w:tab/>
        <w:t>gut (besser) - sicher Positiv als Komparativ; vgl. Zerwick §145. So auch alle Üss. Kein Semitismus; vgl. z.B. Herodot IX.26.7; auch BDR §245.</w:t>
      </w:r>
    </w:p>
  </w:footnote>
  <w:footnote w:id="1830">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1">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2">
    <w:p>
      <w:pPr>
        <w:pStyle w:val="Funote"/>
        <w:rPr/>
      </w:pPr>
      <w:r>
        <w:rPr/>
        <w:footnoteRef/>
        <w:tab/>
        <w:t>[Denn] - Asyndese zum Ausdruck kausaler Verhältnisse, so gut Reiser 1983, S. 143.</w:t>
      </w:r>
    </w:p>
  </w:footnote>
  <w:footnote w:id="1833">
    <w:p>
      <w:pPr>
        <w:pStyle w:val="Funote"/>
        <w:rPr/>
      </w:pPr>
      <w:r>
        <w:rPr>
          <w:i/>
        </w:rPr>
        <w:footnoteRef/>
        <w:tab/>
        <w:t>Leben</w:t>
      </w:r>
      <w:r>
        <w:rPr/>
        <w:t xml:space="preserve"> wird hier als Wechselbegriff für das „Reich Gottes“ verwendet; so eigtl. alle. „Reich Gottes“ steht ja denn auch statt „Leben“ in V. 47.</w:t>
      </w:r>
    </w:p>
  </w:footnote>
  <w:footnote w:id="1834">
    <w:p>
      <w:pPr>
        <w:pStyle w:val="Funote"/>
        <w:rPr/>
      </w:pPr>
      <w:r>
        <w:rPr>
          <w:i/>
        </w:rPr>
        <w:footnoteRef/>
        <w:tab/>
        <w:t>Gehenna (Hölle)</w:t>
      </w:r>
      <w:r>
        <w:rPr/>
        <w:t xml:space="preserve"> - „Gehenna “ war ursprünglich eine griechische Ortsbezeichnung für das Hinnomtal (</w:t>
      </w:r>
      <w:r>
        <w:rPr>
          <w:rtl w:val="true"/>
          <w:lang w:bidi="he-IL"/>
        </w:rPr>
        <w:t>גֵּי הִנּׂם</w:t>
      </w:r>
      <w:r>
        <w:rPr/>
        <w:t xml:space="preserve"> </w:t>
      </w:r>
      <w:r>
        <w:rPr>
          <w:i/>
        </w:rPr>
        <w:t>gê hinnom</w:t>
      </w:r>
      <w:r>
        <w:rPr/>
        <w:t xml:space="preserve">) im Süden Jerusalems. Wohl, weil (s. </w:t>
      </w:r>
      <w:hyperlink r:id="rId315">
        <w:r>
          <w:rPr>
            <w:rStyle w:val="Internetlink"/>
          </w:rPr>
          <w:t>2Kön 16,3</w:t>
        </w:r>
      </w:hyperlink>
      <w:r>
        <w:rPr/>
        <w:t xml:space="preserve">; </w:t>
      </w:r>
      <w:hyperlink r:id="rId316">
        <w:r>
          <w:rPr>
            <w:rStyle w:val="Internetlink"/>
          </w:rPr>
          <w:t>21,6</w:t>
        </w:r>
      </w:hyperlink>
      <w:r>
        <w:rPr/>
        <w:t>) dort unter Ahas und Manasse Kinder geopfert wurden, wurde es nach und nach mythisiert, bis „Gehenna“ als Wechselbegriff für die Feuerhölle verwendet werden konnte.</w:t>
      </w:r>
    </w:p>
  </w:footnote>
  <w:footnote w:id="1835">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6">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7">
    <w:p>
      <w:pPr>
        <w:pStyle w:val="Funote"/>
        <w:rPr/>
      </w:pPr>
      <w:r>
        <w:rPr/>
        <w:footnoteRef/>
        <w:tab/>
        <w:t>Textkritik: Vv. 44.46 sind eine Doppelung von V. 48 und fehlen in einigen wichtigen Mss.; daher werden sie heute fast einheitlich als sekundär erklärt.</w:t>
      </w:r>
    </w:p>
  </w:footnote>
  <w:footnote w:id="1838">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9">
    <w:p>
      <w:pPr>
        <w:pStyle w:val="Funote"/>
        <w:rPr/>
      </w:pPr>
      <w:r>
        <w:rPr>
          <w:i/>
          <w:strike/>
        </w:rPr>
        <w:footnoteRef/>
        <w:tab/>
        <w:t>Denn</w:t>
      </w:r>
      <w:r>
        <w:rPr>
          <w:i/>
        </w:rPr>
        <w:t xml:space="preserve"> (Denn)</w:t>
      </w:r>
      <w:r>
        <w:rPr/>
        <w:t xml:space="preserve"> - Vv. 49f gehören sehr sicher nicht mit dem vorangehenden Abschnitt zusammen; gemeinsam ist ihnen nur das ominöse „Feuer“, dass hier aber nicht das obige Höllenfeuer meint, sondern etwas Gutes, das zum „Gesalzen-sein“ führt. Zu </w:t>
      </w:r>
      <w:r>
        <w:rPr>
          <w:i/>
          <w:strike/>
        </w:rPr>
        <w:t>denn</w:t>
      </w:r>
      <w:r>
        <w:rPr/>
        <w:t xml:space="preserve"> siehe </w:t>
      </w:r>
      <w:r>
        <w:fldChar w:fldCharType="begin"/>
      </w:r>
      <w:r>
        <w:instrText> HYPERLINK "http://www.offene-bibel.de/wiki/index.php5?title=Markus_9" \l "note_cx"</w:instrText>
      </w:r>
      <w:r>
        <w:fldChar w:fldCharType="separate"/>
      </w:r>
      <w:r>
        <w:rPr>
          <w:rStyle w:val="Internetlink"/>
        </w:rPr>
        <w:t>FN cx</w:t>
      </w:r>
      <w:r>
        <w:fldChar w:fldCharType="end"/>
      </w:r>
      <w:r>
        <w:rPr/>
        <w:t>.</w:t>
      </w:r>
    </w:p>
  </w:footnote>
  <w:footnote w:id="1840">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1">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2">
    <w:p>
      <w:pPr>
        <w:pStyle w:val="Funote"/>
        <w:rPr/>
      </w:pPr>
      <w:r>
        <w:rPr/>
        <w:footnoteRef/>
        <w:tab/>
        <w:t>werdet (wollt) - wahrscheinlich deliberatives Futur, um die Frage als rhetorische Frage zu markieren (vgl. Dana/Mantey §178.4; Wallace, S. 570 u.ö.). »wollt« auch in vielen Üss.</w:t>
      </w:r>
    </w:p>
  </w:footnote>
  <w:footnote w:id="1843">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4">
    <w:p>
      <w:pPr>
        <w:pStyle w:val="Funote"/>
        <w:rPr/>
      </w:pPr>
      <w:r>
        <w:rPr/>
        <w:footnoteRef/>
        <w:tab/>
        <w:t>und haltet [so] - [so] gut nach Cranfield 1959, S. 317, der den ersten Imperativ als Bedingung für den zweiten liest.</w:t>
      </w:r>
    </w:p>
  </w:footnote>
  <w:footnote w:id="1845">
    <w:p>
      <w:pPr>
        <w:pStyle w:val="Funote"/>
        <w:rPr/>
      </w:pPr>
      <w:r>
        <w:rPr/>
        <w:footnoteRef/>
        <w:tab/>
        <w:t>[Status: Zuverlässig]</w:t>
      </w:r>
    </w:p>
  </w:footnote>
  <w:footnote w:id="1846">
    <w:p>
      <w:pPr>
        <w:pStyle w:val="Funote"/>
        <w:rPr/>
      </w:pPr>
      <w:r>
        <w:rPr>
          <w:i/>
        </w:rPr>
        <w:footnoteRef/>
        <w:tab/>
        <w:t>brach auf und</w:t>
      </w:r>
      <w:r>
        <w:rPr/>
        <w:t xml:space="preserve"> </w:t>
      </w:r>
      <w:hyperlink r:id="rId317">
        <w:r>
          <w:rPr>
            <w:rStyle w:val="Internetlink"/>
          </w:rPr>
          <w:t>Ptz. conj.</w:t>
        </w:r>
      </w:hyperlink>
      <w:r>
        <w:rPr/>
        <w:t>, beigeordnet aufgelöst.</w:t>
      </w:r>
    </w:p>
  </w:footnote>
  <w:footnote w:id="1847">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8">
    <w:p>
      <w:pPr>
        <w:pStyle w:val="Funote"/>
        <w:rPr/>
      </w:pPr>
      <w:r>
        <w:rPr>
          <w:i/>
        </w:rPr>
        <w:footnoteRef/>
        <w:tab/>
        <w:t>Er jedoch erwiderte {und sagte zu ihnen}</w:t>
      </w:r>
      <w:r>
        <w:rPr/>
        <w:t xml:space="preserve"> Die pleonastische Formulierung kann in der Übersetzung gekürzt werden. erwiderte Modales </w:t>
      </w:r>
      <w:hyperlink r:id="rId318">
        <w:r>
          <w:rPr>
            <w:rStyle w:val="Internetlink"/>
          </w:rPr>
          <w:t>Ptz. conj.</w:t>
        </w:r>
      </w:hyperlink>
      <w:r>
        <w:rPr/>
        <w:t>, beigeordnet aufgelöst.</w:t>
      </w:r>
    </w:p>
  </w:footnote>
  <w:footnote w:id="1849">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50">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1">
    <w:p>
      <w:pPr>
        <w:pStyle w:val="Funote"/>
        <w:rPr/>
      </w:pPr>
      <w:r>
        <w:rPr>
          <w:i/>
        </w:rPr>
        <w:footnoteRef/>
        <w:tab/>
        <w:t>das soll (darf) ein ([der]) Mensch nicht trennen</w:t>
      </w:r>
      <w:r>
        <w:rPr/>
        <w:t xml:space="preserve"> Das Verb steht in der dritten Person des Imperativs, den man am besten mit Hilfsverb („soll“, „muss“ bzw. negativ „darf“ oder „möge“) oder einem Konjunktiv umschreibt. Hier beschreibt Jesus eine ethische Maxime aufgrund eines Schöpfungsprinzips, daher ist soll am passendsten. </w:t>
      </w:r>
      <w:r>
        <w:rPr>
          <w:i/>
        </w:rPr>
        <w:t>ein ([der]) Mensch</w:t>
      </w:r>
      <w:r>
        <w:rPr/>
        <w:t xml:space="preserve"> Gemeint ist entweder „(irgend)ein Mensch“ oder „der Mensch“ (Synonym zu „Menschheit“), wobei die meisten Übersetzungen sich für die letzte Variante entscheiden.</w:t>
      </w:r>
    </w:p>
  </w:footnote>
  <w:footnote w:id="1852">
    <w:p>
      <w:pPr>
        <w:pStyle w:val="Funote"/>
        <w:rPr/>
      </w:pPr>
      <w:r>
        <w:rPr>
          <w:i/>
        </w:rPr>
        <w:footnoteRef/>
        <w:tab/>
        <w:t>Als … da</w:t>
      </w:r>
      <w:r>
        <w:rPr/>
        <w:t xml:space="preserve"> W. „Und … und“, hier als temporales Verhältnis verstanden und übersetzt.</w:t>
      </w:r>
    </w:p>
  </w:footnote>
  <w:footnote w:id="1853">
    <w:p>
      <w:pPr>
        <w:pStyle w:val="Funote"/>
        <w:rPr/>
      </w:pPr>
      <w:r>
        <w:rPr/>
        <w:footnoteRef/>
        <w:tab/>
        <w:t>bricht an ihr die Ehe D.h. »bricht so die Ehe, die mit der ersten Frau bestand« (vgl. Collins 2007, 469).</w:t>
      </w:r>
    </w:p>
  </w:footnote>
  <w:footnote w:id="1854">
    <w:p>
      <w:pPr>
        <w:pStyle w:val="Funote"/>
        <w:rPr/>
      </w:pPr>
      <w:r>
        <w:rPr>
          <w:i/>
        </w:rPr>
        <w:footnoteRef/>
        <w:tab/>
        <w:t>sie sich ... geschieden hat und</w:t>
      </w:r>
      <w:r>
        <w:rPr/>
        <w:t xml:space="preserve"> </w:t>
      </w:r>
      <w:hyperlink r:id="rId319">
        <w:r>
          <w:rPr>
            <w:rStyle w:val="Internetlink"/>
          </w:rPr>
          <w:t>Ptz. conj.</w:t>
        </w:r>
      </w:hyperlink>
      <w:r>
        <w:rPr/>
        <w:t>, beigeordnet aufgelöst.</w:t>
      </w:r>
    </w:p>
  </w:footnote>
  <w:footnote w:id="1855">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6">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7">
    <w:p>
      <w:pPr>
        <w:pStyle w:val="Funote"/>
        <w:rPr/>
      </w:pPr>
      <w:r>
        <w:rPr>
          <w:i/>
        </w:rPr>
        <w:footnoteRef/>
        <w:tab/>
        <w:t>als Jesus [das] sah</w:t>
      </w:r>
      <w:r>
        <w:rPr/>
        <w:t xml:space="preserve"> Temporales </w:t>
      </w:r>
      <w:hyperlink r:id="rId320">
        <w:r>
          <w:rPr>
            <w:rStyle w:val="Internetlink"/>
          </w:rPr>
          <w:t>Ptz. conj.</w:t>
        </w:r>
      </w:hyperlink>
      <w:r>
        <w:rPr/>
        <w:t>, als Nebensatz aufgelöst.</w:t>
      </w:r>
    </w:p>
  </w:footnote>
  <w:footnote w:id="1858">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9">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60">
    <w:p>
      <w:pPr>
        <w:pStyle w:val="Funote"/>
        <w:rPr/>
      </w:pPr>
      <w:r>
        <w:rPr>
          <w:i/>
        </w:rPr>
        <w:footnoteRef/>
        <w:tab/>
        <w:t>er nahm sie in die Arme und</w:t>
      </w:r>
      <w:r>
        <w:rPr/>
        <w:t xml:space="preserve"> </w:t>
      </w:r>
      <w:hyperlink r:id="rId321">
        <w:r>
          <w:rPr>
            <w:rStyle w:val="Internetlink"/>
          </w:rPr>
          <w:t>Ptz. conj.</w:t>
        </w:r>
      </w:hyperlink>
      <w:r>
        <w:rPr/>
        <w:t>, beigeordnet aufgelöst.</w:t>
      </w:r>
    </w:p>
  </w:footnote>
  <w:footnote w:id="1861">
    <w:p>
      <w:pPr>
        <w:pStyle w:val="Funote"/>
        <w:rPr/>
      </w:pPr>
      <w:r>
        <w:rPr>
          <w:i/>
        </w:rPr>
        <w:footnoteRef/>
        <w:tab/>
        <w:t>indem er … auflegte</w:t>
      </w:r>
      <w:r>
        <w:rPr/>
        <w:t xml:space="preserve"> Modales </w:t>
      </w:r>
      <w:hyperlink r:id="rId322">
        <w:r>
          <w:rPr>
            <w:rStyle w:val="Internetlink"/>
          </w:rPr>
          <w:t>Ptz. conj.</w:t>
        </w:r>
      </w:hyperlink>
      <w:r>
        <w:rPr/>
        <w:t>, als Nebensatz aufgelöst.</w:t>
      </w:r>
    </w:p>
  </w:footnote>
  <w:footnote w:id="1862">
    <w:p>
      <w:pPr>
        <w:pStyle w:val="Funote"/>
        <w:rPr/>
      </w:pPr>
      <w:r>
        <w:rPr>
          <w:i/>
        </w:rPr>
        <w:footnoteRef/>
        <w:tab/>
        <w:t>kam angerannt und kniete sich hin</w:t>
      </w:r>
      <w:r>
        <w:rPr/>
        <w:t xml:space="preserve"> Temp. </w:t>
      </w:r>
      <w:hyperlink r:id="rId323">
        <w:r>
          <w:rPr>
            <w:rStyle w:val="Internetlink"/>
          </w:rPr>
          <w:t>Ptz. conj.</w:t>
        </w:r>
      </w:hyperlink>
      <w:r>
        <w:rPr/>
        <w:t xml:space="preserve"> (2x), hier als separater Hauptsatz wiedergeben.</w:t>
      </w:r>
    </w:p>
  </w:footnote>
  <w:footnote w:id="1863">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4">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5">
    <w:p>
      <w:pPr>
        <w:pStyle w:val="Funote"/>
        <w:rPr/>
      </w:pPr>
      <w:r>
        <w:rPr>
          <w:i/>
        </w:rPr>
        <w:footnoteRef/>
        <w:tab/>
        <w:t>sah ihn an und</w:t>
      </w:r>
      <w:r>
        <w:rPr/>
        <w:t xml:space="preserve"> Beigeordnet aufgelöstes </w:t>
      </w:r>
      <w:hyperlink r:id="rId324">
        <w:r>
          <w:rPr>
            <w:rStyle w:val="Internetlink"/>
          </w:rPr>
          <w:t>Ptz. conj.</w:t>
        </w:r>
      </w:hyperlink>
      <w:r>
        <w:rPr/>
        <w:t>.</w:t>
      </w:r>
    </w:p>
  </w:footnote>
  <w:footnote w:id="1866">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7">
    <w:p>
      <w:pPr>
        <w:pStyle w:val="Funote"/>
        <w:rPr/>
      </w:pPr>
      <w:r>
        <w:rPr>
          <w:i/>
        </w:rPr>
        <w:footnoteRef/>
        <w:tab/>
        <w:t>erschüttert (getroffen; enttäuscht)</w:t>
      </w:r>
      <w:r>
        <w:rPr/>
        <w:t xml:space="preserve">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8">
    <w:p>
      <w:pPr>
        <w:pStyle w:val="Funote"/>
        <w:rPr/>
      </w:pPr>
      <w:r>
        <w:rPr>
          <w:i/>
        </w:rPr>
        <w:footnoteRef/>
        <w:tab/>
        <w:t>war erschüttert … und</w:t>
      </w:r>
      <w:r>
        <w:rPr/>
        <w:t xml:space="preserve"> </w:t>
      </w:r>
      <w:hyperlink r:id="rId325">
        <w:r>
          <w:rPr>
            <w:rStyle w:val="Internetlink"/>
          </w:rPr>
          <w:t>Ptz. conj.</w:t>
        </w:r>
      </w:hyperlink>
      <w:r>
        <w:rPr/>
        <w:t>, beigeordnet aufgelöst.</w:t>
      </w:r>
    </w:p>
  </w:footnote>
  <w:footnote w:id="1869">
    <w:p>
      <w:pPr>
        <w:pStyle w:val="Funote"/>
        <w:rPr/>
      </w:pPr>
      <w:r>
        <w:rPr>
          <w:i/>
        </w:rPr>
        <w:footnoteRef/>
        <w:tab/>
        <w:t>er besaß</w:t>
      </w:r>
      <w:r>
        <w:rPr/>
        <w:t xml:space="preserve"> </w:t>
      </w:r>
      <w:hyperlink r:id="rId326">
        <w:r>
          <w:rPr>
            <w:rStyle w:val="Internetlink"/>
          </w:rPr>
          <w:t>Pleonastisches Ptz.</w:t>
        </w:r>
      </w:hyperlink>
    </w:p>
  </w:footnote>
  <w:footnote w:id="1870">
    <w:p>
      <w:pPr>
        <w:pStyle w:val="Funote"/>
        <w:rPr/>
      </w:pPr>
      <w:r>
        <w:rPr>
          <w:i/>
        </w:rPr>
        <w:footnoteRef/>
        <w:tab/>
        <w:t>schaute sich um und</w:t>
      </w:r>
      <w:r>
        <w:rPr/>
        <w:t xml:space="preserve"> </w:t>
      </w:r>
      <w:hyperlink r:id="rId327">
        <w:r>
          <w:rPr>
            <w:rStyle w:val="Internetlink"/>
          </w:rPr>
          <w:t>Ptz. conj.</w:t>
        </w:r>
      </w:hyperlink>
      <w:r>
        <w:rPr/>
        <w:t>, beigeordnet aufgelöst. Eine weitere mögliche Auflösung wäre z.B. „mit/nach einem Blick in die Runde“</w:t>
      </w:r>
    </w:p>
  </w:footnote>
  <w:footnote w:id="1871">
    <w:p>
      <w:pPr>
        <w:pStyle w:val="Funote"/>
        <w:rPr/>
      </w:pPr>
      <w:r>
        <w:rPr/>
        <w:footnoteRef/>
        <w:tab/>
        <w:t>die Wohlhabenden W. etwa »diejenigen, welche {die} Güter/Reichtümer haben« (subst. Ptz.), oder wie NGÜ: »Menschen, die viel besitzen«</w:t>
      </w:r>
    </w:p>
  </w:footnote>
  <w:footnote w:id="1872">
    <w:p>
      <w:pPr>
        <w:pStyle w:val="Funote"/>
        <w:rPr/>
      </w:pPr>
      <w:r>
        <w:rPr>
          <w:i/>
        </w:rPr>
        <w:footnoteRef/>
        <w:tab/>
        <w:t>überrascht (bestürzt, entgeistert)</w:t>
      </w:r>
      <w:r>
        <w:rPr/>
        <w:t xml:space="preserve"> D.h. sie hatten so eine Aussage von Jesus nicht erwartet.</w:t>
      </w:r>
    </w:p>
  </w:footnote>
  <w:footnote w:id="1873">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4">
    <w:p>
      <w:pPr>
        <w:pStyle w:val="Funote"/>
        <w:rPr/>
      </w:pPr>
      <w:r>
        <w:rPr/>
        <w:footnoteRef/>
        <w:tab/>
        <w:t>Kinder D.h. etwa »Leute«, eine freundliche Anrede an die Jüngergruppe (vgl. France 2002, 404). Vgl. Joh 21,5, wo die Wiedergabe mit »Männer« etwas angemessener ist und den Vorzug erhielt.</w:t>
      </w:r>
    </w:p>
  </w:footnote>
  <w:footnote w:id="1875">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6">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7">
    <w:p>
      <w:pPr>
        <w:pStyle w:val="Funote"/>
        <w:rPr/>
      </w:pPr>
      <w:r>
        <w:rPr>
          <w:i/>
        </w:rPr>
        <w:footnoteRef/>
        <w:tab/>
        <w:t>und sagten</w:t>
      </w:r>
      <w:r>
        <w:rPr/>
        <w:t xml:space="preserve"> </w:t>
      </w:r>
      <w:hyperlink r:id="rId328">
        <w:r>
          <w:rPr>
            <w:rStyle w:val="Internetlink"/>
          </w:rPr>
          <w:t>Ptz. conj.</w:t>
        </w:r>
      </w:hyperlink>
      <w:r>
        <w:rPr/>
        <w:t xml:space="preserve">, beigeordnet aufgelöst. </w:t>
      </w:r>
    </w:p>
  </w:footnote>
  <w:footnote w:id="1878">
    <w:p>
      <w:pPr>
        <w:pStyle w:val="Funote"/>
        <w:rPr/>
      </w:pPr>
      <w:r>
        <w:rPr>
          <w:i/>
        </w:rPr>
        <w:footnoteRef/>
        <w:tab/>
        <w:t>sah an und</w:t>
      </w:r>
      <w:r>
        <w:rPr/>
        <w:t xml:space="preserve"> </w:t>
      </w:r>
      <w:hyperlink r:id="rId329">
        <w:r>
          <w:rPr>
            <w:rStyle w:val="Internetlink"/>
          </w:rPr>
          <w:t>Ptz. conj.</w:t>
        </w:r>
      </w:hyperlink>
      <w:r>
        <w:rPr/>
        <w:t xml:space="preserve">, beigeordnet aufgelöst. </w:t>
      </w:r>
    </w:p>
  </w:footnote>
  <w:footnote w:id="1879">
    <w:p>
      <w:pPr>
        <w:pStyle w:val="Funote"/>
        <w:rPr/>
      </w:pPr>
      <w:r>
        <w:rPr>
          <w:i/>
        </w:rPr>
        <w:footnoteRef/>
        <w:tab/>
        <w:t>sagte</w:t>
      </w:r>
      <w:r>
        <w:rPr/>
        <w:t xml:space="preserve"> W. „fing an zu sagen“, eine bei Markus typische Wendung, wo „anfangen“ sehr schwache Bedeutung hat.</w:t>
      </w:r>
    </w:p>
  </w:footnote>
  <w:footnote w:id="1880">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1">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2">
    <w:p>
      <w:pPr>
        <w:pStyle w:val="Funote"/>
        <w:rPr/>
      </w:pPr>
      <w:r>
        <w:rPr>
          <w:i/>
        </w:rPr>
        <w:footnoteRef/>
        <w:tab/>
        <w:t>der nicht</w:t>
      </w:r>
      <w:r>
        <w:rPr/>
        <w:t xml:space="preserve"> W. „(Es gibt niemanden (V. 29)...,) wenn er nicht“</w:t>
      </w:r>
    </w:p>
  </w:footnote>
  <w:footnote w:id="1883">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4">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5">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6">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7">
    <w:p>
      <w:pPr>
        <w:pStyle w:val="Funote"/>
        <w:rPr/>
      </w:pPr>
      <w:r>
        <w:rPr>
          <w:i/>
        </w:rPr>
        <w:footnoteRef/>
        <w:tab/>
        <w:t>nahm beiseite und</w:t>
      </w:r>
      <w:r>
        <w:rPr/>
        <w:t xml:space="preserve"> </w:t>
      </w:r>
      <w:hyperlink r:id="rId330">
        <w:r>
          <w:rPr>
            <w:rStyle w:val="Internetlink"/>
          </w:rPr>
          <w:t>Ptz. conj.</w:t>
        </w:r>
      </w:hyperlink>
      <w:r>
        <w:rPr/>
        <w:t xml:space="preserve">, beigeordnet aufgelöst. </w:t>
      </w:r>
      <w:r>
        <w:rPr>
          <w:i/>
        </w:rPr>
        <w:t>teilte ihnen mit</w:t>
      </w:r>
      <w:r>
        <w:rPr/>
        <w:t xml:space="preserve"> W. „begann ihnen zu sagen“</w:t>
      </w:r>
    </w:p>
  </w:footnote>
  <w:footnote w:id="1888">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9">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90">
    <w:p>
      <w:pPr>
        <w:pStyle w:val="Funote"/>
        <w:rPr/>
      </w:pPr>
      <w:r>
        <w:rPr>
          <w:i/>
        </w:rPr>
        <w:footnoteRef/>
        <w:tab/>
        <w:t>[für] uns</w:t>
      </w:r>
      <w:r>
        <w:rPr/>
        <w:t xml:space="preserve"> </w:t>
      </w:r>
      <w:hyperlink r:id="rId331">
        <w:r>
          <w:rPr>
            <w:rStyle w:val="Internetlink"/>
          </w:rPr>
          <w:t>Dat. commodi</w:t>
        </w:r>
      </w:hyperlink>
      <w:r>
        <w:rPr/>
        <w:t>.</w:t>
      </w:r>
    </w:p>
  </w:footnote>
  <w:footnote w:id="1891">
    <w:p>
      <w:pPr>
        <w:pStyle w:val="Funote"/>
        <w:rPr/>
      </w:pPr>
      <w:r>
        <w:rPr>
          <w:i/>
        </w:rPr>
        <w:footnoteRef/>
        <w:tab/>
        <w:t>[für] euch</w:t>
      </w:r>
      <w:r>
        <w:rPr/>
        <w:t xml:space="preserve"> </w:t>
      </w:r>
      <w:hyperlink r:id="rId332">
        <w:r>
          <w:rPr>
            <w:rStyle w:val="Internetlink"/>
          </w:rPr>
          <w:t>Dat. commodi</w:t>
        </w:r>
      </w:hyperlink>
      <w:r>
        <w:rPr/>
        <w:t>.</w:t>
      </w:r>
    </w:p>
  </w:footnote>
  <w:footnote w:id="1892">
    <w:p>
      <w:pPr>
        <w:pStyle w:val="Funote"/>
        <w:rPr/>
      </w:pPr>
      <w:r>
        <w:rPr>
          <w:i/>
        </w:rPr>
        <w:footnoteRef/>
        <w:tab/>
        <w:t>Gestatte uns</w:t>
      </w:r>
      <w:r>
        <w:rPr/>
        <w:t xml:space="preserve"> W. „Gib uns“, was wohl eine respektvolle Formulierung ist.</w:t>
      </w:r>
    </w:p>
  </w:footnote>
  <w:footnote w:id="1893">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4">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5">
    <w:p>
      <w:pPr>
        <w:pStyle w:val="Funote"/>
        <w:rPr/>
      </w:pPr>
      <w:r>
        <w:rPr>
          <w:i/>
        </w:rPr>
        <w:footnoteRef/>
        <w:tab/>
        <w:t>gewähren</w:t>
      </w:r>
      <w:r>
        <w:rPr/>
        <w:t xml:space="preserve"> W. „geben“ (vgl. V. 37)</w:t>
      </w:r>
    </w:p>
  </w:footnote>
  <w:footnote w:id="1896">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7">
    <w:p>
      <w:pPr>
        <w:pStyle w:val="Funote"/>
        <w:rPr/>
      </w:pPr>
      <w:r>
        <w:rPr>
          <w:i/>
        </w:rPr>
        <w:footnoteRef/>
        <w:tab/>
        <w:t>als ... hörten</w:t>
      </w:r>
      <w:r>
        <w:rPr/>
        <w:t xml:space="preserve"> </w:t>
      </w:r>
      <w:hyperlink r:id="rId333">
        <w:r>
          <w:rPr>
            <w:rStyle w:val="Internetlink"/>
          </w:rPr>
          <w:t>Ptz. conj.</w:t>
        </w:r>
      </w:hyperlink>
      <w:r>
        <w:rPr/>
        <w:t>, als temporaler Nebensatz aufgelöst.</w:t>
      </w:r>
    </w:p>
  </w:footnote>
  <w:footnote w:id="1898">
    <w:p>
      <w:pPr>
        <w:pStyle w:val="Funote"/>
        <w:rPr/>
      </w:pPr>
      <w:r>
        <w:rPr>
          <w:i/>
        </w:rPr>
        <w:footnoteRef/>
        <w:tab/>
        <w:t>waren sie wütend</w:t>
      </w:r>
      <w:r>
        <w:rPr/>
        <w:t xml:space="preserve"> W. „begannen sie, wütend zu sein“</w:t>
      </w:r>
    </w:p>
  </w:footnote>
  <w:footnote w:id="1899">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900">
    <w:p>
      <w:pPr>
        <w:pStyle w:val="Funote"/>
        <w:rPr/>
      </w:pPr>
      <w:r>
        <w:rPr>
          <w:i/>
        </w:rPr>
        <w:footnoteRef/>
        <w:tab/>
        <w:t>die Menschen</w:t>
      </w:r>
      <w:r>
        <w:rPr/>
        <w:t xml:space="preserve"> W. „sie“, d.h. ihre Völker oder Untertanen.</w:t>
      </w:r>
    </w:p>
  </w:footnote>
  <w:footnote w:id="1901">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2">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3">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4">
    <w:p>
      <w:pPr>
        <w:pStyle w:val="Funote"/>
        <w:rPr/>
      </w:pPr>
      <w:r>
        <w:rPr>
          <w:i/>
        </w:rPr>
        <w:footnoteRef/>
        <w:tab/>
        <w:t>als er hörte</w:t>
      </w:r>
      <w:r>
        <w:rPr/>
        <w:t xml:space="preserve"> </w:t>
      </w:r>
      <w:hyperlink r:id="rId334">
        <w:r>
          <w:rPr>
            <w:rStyle w:val="Internetlink"/>
          </w:rPr>
          <w:t>Ptz. conj.</w:t>
        </w:r>
      </w:hyperlink>
      <w:r>
        <w:rPr/>
        <w:t>, als temporaler Nebensatz aufgelöst.</w:t>
      </w:r>
    </w:p>
  </w:footnote>
  <w:footnote w:id="1905">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6">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7">
    <w:p>
      <w:pPr>
        <w:pStyle w:val="Funote"/>
        <w:rPr/>
      </w:pPr>
      <w:r>
        <w:rPr>
          <w:i/>
        </w:rPr>
        <w:footnoteRef/>
        <w:tab/>
        <w:t>warf er … ab, sprang auf und</w:t>
      </w:r>
      <w:r>
        <w:rPr/>
        <w:t xml:space="preserve"> </w:t>
      </w:r>
      <w:hyperlink r:id="rId335">
        <w:r>
          <w:rPr>
            <w:rStyle w:val="Internetlink"/>
          </w:rPr>
          <w:t>Ptz. conj.</w:t>
        </w:r>
      </w:hyperlink>
      <w:r>
        <w:rPr/>
        <w:t xml:space="preserve"> (2x), beigeordnet aufgelöst.</w:t>
      </w:r>
    </w:p>
  </w:footnote>
  <w:footnote w:id="1908">
    <w:p>
      <w:pPr>
        <w:pStyle w:val="Funote"/>
        <w:rPr/>
      </w:pPr>
      <w:r>
        <w:rPr>
          <w:i/>
        </w:rPr>
        <w:footnoteRef/>
        <w:tab/>
        <w:t>fragte ihn</w:t>
      </w:r>
      <w:r>
        <w:rPr/>
        <w:t xml:space="preserve"> W. „antwortete ihm und sagte“ Jesus „antwortet“ (d.h. reagiert) hier auf die Situation, vielleicht auf die Zurufe des Bettlers (DBL Greek 646), allerdings mit einer eigenen Frage (vgl. V. 24).</w:t>
      </w:r>
    </w:p>
  </w:footnote>
  <w:footnote w:id="1909">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10">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1">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2">
    <w:p>
      <w:pPr>
        <w:pStyle w:val="Funote"/>
        <w:rPr/>
      </w:pPr>
      <w:r>
        <w:rPr/>
        <w:footnoteRef/>
        <w:tab/>
        <w:t>[Status: Zuverlässig]</w:t>
      </w:r>
    </w:p>
  </w:footnote>
  <w:footnote w:id="1913">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4">
    <w:p>
      <w:pPr>
        <w:pStyle w:val="Funote"/>
        <w:rPr/>
      </w:pPr>
      <w:r>
        <w:rPr>
          <w:i/>
        </w:rPr>
        <w:footnoteRef/>
        <w:tab/>
        <w:t>Er sagte</w:t>
      </w:r>
      <w:r>
        <w:rPr/>
        <w:t xml:space="preserve"> Modales </w:t>
      </w:r>
      <w:hyperlink r:id="rId336">
        <w:r>
          <w:rPr>
            <w:rStyle w:val="Internetlink"/>
          </w:rPr>
          <w:t>Ptz. conj.</w:t>
        </w:r>
      </w:hyperlink>
      <w:r>
        <w:rPr/>
        <w:t>, als eigenständiger Hauptsatz aufgelöst.</w:t>
      </w:r>
    </w:p>
  </w:footnote>
  <w:footnote w:id="1915">
    <w:p>
      <w:pPr>
        <w:pStyle w:val="Funote"/>
        <w:rPr/>
      </w:pPr>
      <w:r>
        <w:rPr>
          <w:i/>
        </w:rPr>
        <w:footnoteRef/>
        <w:tab/>
        <w:t>wenn ihr hineingeht</w:t>
      </w:r>
      <w:r>
        <w:rPr/>
        <w:t xml:space="preserve"> Temporales </w:t>
      </w:r>
      <w:hyperlink r:id="rId337">
        <w:r>
          <w:rPr>
            <w:rStyle w:val="Internetlink"/>
          </w:rPr>
          <w:t>Ptz. conj.</w:t>
        </w:r>
      </w:hyperlink>
      <w:r>
        <w:rPr/>
        <w:t>, als Nebensatz aufgelöst.</w:t>
      </w:r>
    </w:p>
  </w:footnote>
  <w:footnote w:id="1916">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7">
    <w:p>
      <w:pPr>
        <w:pStyle w:val="Funote"/>
        <w:rPr/>
      </w:pPr>
      <w:r>
        <w:rPr>
          <w:i/>
        </w:rPr>
        <w:footnoteRef/>
        <w:tab/>
        <w:t>noch nie ein Mensch</w:t>
      </w:r>
      <w:r>
        <w:rPr/>
        <w:t xml:space="preserve"> W. „niemand der Menschen“</w:t>
      </w:r>
    </w:p>
  </w:footnote>
  <w:footnote w:id="1918">
    <w:p>
      <w:pPr>
        <w:pStyle w:val="Funote"/>
        <w:rPr/>
      </w:pPr>
      <w:r>
        <w:rPr/>
        <w:footnoteRef/>
        <w:tab/>
        <w:t>Für detaillierte Textkritik vgl. den Exkurs im Kommentar.</w:t>
      </w:r>
    </w:p>
  </w:footnote>
  <w:footnote w:id="1919">
    <w:p>
      <w:pPr>
        <w:pStyle w:val="Funote"/>
        <w:rPr/>
      </w:pPr>
      <w:r>
        <w:rPr/>
        <w:footnoteRef/>
        <w:tab/>
        <w:t>macht ihr … dass ihr losbindet Prädikatives Partizip, als Nebensatz aufgelöst. EÜ: »Wie kommt ihr dazu, den Esel loszubinden?«</w:t>
      </w:r>
    </w:p>
  </w:footnote>
  <w:footnote w:id="1920">
    <w:p>
      <w:pPr>
        <w:pStyle w:val="Funote"/>
        <w:rPr/>
      </w:pPr>
      <w:r>
        <w:rPr>
          <w:i/>
        </w:rPr>
        <w:footnoteRef/>
        <w:tab/>
        <w:t>die sie … abgeschnitten (abgerissen) hatten</w:t>
      </w:r>
      <w:r>
        <w:rPr/>
        <w:t xml:space="preserve"> Temp. </w:t>
      </w:r>
      <w:hyperlink r:id="rId338">
        <w:r>
          <w:rPr>
            <w:rStyle w:val="Internetlink"/>
          </w:rPr>
          <w:t>Ptz. conj.</w:t>
        </w:r>
      </w:hyperlink>
      <w:r>
        <w:rPr/>
        <w:t>, als Relativsatz aufgelöst.</w:t>
      </w:r>
    </w:p>
  </w:footnote>
  <w:footnote w:id="1921">
    <w:p>
      <w:pPr>
        <w:pStyle w:val="Funote"/>
        <w:rPr/>
      </w:pPr>
      <w:r>
        <w:rPr>
          <w:i/>
        </w:rPr>
        <w:footnoteRef/>
        <w:tab/>
        <w:t>riefen immer wieder</w:t>
      </w:r>
      <w:r>
        <w:rPr/>
        <w:t xml:space="preserve"> Das </w:t>
      </w:r>
      <w:hyperlink r:id="rId339">
        <w:r>
          <w:rPr>
            <w:rStyle w:val="Internetlink"/>
          </w:rPr>
          <w:t>Impferfekt</w:t>
        </w:r>
      </w:hyperlink>
      <w:r>
        <w:rPr/>
        <w:t xml:space="preserve"> drückt das, dass die Menschen diese Worte in Sprechchören riefen (oder sangen).</w:t>
      </w:r>
    </w:p>
  </w:footnote>
  <w:footnote w:id="1922">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3">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4">
    <w:p>
      <w:pPr>
        <w:pStyle w:val="Funote"/>
        <w:rPr/>
      </w:pPr>
      <w:r>
        <w:rPr>
          <w:i/>
        </w:rPr>
        <w:footnoteRef/>
        <w:tab/>
        <w:t>wurde er hungrig</w:t>
      </w:r>
      <w:r>
        <w:rPr/>
        <w:t xml:space="preserve"> Als </w:t>
      </w:r>
      <w:hyperlink r:id="rId340">
        <w:r>
          <w:rPr>
            <w:rStyle w:val="Internetlink"/>
          </w:rPr>
          <w:t>ingressives Aorist</w:t>
        </w:r>
      </w:hyperlink>
      <w:r>
        <w:rPr/>
        <w:t xml:space="preserve"> übersetzt.</w:t>
      </w:r>
    </w:p>
  </w:footnote>
  <w:footnote w:id="1925">
    <w:p>
      <w:pPr>
        <w:pStyle w:val="Funote"/>
        <w:rPr/>
      </w:pPr>
      <w:r>
        <w:rPr>
          <w:i/>
        </w:rPr>
        <w:footnoteRef/>
        <w:tab/>
        <w:t>als er … sah</w:t>
      </w:r>
      <w:r>
        <w:rPr/>
        <w:t xml:space="preserve"> </w:t>
      </w:r>
      <w:hyperlink r:id="rId341">
        <w:r>
          <w:rPr>
            <w:rStyle w:val="Internetlink"/>
          </w:rPr>
          <w:t>Ptz. conj.</w:t>
        </w:r>
      </w:hyperlink>
      <w:r>
        <w:rPr/>
        <w:t>, als temporaler Nebensatz aufgelöst.</w:t>
      </w:r>
    </w:p>
  </w:footnote>
  <w:footnote w:id="1926">
    <w:p>
      <w:pPr>
        <w:pStyle w:val="Funote"/>
        <w:rPr/>
      </w:pPr>
      <w:r>
        <w:rPr>
          <w:i/>
        </w:rPr>
        <w:footnoteRef/>
        <w:tab/>
        <w:t>Da (Und) sagte er zu [dem Baum]</w:t>
      </w:r>
      <w:r>
        <w:rPr/>
        <w:t xml:space="preserve"> W. „antwortete und sagte er zu ihm“. Jesus „antwortet“ (d.h. reagiert) hier auf die Situation (DBL Greek 646; vgl. V. 51).</w:t>
      </w:r>
    </w:p>
  </w:footnote>
  <w:footnote w:id="1927">
    <w:p>
      <w:pPr>
        <w:pStyle w:val="Funote"/>
        <w:rPr/>
      </w:pPr>
      <w:r>
        <w:rPr>
          <w:i/>
        </w:rPr>
        <w:footnoteRef/>
        <w:tab/>
        <w:t>Nie mehr, bis in Ewigkeit soll jemand</w:t>
      </w:r>
      <w:r>
        <w:rPr/>
        <w:t xml:space="preserve"> W. „nie mehr, bis in Ewigkeit, soll niemand“. Die doppelte Verneinung verstärkt den Schwur.</w:t>
      </w:r>
    </w:p>
  </w:footnote>
  <w:footnote w:id="1928">
    <w:p>
      <w:pPr>
        <w:pStyle w:val="Funote"/>
        <w:rPr/>
      </w:pPr>
      <w:r>
        <w:rPr>
          <w:i/>
        </w:rPr>
        <w:footnoteRef/>
        <w:tab/>
        <w:t>Als (Und) ... {und}</w:t>
      </w:r>
      <w:r>
        <w:rPr/>
        <w:t xml:space="preserve"> W. „und … und“, hier als temporale Verknüpfung wiedergegeben.</w:t>
      </w:r>
    </w:p>
  </w:footnote>
  <w:footnote w:id="1929">
    <w:p>
      <w:pPr>
        <w:pStyle w:val="Funote"/>
        <w:rPr/>
      </w:pPr>
      <w:r>
        <w:rPr>
          <w:i/>
        </w:rPr>
        <w:footnoteRef/>
        <w:tab/>
        <w:t>ging er … und</w:t>
      </w:r>
      <w:r>
        <w:rPr/>
        <w:t xml:space="preserve"> </w:t>
      </w:r>
      <w:hyperlink r:id="rId342">
        <w:r>
          <w:rPr>
            <w:rStyle w:val="Internetlink"/>
          </w:rPr>
          <w:t>Ptz. conj.</w:t>
        </w:r>
      </w:hyperlink>
      <w:r>
        <w:rPr/>
        <w:t>, beigeordnet aufgelöst.</w:t>
      </w:r>
    </w:p>
  </w:footnote>
  <w:footnote w:id="1930">
    <w:p>
      <w:pPr>
        <w:pStyle w:val="Funote"/>
        <w:rPr/>
      </w:pPr>
      <w:r>
        <w:rPr/>
        <w:footnoteRef/>
        <w:tab/>
        <w:t>Taubenverkäufer W. „die Tauben verkauften“ (Subst. Ptz.). Jesus ist gegen Kommerz im Tempelhof, der der Anbetung Gottes vorbehalten sein sollte (vgl. V. 17) (Evans 2001, 169-171).</w:t>
      </w:r>
    </w:p>
  </w:footnote>
  <w:footnote w:id="1931">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2">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3">
    <w:p>
      <w:pPr>
        <w:pStyle w:val="Funote"/>
        <w:rPr/>
      </w:pPr>
      <w:r>
        <w:rPr/>
        <w:footnoteRef/>
        <w:tab/>
        <w:t>Haus des Gebets [für] alle Völker (Dat. commodi). Der griechische Text folgt in diesem Zitat wörtlich der LXX und dem hebräischen.</w:t>
      </w:r>
    </w:p>
  </w:footnote>
  <w:footnote w:id="1934">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5">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6">
    <w:p>
      <w:pPr>
        <w:pStyle w:val="Funote"/>
        <w:rPr/>
      </w:pPr>
      <w:r>
        <w:rPr>
          <w:i/>
        </w:rPr>
        <w:footnoteRef/>
        <w:tab/>
        <w:t>suchten ... fürchteten … war fasziniert</w:t>
      </w:r>
      <w:r>
        <w:rPr/>
        <w:t xml:space="preserve"> Die letzten beiden </w:t>
      </w:r>
      <w:hyperlink r:id="rId343">
        <w:r>
          <w:rPr>
            <w:rStyle w:val="Internetlink"/>
          </w:rPr>
          <w:t>Imperfekte</w:t>
        </w:r>
      </w:hyperlink>
      <w:r>
        <w:rPr/>
        <w:t xml:space="preserve"> erklären die Situation. Der erste könnte auch linear „suchten weiter/ständig [nach einer Möglichkeit]“ oder inchoativ „begannen (erneut) zu suchen“ wiedergegeben werden. Zu </w:t>
      </w:r>
      <w:r>
        <w:rPr>
          <w:i/>
        </w:rPr>
        <w:t>suchten</w:t>
      </w:r>
      <w:r>
        <w:rPr/>
        <w:t xml:space="preserve"> oder inchoativ „begannen zu suchen“ vgl. die parallelen Formulierungen in Mk 12,12; 14,1 und 11.</w:t>
      </w:r>
    </w:p>
  </w:footnote>
  <w:footnote w:id="1937">
    <w:p>
      <w:pPr>
        <w:pStyle w:val="Funote"/>
        <w:rPr/>
      </w:pPr>
      <w:r>
        <w:rPr>
          <w:i/>
        </w:rPr>
        <w:footnoteRef/>
        <w:tab/>
        <w:t>das ganze Volk</w:t>
      </w:r>
      <w:r>
        <w:rPr/>
        <w:t xml:space="preserve"> D.h. nicht das Volk der Juden, sondern das Straßenvolk (gr. </w:t>
      </w:r>
      <w:r>
        <w:rPr>
          <w:lang w:val="el-GR"/>
        </w:rPr>
        <w:t>ὄχλος</w:t>
      </w:r>
      <w:r>
        <w:rPr/>
        <w:t xml:space="preserve"> „Menschenmenge“), die Leute, die Jesus zuhörten.</w:t>
      </w:r>
    </w:p>
  </w:footnote>
  <w:footnote w:id="1938">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9">
    <w:p>
      <w:pPr>
        <w:pStyle w:val="Funote"/>
        <w:rPr/>
      </w:pPr>
      <w:r>
        <w:rPr>
          <w:i/>
        </w:rPr>
        <w:footnoteRef/>
        <w:tab/>
        <w:t>als sie … vorbeikamen</w:t>
      </w:r>
      <w:r>
        <w:rPr/>
        <w:t xml:space="preserve"> </w:t>
      </w:r>
      <w:hyperlink r:id="rId344">
        <w:r>
          <w:rPr>
            <w:rStyle w:val="Internetlink"/>
          </w:rPr>
          <w:t>Ptz. conj.</w:t>
        </w:r>
      </w:hyperlink>
      <w:r>
        <w:rPr/>
        <w:t>, temporal aufgelöst.</w:t>
      </w:r>
    </w:p>
  </w:footnote>
  <w:footnote w:id="1940">
    <w:p>
      <w:pPr>
        <w:pStyle w:val="Funote"/>
        <w:rPr/>
      </w:pPr>
      <w:r>
        <w:rPr/>
        <w:footnoteRef/>
        <w:tab/>
        <w:t>Glauben (Vertrauen) [an] Gott Objektiver Genitiv (Evans 2001, 186).</w:t>
      </w:r>
    </w:p>
  </w:footnote>
  <w:footnote w:id="1941">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2">
    <w:p>
      <w:pPr>
        <w:pStyle w:val="Funote"/>
        <w:rPr/>
      </w:pPr>
      <w:r>
        <w:rPr/>
        <w:footnoteRef/>
        <w:tab/>
        <w:t>für den wird es eintreffen W. »dem wird es zuteil werden« (vgl. NSS)</w:t>
      </w:r>
    </w:p>
  </w:footnote>
  <w:footnote w:id="1943">
    <w:p>
      <w:pPr>
        <w:pStyle w:val="Funote"/>
        <w:rPr/>
      </w:pPr>
      <w:r>
        <w:rPr>
          <w:i/>
        </w:rPr>
        <w:footnoteRef/>
        <w:tab/>
        <w:t>Glaubt [bei] allen [Dingen], für die...</w:t>
      </w:r>
      <w:r>
        <w:rPr/>
        <w:t xml:space="preserve"> W. „Alle [Dinge], für die ihr betet und bittet: glaubt, dass ihr...“</w:t>
      </w:r>
    </w:p>
  </w:footnote>
  <w:footnote w:id="1944">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5">
    <w:p>
      <w:pPr>
        <w:pStyle w:val="Funote"/>
        <w:rPr/>
      </w:pPr>
      <w:r>
        <w:rPr/>
        <w:footnoteRef/>
        <w:tab/>
        <w:t>dann werden sie {für euch} eintreffen W. »dann wird es euch zuteil werden« (vgl. NSS)</w:t>
      </w:r>
    </w:p>
  </w:footnote>
  <w:footnote w:id="1946">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7">
    <w:p>
      <w:pPr>
        <w:pStyle w:val="Funote"/>
        <w:rPr/>
      </w:pPr>
      <w:r>
        <w:rPr/>
        <w:footnoteRef/>
        <w:tab/>
        <w:t>Textkritik: In einigen der besten Zeugen fehlt V. 26.</w:t>
      </w:r>
    </w:p>
  </w:footnote>
  <w:footnote w:id="1948">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9">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50">
    <w:p>
      <w:pPr>
        <w:pStyle w:val="Funote"/>
        <w:rPr/>
      </w:pPr>
      <w:r>
        <w:rPr/>
        <w:footnoteRef/>
        <w:tab/>
        <w:t>{und} Antwortet mir Oder »Wenn ihr mir antwortet...« Der Imperativ steht hier wie in einem semitischen Bedingungssatz für die Bedingung (Evans 2001, 204). GNB: »Die beantwortet mir, dann...«</w:t>
      </w:r>
    </w:p>
  </w:footnote>
  <w:footnote w:id="1951">
    <w:p>
      <w:pPr>
        <w:pStyle w:val="Funote"/>
        <w:rPr/>
      </w:pPr>
      <w:r>
        <w:rPr>
          <w:i/>
        </w:rPr>
        <w:footnoteRef/>
        <w:tab/>
        <w:t>{und sagten}</w:t>
      </w:r>
      <w:r>
        <w:rPr/>
        <w:t xml:space="preserve"> Das </w:t>
      </w:r>
      <w:hyperlink r:id="rId345">
        <w:r>
          <w:rPr>
            <w:rStyle w:val="Internetlink"/>
          </w:rPr>
          <w:t>pleonatische Partizip</w:t>
        </w:r>
      </w:hyperlink>
      <w:r>
        <w:rPr/>
        <w:t xml:space="preserve"> leitet die zitierte Rede ein, ist im Deutschen aber unnötig.</w:t>
      </w:r>
    </w:p>
  </w:footnote>
  <w:footnote w:id="1952">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3">
    <w:p>
      <w:pPr>
        <w:pStyle w:val="Funote"/>
        <w:rPr/>
      </w:pPr>
      <w:r>
        <w:rPr/>
        <w:footnoteRef/>
        <w:tab/>
        <w:t>[Status: Zuverlässig]</w:t>
      </w:r>
    </w:p>
  </w:footnote>
  <w:footnote w:id="1954">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5">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6">
    <w:p>
      <w:pPr>
        <w:pStyle w:val="Funote"/>
        <w:rPr/>
      </w:pPr>
      <w:r>
        <w:rPr>
          <w:i/>
        </w:rPr>
        <w:footnoteRef/>
        <w:tab/>
        <w:t>Mauer</w:t>
      </w:r>
      <w:r>
        <w:rPr/>
        <w:t xml:space="preserve">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w:t>
      </w:r>
      <w:hyperlink r:id="rId346">
        <w:r>
          <w:rPr>
            <w:rStyle w:val="Internetlink"/>
          </w:rPr>
          <w:t>Dalman 1935</w:t>
        </w:r>
      </w:hyperlink>
      <w:r>
        <w:rPr/>
        <w:t>, 316, 309, 334f.).</w:t>
      </w:r>
    </w:p>
  </w:footnote>
  <w:footnote w:id="1957">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8">
    <w:p>
      <w:pPr>
        <w:pStyle w:val="Funote"/>
        <w:rPr/>
      </w:pPr>
      <w:r>
        <w:rPr>
          <w:i/>
        </w:rPr>
        <w:footnoteRef/>
        <w:tab/>
        <w:t>Wachtturm</w:t>
      </w:r>
      <w:r>
        <w:rPr/>
        <w:t xml:space="preserve"> und Schutzmauer waren nötig, um die reifenden Trauben vor Eindringlingen zu schützen. Der Turm konnte eine erhöhte Aussichtsplattform, ein einfaches Häuschen oder, recht häufig, ein gemauerter Steinturm sein, der dazu diente, den gesamten Weinberg zu überblicken (</w:t>
      </w:r>
      <w:hyperlink r:id="rId347">
        <w:r>
          <w:rPr>
            <w:rStyle w:val="Internetlink"/>
          </w:rPr>
          <w:t>Dalman 1935</w:t>
        </w:r>
      </w:hyperlink>
      <w:r>
        <w:rPr/>
        <w:t>,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9">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60">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1">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i/>
        </w:rPr>
        <w:footnoteRef/>
        <w:tab/>
        <w:t>verprügelten sie ... brachten sie um</w:t>
      </w:r>
      <w:r>
        <w:rPr/>
        <w:t xml:space="preserve"> Modales </w:t>
      </w:r>
      <w:hyperlink r:id="rId348">
        <w:r>
          <w:rPr>
            <w:rStyle w:val="Internetlink"/>
          </w:rPr>
          <w:t>Ptz. conj.</w:t>
        </w:r>
      </w:hyperlink>
      <w:r>
        <w:rPr/>
        <w:t xml:space="preserve"> (2x), hier als Indikative aufgelöst. </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Word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i/>
        </w:rPr>
        <w:footnoteRef/>
        <w:tab/>
        <w:t>weil er glaubte (dachte, sich sagte)</w:t>
      </w:r>
      <w:r>
        <w:rPr/>
        <w:t xml:space="preserve"> Kausales (oder modales) </w:t>
      </w:r>
      <w:hyperlink r:id="rId349">
        <w:r>
          <w:rPr>
            <w:rStyle w:val="Internetlink"/>
          </w:rPr>
          <w:t>Ptz. conj.</w:t>
        </w:r>
      </w:hyperlink>
      <w:r>
        <w:rPr/>
        <w:t>, als Nebensatz aufgelöst.</w:t>
      </w:r>
    </w:p>
  </w:footnote>
  <w:footnote w:id="1966">
    <w:p>
      <w:pPr>
        <w:pStyle w:val="Funote"/>
        <w:rPr/>
      </w:pPr>
      <w:r>
        <w:rPr>
          <w:i/>
        </w:rPr>
        <w:footnoteRef/>
        <w:tab/>
        <w:t>uns gehören</w:t>
      </w:r>
      <w:r>
        <w:rPr/>
        <w:t xml:space="preserve"> W. „unser sein“. </w:t>
      </w:r>
    </w:p>
  </w:footnote>
  <w:footnote w:id="1967">
    <w:p>
      <w:pPr>
        <w:pStyle w:val="Funote"/>
        <w:rPr/>
      </w:pPr>
      <w:r>
        <w:rPr>
          <w:i/>
        </w:rPr>
        <w:footnoteRef/>
        <w:tab/>
        <w:t>sie packten ihn und</w:t>
      </w:r>
      <w:r>
        <w:rPr/>
        <w:t xml:space="preserve"> Modales </w:t>
      </w:r>
      <w:hyperlink r:id="rId350">
        <w:r>
          <w:rPr>
            <w:rStyle w:val="Internetlink"/>
          </w:rPr>
          <w:t>Ptz. conj.</w:t>
        </w:r>
      </w:hyperlink>
      <w:r>
        <w:rPr/>
        <w:t>,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i/>
        </w:rPr>
        <w:footnoteRef/>
        <w:tab/>
        <w:t xml:space="preserve">[Der] Stein, … , </w:t>
      </w:r>
      <w:r>
        <w:rPr>
          <w:i/>
          <w:u w:val="single"/>
        </w:rPr>
        <w:t>der</w:t>
      </w:r>
      <w:r>
        <w:rPr>
          <w:i/>
        </w:rPr>
        <w:t xml:space="preserve"> ist zum Eckstein geworden</w:t>
      </w:r>
      <w:r>
        <w:rPr/>
        <w:t xml:space="preserve">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[Status: Zuverlässig]</w:t>
      </w:r>
    </w:p>
  </w:footnote>
  <w:footnote w:id="1977">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1978">
    <w:p>
      <w:pPr>
        <w:pStyle w:val="Funote"/>
        <w:rPr/>
      </w:pPr>
      <w:r>
        <w:rPr>
          <w:i/>
        </w:rPr>
        <w:footnoteRef/>
        <w:tab/>
        <w:t>als er hinausging</w:t>
      </w:r>
      <w:r>
        <w:rPr/>
        <w:t xml:space="preserve"> - Da das Präsens </w:t>
      </w:r>
      <w:r>
        <w:rPr>
          <w:lang w:val="el-GR"/>
        </w:rPr>
        <w:t>λέγει</w:t>
      </w:r>
      <w:r>
        <w:rPr/>
        <w:t xml:space="preserve"> </w:t>
      </w:r>
      <w:r>
        <w:rPr>
          <w:i/>
        </w:rPr>
        <w:t>er sagt(e)</w:t>
      </w:r>
      <w:r>
        <w:rPr/>
        <w:t xml:space="preserve">, zu dem der temporale Genitivus absolutus </w:t>
      </w:r>
      <w:r>
        <w:rPr>
          <w:lang w:val="el-GR"/>
        </w:rPr>
        <w:t>ἐκπορευομένου</w:t>
      </w:r>
      <w:r>
        <w:rPr/>
        <w:t xml:space="preserve"> </w:t>
      </w:r>
      <w:r>
        <w:rPr>
          <w:i/>
        </w:rPr>
        <w:t>als er hinausgeht/hinausging</w:t>
      </w:r>
      <w:r>
        <w:rPr/>
        <w:t xml:space="preserve"> in gleichzeitiger Relation steht, </w:t>
      </w:r>
      <w:r>
        <w:rPr>
          <w:i/>
        </w:rPr>
        <w:t>historisches</w:t>
      </w:r>
      <w:r>
        <w:rPr/>
        <w:t xml:space="preserve"> Präsens ist (s. nächste Fußnote), ist die präsentische Wiedergabe überwörtlich und sollte vermieden werden.</w:t>
      </w:r>
    </w:p>
  </w:footnote>
  <w:footnote w:id="1979">
    <w:p>
      <w:pPr>
        <w:pStyle w:val="Funote"/>
        <w:rPr/>
      </w:pPr>
      <w:r>
        <w:rPr/>
        <w:footnoteRef/>
        <w:tab/>
        <w:t>sagte - Historisches Präsens, vgl. Kmiecik 1997, S. 36; Mateos 1987, S. 81</w:t>
      </w:r>
    </w:p>
  </w:footnote>
  <w:footnote w:id="1980">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1981">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1982">
    <w:p>
      <w:pPr>
        <w:pStyle w:val="Funote"/>
        <w:rPr/>
      </w:pPr>
      <w:r>
        <w:rPr/>
        <w:footnoteRef/>
        <w:tab/>
        <w:t xml:space="preserve">Der Tempel war Teil einer größeren Tempelanlage (für ein Modell vgl. z.B. </w:t>
      </w:r>
      <w:hyperlink r:id="rId351">
        <w:r>
          <w:rPr>
            <w:rStyle w:val="Internetlink"/>
          </w:rPr>
          <w:t>Reidinger 2004, S. 13</w:t>
        </w:r>
      </w:hyperlink>
      <w:r>
        <w:rPr/>
        <w:t>; daher Plural.</w:t>
      </w:r>
    </w:p>
  </w:footnote>
  <w:footnote w:id="1983">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1984">
    <w:p>
      <w:pPr>
        <w:pStyle w:val="Funote"/>
        <w:rPr/>
      </w:pPr>
      <w:r>
        <w:rPr>
          <w:lang w:val="el-GR"/>
        </w:rPr>
        <w:footnoteRef/>
        <w:tab/>
        <w:t>οὐ μὴ</w:t>
      </w:r>
      <w:r>
        <w:rPr/>
        <w:t xml:space="preserve"> </w:t>
      </w:r>
      <w:r>
        <w:rPr>
          <w:i/>
        </w:rPr>
        <w:t>(sicher) nicht</w:t>
      </w:r>
      <w:r>
        <w:rPr/>
        <w:t xml:space="preserve"> ist eine besonders starke Verneinung, sie dient hier aber nur der Intensivierung, um Jesu Äußerung sprachlich zu markieren als (</w:t>
      </w:r>
      <w:r>
        <w:rPr>
          <w:i/>
        </w:rPr>
        <w:t>sichere</w:t>
      </w:r>
      <w:r>
        <w:rPr/>
        <w:t>) Prophezeiung. Das Deutsche verwendet hierfür andere Konstruktionen.</w:t>
      </w:r>
    </w:p>
  </w:footnote>
  <w:footnote w:id="1985">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1986">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1987">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1988">
    <w:p>
      <w:pPr>
        <w:pStyle w:val="Funote"/>
        <w:rPr/>
      </w:pPr>
      <w:r>
        <w:rPr/>
        <w:footnoteRef/>
        <w:tab/>
        <w:t xml:space="preserve">Die Redeeinleitung </w:t>
      </w:r>
      <w:r>
        <w:rPr>
          <w:lang w:val="el-GR"/>
        </w:rPr>
        <w:t>Εἰπὸν ἡμῖν</w:t>
      </w:r>
      <w:r>
        <w:rPr/>
        <w:t xml:space="preserve"> </w:t>
      </w:r>
      <w:r>
        <w:rPr>
          <w:i/>
        </w:rPr>
        <w:t>sage uns</w:t>
      </w:r>
      <w:r>
        <w:rPr/>
        <w:t xml:space="preserve"> dient im NT häufiger nur als Bitte um eine Antwort (z.B. </w:t>
      </w:r>
      <w:r>
        <w:fldChar w:fldCharType="begin"/>
      </w:r>
      <w:r>
        <w:instrText> HYPERLINK "file:///wiki/Matthäus_22" \l "s17"</w:instrText>
      </w:r>
      <w:r>
        <w:fldChar w:fldCharType="separate"/>
      </w:r>
      <w:r>
        <w:rPr>
          <w:rStyle w:val="Internetlink"/>
        </w:rPr>
        <w:t>Mt 22,17</w:t>
      </w:r>
      <w:r>
        <w:fldChar w:fldCharType="end"/>
      </w:r>
      <w:r>
        <w:rPr/>
        <w:t xml:space="preserve">; </w:t>
      </w:r>
      <w:r>
        <w:fldChar w:fldCharType="begin"/>
      </w:r>
      <w:r>
        <w:instrText> HYPERLINK "file:///wiki/Lukas_20" \l "s20"</w:instrText>
      </w:r>
      <w:r>
        <w:fldChar w:fldCharType="separate"/>
      </w:r>
      <w:r>
        <w:rPr>
          <w:rStyle w:val="Internetlink"/>
        </w:rPr>
        <w:t>Lk 20,2</w:t>
      </w:r>
      <w:r>
        <w:fldChar w:fldCharType="end"/>
      </w:r>
      <w:r>
        <w:rPr/>
        <w:t xml:space="preserve">; </w:t>
      </w:r>
      <w:hyperlink r:id="rId352">
        <w:r>
          <w:rPr>
            <w:rStyle w:val="Internetlink"/>
          </w:rPr>
          <w:t>22,67</w:t>
        </w:r>
      </w:hyperlink>
      <w:r>
        <w:rPr/>
        <w:t xml:space="preserve"> u.ö.); im Deutschen entspricht dem funktional eher eine uneingeleitete Frage.</w:t>
      </w:r>
    </w:p>
  </w:footnote>
  <w:footnote w:id="1989">
    <w:p>
      <w:pPr>
        <w:pStyle w:val="Funote"/>
        <w:rPr/>
      </w:pPr>
      <w:r>
        <w:rPr/>
        <w:footnoteRef/>
        <w:tab/>
        <w:t xml:space="preserve">Die Referenz der Demonstrativpronomen </w:t>
      </w:r>
      <w:r>
        <w:rPr>
          <w:lang w:val="el-GR"/>
        </w:rPr>
        <w:t>ταῦτα</w:t>
      </w:r>
      <w:r>
        <w:rPr/>
        <w:t xml:space="preserve"> </w:t>
      </w:r>
      <w:r>
        <w:rPr>
          <w:i/>
        </w:rPr>
        <w:t>dies</w:t>
      </w:r>
      <w:r>
        <w:rPr/>
        <w:t xml:space="preserve"> und </w:t>
      </w:r>
      <w:r>
        <w:rPr>
          <w:lang w:val="el-GR"/>
        </w:rPr>
        <w:t>ταῦτα πάντα</w:t>
      </w:r>
      <w:r>
        <w:rPr/>
        <w:t xml:space="preserve"> </w:t>
      </w:r>
      <w:r>
        <w:rPr>
          <w:i/>
        </w:rPr>
        <w:t>all dies</w:t>
      </w:r>
      <w:r>
        <w:rPr/>
        <w:t xml:space="preserve"> sind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1990">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1991">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1992">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1993">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1994">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1995">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1996">
    <w:p>
      <w:pPr>
        <w:pStyle w:val="Funote"/>
        <w:rPr/>
      </w:pPr>
      <w:r>
        <w:rPr/>
        <w:footnoteRef/>
        <w:tab/>
        <w:t xml:space="preserve">Meist: </w:t>
      </w:r>
      <w:r>
        <w:rPr>
          <w:i/>
        </w:rPr>
        <w:t>denn erheben wird sich...</w:t>
      </w:r>
      <w:r>
        <w:rPr/>
        <w:t xml:space="preserve">; besser aber: </w:t>
      </w:r>
      <w:r>
        <w:rPr>
          <w:i/>
        </w:rPr>
        <w:t>es wird sich nämlich erheben...</w:t>
      </w:r>
      <w:r>
        <w:rPr/>
        <w:t xml:space="preserve"> - das </w:t>
      </w:r>
      <w:r>
        <w:rPr>
          <w:lang w:val="el-GR"/>
        </w:rPr>
        <w:t>γὰρ</w:t>
      </w:r>
      <w:r>
        <w:rPr/>
        <w:t xml:space="preserve"> </w:t>
      </w:r>
      <w:r>
        <w:rPr>
          <w:i/>
        </w:rPr>
        <w:t>denn</w:t>
      </w:r>
      <w:r>
        <w:rPr/>
        <w:t xml:space="preserve"> ist besser als explikatives </w:t>
      </w:r>
      <w:r>
        <w:rPr>
          <w:lang w:val="el-GR"/>
        </w:rPr>
        <w:t>γὰρ</w:t>
      </w:r>
      <w:r>
        <w:rPr/>
        <w:t xml:space="preserve"> </w:t>
      </w:r>
      <w:r>
        <w:rPr>
          <w:i/>
        </w:rPr>
        <w:t>nämlich</w:t>
      </w:r>
      <w:r>
        <w:rPr/>
        <w:t xml:space="preserve"> zu interpretieren; vgl. </w:t>
      </w:r>
      <w:r>
        <w:fldChar w:fldCharType="begin"/>
      </w:r>
      <w:r>
        <w:instrText> HYPERLINK "http://www.offene-bibel.de/wiki/index.php5?title=Kommentar:Markus_13" \l "Vv._5-8:_Abschnitt_1"</w:instrText>
      </w:r>
      <w:r>
        <w:fldChar w:fldCharType="separate"/>
      </w:r>
      <w:r>
        <w:rPr>
          <w:rStyle w:val="Internetlink"/>
        </w:rPr>
        <w:t>Kommentar</w:t>
      </w:r>
      <w:r>
        <w:fldChar w:fldCharType="end"/>
      </w:r>
      <w:r>
        <w:rPr/>
        <w:t>.</w:t>
      </w:r>
    </w:p>
  </w:footnote>
  <w:footnote w:id="1997">
    <w:p>
      <w:pPr>
        <w:pStyle w:val="Funote"/>
        <w:rPr/>
      </w:pPr>
      <w:r>
        <w:rPr>
          <w:i/>
        </w:rPr>
        <w:footnoteRef/>
        <w:tab/>
        <w:t>Anfang der Wehen</w:t>
      </w:r>
      <w:r>
        <w:rPr/>
        <w:t xml:space="preserve"> - apokalyptische Formel, die v.a. in der rabbinischen Literatur gebräuchlich ist. Die </w:t>
      </w:r>
      <w:r>
        <w:rPr>
          <w:i/>
        </w:rPr>
        <w:t>(Geburts-)wehen</w:t>
      </w:r>
      <w:r>
        <w:rPr/>
        <w:t xml:space="preserve"> stehen für die Zeit der Not, die vor dem Einbruch der schönen Endzeit ertragen werden müssen (so fast alle Kommentare)</w:t>
      </w:r>
    </w:p>
  </w:footnote>
  <w:footnote w:id="1998">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1999">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00">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01">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02">
    <w:p>
      <w:pPr>
        <w:pStyle w:val="Funote"/>
        <w:rPr/>
      </w:pPr>
      <w:r>
        <w:rPr/>
        <w:footnoteRef/>
        <w:tab/>
        <w:t xml:space="preserve">Die Bedeutung dieses Nachsatzes ist etwas unklar. (1) ist nicht klar, ob </w:t>
      </w:r>
      <w:r>
        <w:rPr>
          <w:lang w:val="el-GR"/>
        </w:rPr>
        <w:t>αὐτοῖς</w:t>
      </w:r>
      <w:r>
        <w:rPr/>
        <w:t xml:space="preserve"> </w:t>
      </w:r>
      <w:r>
        <w:rPr>
          <w:i/>
        </w:rPr>
        <w:t>ihnen</w:t>
      </w:r>
      <w:r>
        <w:rPr/>
        <w:t xml:space="preserve"> sich auf die Statthalter und Könige bezieht oder auf die Auslieferer, Prügler, Statthalter und Könige, (2) lässt sich aus V. 9 allein nicht erkennen, worauf das </w:t>
      </w:r>
      <w:r>
        <w:rPr>
          <w:i/>
        </w:rPr>
        <w:t>ihnen zum Zeugnis</w:t>
      </w:r>
      <w:r>
        <w:rPr/>
        <w:t xml:space="preserve"> sich eigentlich beziehen soll. Die Mehrheitsmeinung bei der Interpretation von </w:t>
      </w:r>
      <w:r>
        <w:rPr>
          <w:i/>
        </w:rPr>
        <w:t>V. 10</w:t>
      </w:r>
      <w:r>
        <w:rPr/>
        <w:t xml:space="preserve"> ist aber, dass er parenthetisch das </w:t>
      </w:r>
      <w:r>
        <w:rPr>
          <w:i/>
        </w:rPr>
        <w:t>ihnen zum Zeugnis</w:t>
      </w:r>
      <w:r>
        <w:rPr/>
        <w:t xml:space="preserve"> auslegt und </w:t>
      </w:r>
      <w:r>
        <w:rPr>
          <w:i/>
        </w:rPr>
        <w:t>Zeugnis</w:t>
      </w:r>
      <w:r>
        <w:rPr/>
        <w:t xml:space="preserve">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03">
    <w:p>
      <w:pPr>
        <w:pStyle w:val="Funote"/>
        <w:rPr/>
      </w:pPr>
      <w:r>
        <w:rPr/>
        <w:footnoteRef/>
        <w:tab/>
        <w:t xml:space="preserve">Kausales </w:t>
      </w:r>
      <w:r>
        <w:rPr>
          <w:lang w:val="el-GR"/>
        </w:rPr>
        <w:t>καὶ</w:t>
      </w:r>
      <w:r>
        <w:rPr/>
        <w:t>; vgl. Reiser 1983, S. 127; Wilckens.</w:t>
      </w:r>
    </w:p>
  </w:footnote>
  <w:footnote w:id="2004">
    <w:p>
      <w:pPr>
        <w:pStyle w:val="Funote"/>
        <w:rPr/>
      </w:pPr>
      <w:r>
        <w:rPr/>
        <w:footnoteRef/>
        <w:tab/>
        <w:t>recht sicher i.S.v. „vor dem Ende“</w:t>
      </w:r>
    </w:p>
  </w:footnote>
  <w:footnote w:id="2005">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06">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07">
    <w:p>
      <w:pPr>
        <w:pStyle w:val="Funote"/>
        <w:rPr/>
      </w:pPr>
      <w:r>
        <w:rPr/>
        <w:footnoteRef/>
        <w:tab/>
        <w:t>theologischer Passiv, eigentlich also besser »das, was Gott euch in jener Stunde eingeben wird«. Vgl. Grosvenor/Zerwick 1993, S. 151</w:t>
      </w:r>
    </w:p>
  </w:footnote>
  <w:footnote w:id="2008">
    <w:p>
      <w:pPr>
        <w:pStyle w:val="Funote"/>
        <w:rPr/>
      </w:pPr>
      <w:r>
        <w:rPr/>
        <w:footnoteRef/>
        <w:tab/>
        <w:t xml:space="preserve">wie im Hebräischen dient auch in der Koine </w:t>
      </w:r>
      <w:r>
        <w:rPr>
          <w:i/>
        </w:rPr>
        <w:t>Name</w:t>
      </w:r>
      <w:r>
        <w:rPr/>
        <w:t xml:space="preserve"> als Wechselbegriff für den Namensträger, also </w:t>
      </w:r>
      <w:r>
        <w:rPr>
          <w:i/>
        </w:rPr>
        <w:t>wegen meinem Namen</w:t>
      </w:r>
      <w:r>
        <w:rPr/>
        <w:t xml:space="preserve"> = </w:t>
      </w:r>
      <w:r>
        <w:rPr>
          <w:i/>
        </w:rPr>
        <w:t>wegen mir</w:t>
      </w:r>
      <w:r>
        <w:rPr/>
        <w:t>.</w:t>
      </w:r>
    </w:p>
  </w:footnote>
  <w:footnote w:id="2009">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10">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11">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12">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13">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14">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15">
    <w:p>
      <w:pPr>
        <w:pStyle w:val="Funote"/>
        <w:rPr/>
      </w:pPr>
      <w:r>
        <w:rPr>
          <w:i/>
        </w:rPr>
        <w:footnoteRef/>
        <w:tab/>
        <w:t>nicht hinabsteigen, um hineinzugehen</w:t>
      </w:r>
      <w:r>
        <w:rPr/>
        <w:t xml:space="preserve"> vs. </w:t>
      </w:r>
      <w:r>
        <w:rPr>
          <w:i/>
        </w:rPr>
        <w:t>weder herabsteigen noch hineingehen</w:t>
      </w:r>
      <w:r>
        <w:rPr/>
        <w:t xml:space="preserve">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2016">
    <w:p>
      <w:pPr>
        <w:pStyle w:val="Funote"/>
        <w:rPr/>
      </w:pPr>
      <w:r>
        <w:rPr/>
        <w:footnoteRef/>
        <w:tab/>
        <w:t xml:space="preserve">W. </w:t>
      </w:r>
      <w:r>
        <w:rPr>
          <w:i/>
        </w:rPr>
        <w:t>soll sich nicht zurückwenden nach zurück</w:t>
      </w:r>
      <w:r>
        <w:rPr/>
        <w:t>; gemeint ist sicher „nach Hause zurückkehren“.</w:t>
      </w:r>
    </w:p>
  </w:footnote>
  <w:footnote w:id="2017">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18">
    <w:p>
      <w:pPr>
        <w:pStyle w:val="Funote"/>
        <w:rPr/>
      </w:pPr>
      <w:r>
        <w:rPr>
          <w:i/>
        </w:rPr>
        <w:footnoteRef/>
        <w:tab/>
        <w:t>in jenen Tagen</w:t>
      </w:r>
      <w:r>
        <w:rPr/>
        <w:t xml:space="preserve">: Stereotype alttestamentliche Phrase, die häufig in eschatologischen Kontexten verwendet wird; s. z.B. </w:t>
      </w:r>
      <w:r>
        <w:fldChar w:fldCharType="begin"/>
      </w:r>
      <w:r>
        <w:instrText> HYPERLINK "file:///wiki/Jeremia_3" \l "s16"</w:instrText>
      </w:r>
      <w:r>
        <w:fldChar w:fldCharType="separate"/>
      </w:r>
      <w:r>
        <w:rPr>
          <w:rStyle w:val="Internetlink"/>
        </w:rPr>
        <w:t>Jer 3,16</w:t>
      </w:r>
      <w:r>
        <w:fldChar w:fldCharType="end"/>
      </w:r>
      <w:r>
        <w:rPr/>
        <w:t>.</w:t>
      </w:r>
      <w:r>
        <w:fldChar w:fldCharType="begin"/>
      </w:r>
      <w:r>
        <w:instrText> HYPERLINK "file:///wiki/Jeremia_3" \l "s18"</w:instrText>
      </w:r>
      <w:r>
        <w:fldChar w:fldCharType="separate"/>
      </w:r>
      <w:r>
        <w:rPr>
          <w:rStyle w:val="Internetlink"/>
        </w:rPr>
        <w:t>18</w:t>
      </w:r>
      <w:r>
        <w:fldChar w:fldCharType="end"/>
      </w:r>
      <w:r>
        <w:rPr/>
        <w:t xml:space="preserve">; </w:t>
      </w:r>
      <w:hyperlink r:id="rId353">
        <w:r>
          <w:rPr>
            <w:rStyle w:val="Internetlink"/>
          </w:rPr>
          <w:t>31,29</w:t>
        </w:r>
      </w:hyperlink>
      <w:r>
        <w:rPr/>
        <w:t xml:space="preserve">; </w:t>
      </w:r>
      <w:hyperlink r:id="rId354">
        <w:r>
          <w:rPr>
            <w:rStyle w:val="Internetlink"/>
          </w:rPr>
          <w:t>33,15f</w:t>
        </w:r>
      </w:hyperlink>
      <w:r>
        <w:rPr/>
        <w:t xml:space="preserve">.; </w:t>
      </w:r>
      <w:hyperlink r:id="rId355">
        <w:r>
          <w:rPr>
            <w:rStyle w:val="Internetlink"/>
          </w:rPr>
          <w:t>Joel 3,1</w:t>
        </w:r>
      </w:hyperlink>
      <w:r>
        <w:rPr/>
        <w:t xml:space="preserve">; </w:t>
      </w:r>
      <w:hyperlink r:id="rId356">
        <w:r>
          <w:rPr>
            <w:rStyle w:val="Internetlink"/>
          </w:rPr>
          <w:t>Sach 8,23</w:t>
        </w:r>
      </w:hyperlink>
      <w:r>
        <w:rPr/>
        <w:t xml:space="preserve"> u.ö.</w:t>
      </w:r>
    </w:p>
  </w:footnote>
  <w:footnote w:id="2019">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w:t>
      </w:r>
      <w:r>
        <w:rPr>
          <w:i/>
        </w:rPr>
        <w:t>Darum betet, dass es nicht winters geschieht!</w:t>
      </w:r>
    </w:p>
  </w:footnote>
  <w:footnote w:id="2020">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21">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22">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23">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24">
    <w:p>
      <w:pPr>
        <w:pStyle w:val="Funote"/>
        <w:rPr/>
      </w:pPr>
      <w:r>
        <w:rPr/>
        <w:footnoteRef/>
        <w:tab/>
        <w:t>Bailey 2009, S. 360 hat die beiden Ausrufe sehr gut analysiert: Fokalisiert ist in beiden jeweils der Lokativ (</w:t>
      </w:r>
      <w:r>
        <w:rPr>
          <w:i/>
        </w:rPr>
        <w:t>Hier</w:t>
      </w:r>
      <w:r>
        <w:rPr/>
        <w:t xml:space="preserve"> + </w:t>
      </w:r>
      <w:r>
        <w:rPr>
          <w:i/>
        </w:rPr>
        <w:t>dort</w:t>
      </w:r>
      <w:r>
        <w:rPr/>
        <w:t xml:space="preserve">);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w:t>
      </w:r>
      <w:r>
        <w:rPr>
          <w:i/>
        </w:rPr>
        <w:t>Hier!</w:t>
      </w:r>
      <w:r>
        <w:rPr/>
        <w:t xml:space="preserve"> und </w:t>
      </w:r>
      <w:r>
        <w:rPr>
          <w:i/>
        </w:rPr>
        <w:t>dort!</w:t>
      </w:r>
      <w:r>
        <w:rPr/>
        <w:t xml:space="preserve"> auf die verschiedenen Pseudo-christusse verweisen soll; also sinngemäß eher „Dieser hier ist der Christus!“ und „jener dort ist der Christus!“. Ich denke aber, dass das auch bei wörtlicher Übersetzung klar herauskommt.</w:t>
      </w:r>
    </w:p>
  </w:footnote>
  <w:footnote w:id="2025">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26">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27">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28">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t>
      </w:r>
      <w:r>
        <w:rPr>
          <w:i/>
        </w:rPr>
        <w:t>wenn möglich</w:t>
      </w:r>
      <w:r>
        <w:rPr/>
        <w:t xml:space="preserve"> in V. 22 könnte theoretisch auch bedeuten </w:t>
      </w:r>
      <w:r>
        <w:rPr>
          <w:i/>
        </w:rPr>
        <w:t>wo/bei wem immer das möglich ist (=ihnen das gelingt)</w:t>
      </w:r>
      <w:r>
        <w:rPr/>
        <w:t xml:space="preserve">;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w:t>
      </w:r>
      <w:r>
        <w:rPr>
          <w:i/>
        </w:rPr>
        <w:t>und so all jene</w:t>
      </w:r>
      <w:r>
        <w:rPr/>
        <w:t xml:space="preserve"> Erwählten verführen, </w:t>
      </w:r>
      <w:r>
        <w:rPr>
          <w:i/>
        </w:rPr>
        <w:t>bei denen</w:t>
      </w:r>
      <w:r>
        <w:rPr/>
        <w:t xml:space="preserve"> es ihnen gelingt. </w:t>
      </w:r>
      <w:r>
        <w:rPr>
          <w:i/>
        </w:rPr>
        <w:t>Ihr dagegen</w:t>
      </w:r>
      <w:r>
        <w:rPr/>
        <w:t xml:space="preserve">: Achtet auf euch selbst...“ - So aber m.W. niemand und es ist diese Verwendung von </w:t>
      </w:r>
      <w:r>
        <w:rPr>
          <w:lang w:val="el-GR"/>
        </w:rPr>
        <w:t>εἰ</w:t>
      </w:r>
      <w:r>
        <w:rPr/>
        <w:t xml:space="preserve"> auch eher selten, daher können wir getrost bei der angegebenen Standard-übersetzung bleiben.</w:t>
      </w:r>
    </w:p>
  </w:footnote>
  <w:footnote w:id="2029">
    <w:p>
      <w:pPr>
        <w:pStyle w:val="Funote"/>
        <w:rPr/>
      </w:pPr>
      <w:r>
        <w:rPr/>
        <w:footnoteRef/>
        <w:tab/>
        <w:t xml:space="preserve">Die Bedeutung von </w:t>
      </w:r>
      <w:r>
        <w:rPr>
          <w:lang w:val="el-GR"/>
        </w:rPr>
        <w:t>πάντα</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w:t>
      </w:r>
    </w:p>
  </w:footnote>
  <w:footnote w:id="2030">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w:t>
      </w:r>
      <w:hyperlink r:id="rId357">
        <w:r>
          <w:rPr>
            <w:rStyle w:val="Internetlink"/>
          </w:rPr>
          <w:t>CH 8,1</w:t>
        </w:r>
      </w:hyperlink>
      <w:r>
        <w:rPr/>
        <w:t xml:space="preserve">); heute stellen sie in der Engellehre sozusagen „ganz offiziell“ einen der Neun Englischen Chöre: die </w:t>
      </w:r>
      <w:r>
        <w:rPr>
          <w:i/>
        </w:rPr>
        <w:t>virtutes</w:t>
      </w:r>
      <w:r>
        <w:rPr/>
        <w:t xml:space="preserve">, die dafür verantwortlich sind, in Gottes Auftrag Wunder zu wirken. Vermutlich stammt das Bild noch aus der Apokalypse-Schilderung in </w:t>
      </w:r>
      <w:hyperlink r:id="rId358">
        <w:r>
          <w:rPr>
            <w:rStyle w:val="Internetlink"/>
          </w:rPr>
          <w:t>Jes 34,4</w:t>
        </w:r>
      </w:hyperlink>
      <w:r>
        <w:rPr/>
        <w:t>.</w:t>
      </w:r>
    </w:p>
  </w:footnote>
  <w:footnote w:id="2031">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32">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33">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34">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35">
    <w:p>
      <w:pPr>
        <w:pStyle w:val="Funote"/>
        <w:rPr/>
      </w:pPr>
      <w:r>
        <w:rPr/>
        <w:footnoteRef/>
        <w:tab/>
        <w:t>zur Bedeutung »Himmelsrichtungen« vgl. EWNT I, S. 231</w:t>
      </w:r>
    </w:p>
  </w:footnote>
  <w:footnote w:id="2036">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37">
    <w:p>
      <w:pPr>
        <w:pStyle w:val="Funote"/>
        <w:rPr/>
      </w:pPr>
      <w:r>
        <w:rPr/>
        <w:footnoteRef/>
        <w:tab/>
        <w:t xml:space="preserve">zu </w:t>
      </w:r>
      <w:r>
        <w:rPr>
          <w:lang w:val="el-GR"/>
        </w:rPr>
        <w:t>Ἀπὸ</w:t>
      </w:r>
      <w:r>
        <w:rPr/>
        <w:t xml:space="preserve"> i.S.v. </w:t>
      </w:r>
      <w:r>
        <w:rPr>
          <w:i/>
        </w:rPr>
        <w:t>über</w:t>
      </w:r>
      <w:r>
        <w:rPr/>
        <w:t xml:space="preserve"> vgl. LSJ (Bed. A7)</w:t>
      </w:r>
    </w:p>
  </w:footnote>
  <w:footnote w:id="2038">
    <w:p>
      <w:pPr>
        <w:pStyle w:val="Funote"/>
        <w:rPr/>
      </w:pPr>
      <w:r>
        <w:rPr/>
        <w:footnoteRef/>
        <w:tab/>
        <w:t xml:space="preserve">zu </w:t>
      </w:r>
      <w:r>
        <w:rPr>
          <w:lang w:val="el-GR"/>
        </w:rPr>
        <w:t>ὅταν ἤδη</w:t>
      </w:r>
      <w:r>
        <w:rPr/>
        <w:t xml:space="preserve"> i.S.v. sobald vgl. ad loc. Grosvenor/Zerwick.</w:t>
      </w:r>
    </w:p>
  </w:footnote>
  <w:footnote w:id="2039">
    <w:p>
      <w:pPr>
        <w:pStyle w:val="Funote"/>
        <w:rPr/>
      </w:pPr>
      <w:r>
        <w:rPr/>
        <w:footnoteRef/>
        <w:tab/>
        <w:t xml:space="preserve">W. </w:t>
      </w:r>
      <w:r>
        <w:rPr>
          <w:i/>
        </w:rPr>
        <w:t>sein Zweig</w:t>
      </w:r>
      <w:r>
        <w:rPr/>
        <w:t>; kollektiver Singular</w:t>
      </w:r>
    </w:p>
  </w:footnote>
  <w:footnote w:id="2040">
    <w:p>
      <w:pPr>
        <w:pStyle w:val="Funote"/>
        <w:rPr/>
      </w:pPr>
      <w:r>
        <w:rPr/>
        <w:footnoteRef/>
        <w:tab/>
        <w:t>sicher i.S.v. Wenn der Saft in die Zweige steigt (so z.B. GN, NGÜ). Sehr schön BB: Wenn seine Zweige frisch austreiben und Blätter bekommen.</w:t>
      </w:r>
    </w:p>
  </w:footnote>
  <w:footnote w:id="2041">
    <w:p>
      <w:pPr>
        <w:pStyle w:val="Funote"/>
        <w:rPr/>
      </w:pPr>
      <w:r>
        <w:rPr/>
        <w:footnoteRef/>
        <w:tab/>
        <w:t xml:space="preserve">Zum Gleichnis vgl.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2042">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43">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44">
    <w:p>
      <w:pPr>
        <w:pStyle w:val="Funote"/>
        <w:rPr/>
      </w:pPr>
      <w:r>
        <w:rPr/>
        <w:footnoteRef/>
        <w:tab/>
        <w:t xml:space="preserve">Die Bedeutung von </w:t>
      </w:r>
      <w:r>
        <w:rPr>
          <w:lang w:val="el-GR"/>
        </w:rPr>
        <w:t>ταῦτα πάντα</w:t>
      </w:r>
      <w:r>
        <w:rPr/>
        <w:t xml:space="preserve"> </w:t>
      </w:r>
      <w:r>
        <w:rPr>
          <w:i/>
        </w:rPr>
        <w:t>dies alles</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2045">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46">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47">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48">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49">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50">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51">
    <w:p>
      <w:pPr>
        <w:pStyle w:val="Funote"/>
        <w:rPr/>
      </w:pPr>
      <w:r>
        <w:rPr/>
        <w:footnoteRef/>
        <w:tab/>
        <w:t xml:space="preserve">partikularisierendes </w:t>
      </w:r>
      <w:r>
        <w:rPr>
          <w:lang w:val="el-GR"/>
        </w:rPr>
        <w:t>καὶ</w:t>
      </w:r>
      <w:r>
        <w:rPr/>
        <w:t xml:space="preserve">: Der Torhüter ist bereits in </w:t>
      </w:r>
      <w:r>
        <w:rPr>
          <w:i/>
        </w:rPr>
        <w:t>seinen Knechten</w:t>
      </w:r>
      <w:r>
        <w:rPr/>
        <w:t xml:space="preserve"> inkludiert; nun wird noch einmal gesondert auf den Torhüter Bezug genommen</w:t>
      </w:r>
    </w:p>
  </w:footnote>
  <w:footnote w:id="2052">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53">
    <w:p>
      <w:pPr>
        <w:pStyle w:val="Funote"/>
        <w:rPr/>
      </w:pPr>
      <w:r>
        <w:rPr/>
        <w:footnoteRef/>
        <w:tab/>
        <w:t xml:space="preserve">Der Satz ist spannend, denn er steht sowohl auf der Bildseite als auch auf der Sachseite des Gleichnisses (-&gt;°Gleichnis°) und bezieht sich sowohl auf die </w:t>
      </w:r>
      <w:r>
        <w:rPr>
          <w:i/>
        </w:rPr>
        <w:t>Rückkehr</w:t>
      </w:r>
      <w:r>
        <w:rPr/>
        <w:t xml:space="preserve"> des Hausherrn als auch als die eschatologisch zu verstehende (vgl. </w:t>
      </w:r>
      <w:r>
        <w:fldChar w:fldCharType="begin"/>
      </w:r>
      <w:r>
        <w:instrText> HYPERLINK "http://www.offene-bibel.de/wiki/index.php5?title=Markus_13" \l "note_bg"</w:instrText>
      </w:r>
      <w:r>
        <w:fldChar w:fldCharType="separate"/>
      </w:r>
      <w:r>
        <w:rPr>
          <w:rStyle w:val="Internetlink"/>
        </w:rPr>
        <w:t>Fußnote bg</w:t>
      </w:r>
      <w:r>
        <w:fldChar w:fldCharType="end"/>
      </w:r>
      <w:r>
        <w:rPr/>
        <w:t xml:space="preserve">) </w:t>
      </w:r>
      <w:r>
        <w:rPr>
          <w:i/>
        </w:rPr>
        <w:t>Wiederkunft</w:t>
      </w:r>
      <w:r>
        <w:rPr/>
        <w:t xml:space="preserve"> des </w:t>
      </w:r>
      <w:r>
        <w:rPr>
          <w:i/>
        </w:rPr>
        <w:t>Herrn</w:t>
      </w:r>
      <w:r>
        <w:rPr/>
        <w:t>, also des Menschensohnes.</w:t>
      </w:r>
    </w:p>
  </w:footnote>
  <w:footnote w:id="2054">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55">
    <w:p>
      <w:pPr>
        <w:pStyle w:val="Funote"/>
        <w:rPr/>
      </w:pPr>
      <w:r>
        <w:rPr/>
        <w:footnoteRef/>
        <w:tab/>
        <w:t>sehr gut GN: »Was ich euch gesagt habe, gilt für alle«.</w:t>
      </w:r>
    </w:p>
  </w:footnote>
  <w:footnote w:id="2056">
    <w:p>
      <w:pPr>
        <w:pStyle w:val="Funote"/>
        <w:rPr/>
      </w:pPr>
      <w:r>
        <w:rPr/>
        <w:footnoteRef/>
        <w:tab/>
        <w:t>[Status: Zuverlässig]</w:t>
      </w:r>
    </w:p>
  </w:footnote>
  <w:footnote w:id="2057">
    <w:p>
      <w:pPr>
        <w:pStyle w:val="Funote"/>
        <w:rPr/>
      </w:pPr>
      <w:hyperlink r:id="rId359">
        <w:r>
          <w:rPr>
            <w:rStyle w:val="Internetlink"/>
          </w:rPr>
          <w:footnoteRef/>
          <w:tab/>
          <w:t>Gen. abs.</w:t>
        </w:r>
      </w:hyperlink>
      <w:r>
        <w:rPr/>
        <w:t xml:space="preserve">, temporal aufgelöst </w:t>
      </w:r>
    </w:p>
  </w:footnote>
  <w:footnote w:id="2058">
    <w:p>
      <w:pPr>
        <w:pStyle w:val="Funote"/>
        <w:rPr/>
      </w:pPr>
      <w:r>
        <w:rPr/>
        <w:footnoteRef/>
        <w:tab/>
        <w:t>Bezeichnung der Mutter nach dem Sohn: BDR § 162,3</w:t>
      </w:r>
    </w:p>
  </w:footnote>
  <w:footnote w:id="2059">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60">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61">
    <w:p>
      <w:pPr>
        <w:pStyle w:val="Funote"/>
        <w:rPr/>
      </w:pPr>
      <w:hyperlink r:id="rId360">
        <w:r>
          <w:rPr>
            <w:rStyle w:val="Internetlink"/>
          </w:rPr>
          <w:footnoteRef/>
          <w:tab/>
          <w:t>Gen. abs.</w:t>
        </w:r>
      </w:hyperlink>
      <w:r>
        <w:rPr/>
        <w:t xml:space="preserve">, temporal aufgelöst </w:t>
      </w:r>
    </w:p>
  </w:footnote>
  <w:footnote w:id="2062">
    <w:p>
      <w:pPr>
        <w:pStyle w:val="Funote"/>
        <w:rPr/>
      </w:pPr>
      <w:hyperlink r:id="rId361">
        <w:r>
          <w:rPr>
            <w:rStyle w:val="Internetlink"/>
          </w:rPr>
          <w:footnoteRef/>
          <w:tab/>
          <w:t>Ptz. coni.</w:t>
        </w:r>
      </w:hyperlink>
      <w:r>
        <w:rPr/>
        <w:t>, temporal aufgelöst</w:t>
      </w:r>
    </w:p>
  </w:footnote>
  <w:footnote w:id="2063">
    <w:p>
      <w:pPr>
        <w:pStyle w:val="Funote"/>
        <w:rPr/>
      </w:pPr>
      <w:hyperlink r:id="rId362">
        <w:r>
          <w:rPr>
            <w:rStyle w:val="Internetlink"/>
          </w:rPr>
          <w:footnoteRef/>
          <w:tab/>
          <w:t>Ptz. coni.</w:t>
        </w:r>
      </w:hyperlink>
      <w:r>
        <w:rPr/>
        <w:t>, temporal aufgelöst</w:t>
      </w:r>
    </w:p>
  </w:footnote>
  <w:footnote w:id="2064">
    <w:p>
      <w:pPr>
        <w:pStyle w:val="Funote"/>
        <w:rPr/>
      </w:pPr>
      <w:hyperlink r:id="rId363">
        <w:r>
          <w:rPr>
            <w:rStyle w:val="Internetlink"/>
          </w:rPr>
          <w:footnoteRef/>
          <w:tab/>
          <w:t>Historisches Präsens</w:t>
        </w:r>
      </w:hyperlink>
      <w:r>
        <w:rPr/>
        <w:t>.</w:t>
      </w:r>
    </w:p>
  </w:footnote>
  <w:footnote w:id="2065">
    <w:p>
      <w:pPr>
        <w:pStyle w:val="Funote"/>
        <w:rPr/>
      </w:pPr>
      <w:r>
        <w:rPr/>
        <w:footnoteRef/>
        <w:tab/>
        <w:t>Die rechte Seite war die glückverheißende Seite (Gnilka 1979, 341).</w:t>
      </w:r>
    </w:p>
  </w:footnote>
  <w:footnote w:id="2066">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67">
    <w:p>
      <w:pPr>
        <w:pStyle w:val="Funote"/>
        <w:rPr/>
      </w:pPr>
      <w:r>
        <w:rPr/>
        <w:footnoteRef/>
        <w:tab/>
        <w:t>Die Botschaft des Engels wird präsentisch eingeführt, um darauf hinzuweisen, dass sie das Zentrum dieser Perikope ist(Gnilka 1979, 340).</w:t>
      </w:r>
    </w:p>
  </w:footnote>
  <w:footnote w:id="2068">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069">
    <w:p>
      <w:pPr>
        <w:pStyle w:val="Funote"/>
        <w:rPr/>
      </w:pPr>
      <w:r>
        <w:rPr/>
        <w:footnoteRef/>
        <w:tab/>
        <w:t>Also Jesus.</w:t>
      </w:r>
    </w:p>
  </w:footnote>
  <w:footnote w:id="2070">
    <w:p>
      <w:pPr>
        <w:pStyle w:val="Funote"/>
        <w:rPr/>
      </w:pPr>
      <w:r>
        <w:rPr/>
        <w:footnoteRef/>
        <w:tab/>
        <w:t xml:space="preserve">Man kann das </w:t>
      </w:r>
      <w:r>
        <w:rPr>
          <w:lang w:val="el-GR"/>
        </w:rPr>
        <w:t>ὅτι</w:t>
      </w:r>
      <w:r>
        <w:rPr/>
        <w:t xml:space="preserve"> auch als </w:t>
      </w:r>
      <w:hyperlink r:id="rId364">
        <w:r>
          <w:rPr>
            <w:rStyle w:val="Internetlink"/>
          </w:rPr>
          <w:t>Ὅτι recitativum"&gt;</w:t>
        </w:r>
        <w:r>
          <w:rPr>
            <w:rStyle w:val="Internetlink"/>
            <w:lang w:val="el-GR"/>
          </w:rPr>
          <w:t>Ὅτι</w:t>
        </w:r>
        <w:r>
          <w:rPr>
            <w:rStyle w:val="Internetlink"/>
          </w:rPr>
          <w:t xml:space="preserve"> recitativum</w:t>
        </w:r>
      </w:hyperlink>
      <w:r>
        <w:rPr/>
        <w:t xml:space="preserve"> auffassen, das eine wörtliche Rede einleitet und dann nicht übersetzt wird: Er geht euch voran nach Galiläa</w:t>
      </w:r>
    </w:p>
  </w:footnote>
  <w:footnote w:id="2071">
    <w:p>
      <w:pPr>
        <w:pStyle w:val="Funote"/>
        <w:rPr/>
      </w:pPr>
      <w:hyperlink r:id="rId365">
        <w:r>
          <w:rPr>
            <w:rStyle w:val="Internetlink"/>
          </w:rPr>
          <w:footnoteRef/>
          <w:tab/>
          <w:t>Ptz. coni.</w:t>
        </w:r>
      </w:hyperlink>
      <w:r>
        <w:rPr/>
        <w:t>, beiordnend aufgelöst</w:t>
      </w:r>
    </w:p>
  </w:footnote>
  <w:footnote w:id="2072">
    <w:p>
      <w:pPr>
        <w:pStyle w:val="Funote"/>
        <w:rPr/>
      </w:pPr>
      <w:r>
        <w:rPr/>
        <w:footnoteRef/>
        <w:tab/>
        <w:t>Vgl. auch Markus 4,41; 5,15.33.42</w:t>
      </w:r>
    </w:p>
  </w:footnote>
  <w:footnote w:id="2073">
    <w:p>
      <w:pPr>
        <w:pStyle w:val="Funote"/>
        <w:rPr/>
      </w:pPr>
      <w:r>
        <w:rPr/>
        <w:footnoteRef/>
        <w:tab/>
        <w:t>oder: nämlich (dann am Schluss des Satzes: sie fürchteten sich nämlich)</w:t>
      </w:r>
    </w:p>
  </w:footnote>
  <w:footnote w:id="2074">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075">
    <w:p>
      <w:pPr>
        <w:pStyle w:val="Funote"/>
        <w:rPr/>
      </w:pPr>
      <w:r>
        <w:rPr/>
        <w:footnoteRef/>
        <w:tab/>
        <w:t>Partizip aufgelöst</w:t>
      </w:r>
    </w:p>
  </w:footnote>
  <w:footnote w:id="2076">
    <w:p>
      <w:pPr>
        <w:pStyle w:val="Funote"/>
        <w:rPr/>
      </w:pPr>
      <w:r>
        <w:rPr/>
        <w:footnoteRef/>
        <w:tab/>
        <w:t>Nach griechischer Tischsitte war es üblich, beim Essen zu liegen.</w:t>
      </w:r>
    </w:p>
  </w:footnote>
  <w:footnote w:id="2077">
    <w:p>
      <w:pPr>
        <w:pStyle w:val="Funote"/>
        <w:rPr/>
      </w:pPr>
      <w:hyperlink r:id="rId366">
        <w:r>
          <w:rPr>
            <w:rStyle w:val="Internetlink"/>
          </w:rPr>
          <w:footnoteRef/>
          <w:tab/>
          <w:t>Generisches Maskulinum</w:t>
        </w:r>
      </w:hyperlink>
    </w:p>
  </w:footnote>
  <w:footnote w:id="2078">
    <w:p>
      <w:pPr>
        <w:pStyle w:val="Funote"/>
        <w:rPr/>
      </w:pPr>
      <w:r>
        <w:rPr/>
        <w:footnoteRef/>
        <w:tab/>
        <w:t>Viele Handschriften haben zusätzlich die Worte „Und mit ihren Händen …“.</w:t>
      </w:r>
    </w:p>
  </w:footnote>
  <w:footnote w:id="2079">
    <w:p>
      <w:pPr>
        <w:pStyle w:val="Funote"/>
        <w:rPr/>
      </w:pPr>
      <w:r>
        <w:rPr/>
        <w:footnoteRef/>
        <w:tab/>
        <w:t>Absoluter Genitiv</w:t>
      </w:r>
    </w:p>
  </w:footnote>
  <w:footnote w:id="2080">
    <w:p>
      <w:pPr>
        <w:pStyle w:val="Funote"/>
        <w:rPr/>
      </w:pPr>
      <w:r>
        <w:rPr/>
        <w:footnoteRef/>
        <w:tab/>
        <w:t>[Status: Zuverlässig]</w:t>
      </w:r>
    </w:p>
  </w:footnote>
  <w:footnote w:id="2081">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082">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083">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084">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085">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086">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087">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088">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089">
    <w:p>
      <w:pPr>
        <w:pStyle w:val="Funote"/>
        <w:rPr/>
      </w:pPr>
      <w:r>
        <w:rPr>
          <w:lang w:val="el-GR"/>
        </w:rPr>
        <w:footnoteRef/>
        <w:tab/>
        <w:t>ἰδοὺ</w:t>
      </w:r>
      <w:r>
        <w:rPr/>
        <w:t xml:space="preserve"> i.d.R. (wie auch hier) nicht mehr als bloße Fokuspartikel.</w:t>
      </w:r>
    </w:p>
  </w:footnote>
  <w:footnote w:id="2090">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091">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092">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093">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094">
    <w:p>
      <w:pPr>
        <w:pStyle w:val="Funote"/>
        <w:rPr/>
      </w:pPr>
      <w:r>
        <w:rPr/>
        <w:footnoteRef/>
        <w:tab/>
        <w:t xml:space="preserve">S. zu </w:t>
      </w:r>
      <w:r>
        <w:rPr>
          <w:i/>
        </w:rPr>
        <w:t>{und}</w:t>
      </w:r>
      <w:r>
        <w:rPr/>
        <w:t xml:space="preserve"> in V. 49.</w:t>
      </w:r>
    </w:p>
  </w:footnote>
  <w:footnote w:id="2095">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096">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097">
    <w:p>
      <w:pPr>
        <w:pStyle w:val="Funote"/>
        <w:rPr/>
      </w:pPr>
      <w:r>
        <w:rPr/>
        <w:footnoteRef/>
        <w:tab/>
        <w:t>W.: »den ihn Fürchtenden«; Ptz. mit der Funktion des dativus commodi (daher: »für«) (vgl. Culy et al. 2010, S. 44; NSS).</w:t>
      </w:r>
    </w:p>
  </w:footnote>
  <w:footnote w:id="2098">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099">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00">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01">
    <w:p>
      <w:pPr>
        <w:pStyle w:val="Funote"/>
        <w:rPr/>
      </w:pPr>
      <w:r>
        <w:rPr/>
        <w:footnoteRef/>
        <w:tab/>
        <w:t>„</w:t>
      </w:r>
      <w:r>
        <w:rPr/>
        <w:t>zerstreuen“ ist im AT ein Ausdruck, der vor Allem verwendet wird, wenn davon die Rede ist, dass eine Armee vernichtend geschlagen wird (vgl. die Parallelstellen).</w:t>
      </w:r>
    </w:p>
  </w:footnote>
  <w:footnote w:id="2102">
    <w:p>
      <w:pPr>
        <w:pStyle w:val="Funote"/>
        <w:rPr/>
      </w:pPr>
      <w:r>
        <w:rPr/>
        <w:footnoteRef/>
        <w:tab/>
        <w:t xml:space="preserve">zur „Hochmut“ im alten Judentum vgl. das in </w:t>
      </w:r>
      <w:r>
        <w:fldChar w:fldCharType="begin"/>
      </w:r>
      <w:r>
        <w:instrText> HYPERLINK "http://archive.org/stream/KommentarZumNeuenTestamentAusTalmudUndMidraschVol.2/Kommentar.Strack.Billerbeck.v.2" \l "page/n115/mode/1up"</w:instrText>
      </w:r>
      <w:r>
        <w:fldChar w:fldCharType="separate"/>
      </w:r>
      <w:r>
        <w:rPr>
          <w:rStyle w:val="Internetlink"/>
        </w:rPr>
        <w:t>B/S 1924, S. 101ff.</w:t>
      </w:r>
      <w:r>
        <w:fldChar w:fldCharType="end"/>
      </w:r>
      <w:r>
        <w:rPr/>
        <w:t xml:space="preserve"> zusammengetragene Material</w:t>
      </w:r>
    </w:p>
  </w:footnote>
  <w:footnote w:id="2103">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04">
    <w:p>
      <w:pPr>
        <w:pStyle w:val="Funote"/>
        <w:rPr/>
      </w:pPr>
      <w:r>
        <w:rPr/>
        <w:footnoteRef/>
        <w:tab/>
        <w:t xml:space="preserve">Da Gott die </w:t>
      </w:r>
      <w:r>
        <w:rPr>
          <w:lang w:val="el-GR"/>
        </w:rPr>
        <w:t>δυνάστας</w:t>
      </w:r>
      <w:r>
        <w:rPr/>
        <w:t xml:space="preserve"> von ihren </w:t>
      </w:r>
      <w:r>
        <w:rPr>
          <w:i/>
        </w:rPr>
        <w:t>Thronen</w:t>
      </w:r>
      <w:r>
        <w:rPr/>
        <w:t xml:space="preserve"> stürzt, ist „Machthaber“ hier die kontextuell wesentlich passendere Übertragung.</w:t>
      </w:r>
    </w:p>
  </w:footnote>
  <w:footnote w:id="2105">
    <w:p>
      <w:pPr>
        <w:pStyle w:val="Funote"/>
        <w:rPr/>
      </w:pPr>
      <w:r>
        <w:rPr/>
        <w:footnoteRef/>
        <w:tab/>
        <w:t>V. 52b kontrastiert eine Aufwärtsbewegung mit der hieriegen Abwärtsbewegung des „Stürzens“; im Deutschen besser ausdrücklich zu machen, etwa als „herabstürzen“.</w:t>
      </w:r>
    </w:p>
  </w:footnote>
  <w:footnote w:id="2106">
    <w:p>
      <w:pPr>
        <w:pStyle w:val="Funote"/>
        <w:rPr/>
      </w:pPr>
      <w:r>
        <w:rPr/>
        <w:footnoteRef/>
        <w:tab/>
        <w:t>die Wortstellung VV 52-53 sollte beibehalten werden, da sie eine chiastische Doppelstruktur hat: V 52: V - S / V - S; V 53: S - V / S - V</w:t>
      </w:r>
    </w:p>
  </w:footnote>
  <w:footnote w:id="2107">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08">
    <w:p>
      <w:pPr>
        <w:pStyle w:val="Funote"/>
        <w:rPr/>
      </w:pPr>
      <w:r>
        <w:rPr/>
        <w:footnoteRef/>
        <w:tab/>
        <w:t>»Mit leeren Händen« nach BA 870</w:t>
      </w:r>
    </w:p>
  </w:footnote>
  <w:footnote w:id="2109">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10">
    <w:p>
      <w:pPr>
        <w:pStyle w:val="Funote"/>
        <w:spacing w:before="0" w:after="283"/>
        <w:rPr/>
      </w:pPr>
      <w:r>
        <w:rPr/>
        <w:footnoteRef/>
        <w:tab/>
        <w:t xml:space="preserve">Ein weiterer grammatischer Zweifelsfall: Es ist fraglich, wie V 54b, 55a und 55b sich zueinander verhalten. Vorgeschlagen wurde, </w:t>
      </w:r>
    </w:p>
    <w:p>
      <w:pPr>
        <w:pStyle w:val="Textkrper"/>
        <w:numPr>
          <w:ilvl w:val="0"/>
          <w:numId w:val="4"/>
        </w:numPr>
        <w:tabs>
          <w:tab w:val="left" w:pos="0" w:leader="none"/>
        </w:tabs>
        <w:spacing w:before="0" w:after="0"/>
        <w:ind w:left="707" w:hanging="283"/>
        <w:rPr/>
      </w:pPr>
      <w:r>
        <w:rPr/>
        <w:tab/>
        <w:t xml:space="preserve">dass V 55a Parenthese ist und V 55b nicht mehr, sondern dativus commodi zu 54b („Gott hat sich erbarmt - wie er ja auch schon unseren Vätern verheißen hat - zugunsten von Abraham und seinen Nachkommen.“) - dies ist heute die Mehrheitsmeinung, </w:t>
      </w:r>
    </w:p>
    <w:p>
      <w:pPr>
        <w:pStyle w:val="Textkrper"/>
        <w:numPr>
          <w:ilvl w:val="0"/>
          <w:numId w:val="4"/>
        </w:numPr>
        <w:tabs>
          <w:tab w:val="left" w:pos="0" w:leader="none"/>
        </w:tabs>
        <w:spacing w:before="0" w:after="0"/>
        <w:ind w:left="707" w:hanging="283"/>
        <w:rPr/>
      </w:pPr>
      <w:r>
        <w:rPr/>
        <w:tab/>
        <w:t xml:space="preserve">dass V 55a eine Art „Nachsatz“ ist, V 55b zu diesem Nachsatz gehört und „verheißen hat“ näher bestimmt („Gott hat sich erbarmt - wie er ja auch schon unseren Väter zugunsten von Abraham und seinen Nachfahren auf ewig verheißen hat“), oder </w:t>
      </w:r>
    </w:p>
    <w:p>
      <w:pPr>
        <w:pStyle w:val="Textkrper"/>
        <w:numPr>
          <w:ilvl w:val="0"/>
          <w:numId w:val="4"/>
        </w:numPr>
        <w:tabs>
          <w:tab w:val="left" w:pos="0" w:leader="none"/>
        </w:tabs>
        <w:ind w:left="707" w:hanging="283"/>
        <w:rPr/>
      </w:pPr>
      <w:r>
        <w:rPr/>
        <w:tab/>
        <w:t>dass V 55b inkongruente Apposition zu V 55a ist („Gott hat sich erbarmt - wie er unseren Vätern (d.h. Abraham und seinen Nachkommen auf ewig) verheißen hat“).</w:t>
      </w:r>
    </w:p>
    <w:p>
      <w:pPr>
        <w:pStyle w:val="Textkrper"/>
        <w:rPr/>
      </w:pPr>
      <w:r>
        <w:rPr/>
        <w:tab/>
        <w:t>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w:t>
      </w:r>
    </w:p>
    <w:p>
      <w:pPr>
        <w:pStyle w:val="Textkrper"/>
        <w:spacing w:before="0" w:after="283"/>
        <w:rPr/>
      </w:pPr>
      <w:r>
        <w:rPr/>
        <w:tab/>
        <w:t>Der Sinn ist dann, dass mit Mariens Empfängnis des Messias die Verheißung Gottes an Abraham in Erfüllung geht, dass er sich ihm und seinen Nachfahren gegenüber gemäß seiner Bundestreue verhalten würde.</w:t>
      </w:r>
    </w:p>
  </w:footnote>
  <w:footnote w:id="2111">
    <w:p>
      <w:pPr>
        <w:pStyle w:val="Funote"/>
        <w:rPr/>
      </w:pPr>
      <w:r>
        <w:rPr/>
        <w:footnoteRef/>
        <w:tab/>
        <w:t>wörtl.: „gesagt hat“. Semitismus; im Hebräischen steht auch für „verheißen“ das gewöhnliche „sagen“ (vgl. Grosvenor/Zerwick 1993, S. 174).</w:t>
      </w:r>
    </w:p>
  </w:footnote>
  <w:footnote w:id="2112">
    <w:p>
      <w:pPr>
        <w:pStyle w:val="Funote"/>
        <w:rPr/>
      </w:pPr>
      <w:r>
        <w:rPr/>
        <w:footnoteRef/>
        <w:tab/>
        <w:t>[Status: Zuverlässig]</w:t>
      </w:r>
    </w:p>
  </w:footnote>
  <w:footnote w:id="2113">
    <w:p>
      <w:pPr>
        <w:pStyle w:val="Funote"/>
        <w:rPr/>
      </w:pPr>
      <w:r>
        <w:rPr/>
        <w:footnoteRef/>
        <w:tab/>
        <w:t>Partizip Präsens Aktiv zu Nebensatz aufgelöst</w:t>
      </w:r>
    </w:p>
  </w:footnote>
  <w:footnote w:id="2114">
    <w:p>
      <w:pPr>
        <w:pStyle w:val="Funote"/>
        <w:rPr/>
      </w:pPr>
      <w:r>
        <w:rPr/>
        <w:footnoteRef/>
        <w:tab/>
        <w:t>Nach dem Tod von Herodes dem Großen (4 v. Chr.) wurde sein Herrschaftgebiet in mehrere Fürstentümer aufgeteilt, deren Herrscher Tetrarchen (Vierfürsten) genannt wurden.</w:t>
      </w:r>
    </w:p>
  </w:footnote>
  <w:footnote w:id="2115">
    <w:p>
      <w:pPr>
        <w:pStyle w:val="Funote"/>
        <w:rPr/>
      </w:pPr>
      <w:r>
        <w:rPr/>
        <w:footnoteRef/>
        <w:tab/>
        <w:t>Partizip Präsens Aktiv gleichgeordnet aufgelöst</w:t>
      </w:r>
    </w:p>
  </w:footnote>
  <w:footnote w:id="2116">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17">
    <w:p>
      <w:pPr>
        <w:pStyle w:val="Funote"/>
        <w:rPr/>
      </w:pPr>
      <w:r>
        <w:rPr/>
        <w:footnoteRef/>
        <w:tab/>
        <w:t>Partizip Präsens Medium/Passiv zu einem Nebensatz aufgelöst</w:t>
      </w:r>
    </w:p>
  </w:footnote>
  <w:footnote w:id="2118">
    <w:p>
      <w:pPr>
        <w:pStyle w:val="Funote"/>
        <w:rPr/>
      </w:pPr>
      <w:r>
        <w:rPr/>
        <w:footnoteRef/>
        <w:tab/>
        <w:t>Oder: Wer hat euch angewiesen, vor dem kommenden Zorn die Flucht zu ergreifen?</w:t>
      </w:r>
    </w:p>
  </w:footnote>
  <w:footnote w:id="2119">
    <w:p>
      <w:pPr>
        <w:pStyle w:val="Funote"/>
        <w:rPr/>
      </w:pPr>
      <w:r>
        <w:rPr/>
        <w:footnoteRef/>
        <w:tab/>
        <w:t>Oder: Tut also Werke, die der Reue angemessen sind / Bringt also Früchte, wie es der Umkehr entspricht</w:t>
      </w:r>
    </w:p>
  </w:footnote>
  <w:footnote w:id="2120">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21">
    <w:p>
      <w:pPr>
        <w:pStyle w:val="Funote"/>
        <w:rPr/>
      </w:pPr>
      <w:r>
        <w:rPr/>
        <w:footnoteRef/>
        <w:tab/>
        <w:t>Substantiviertes Adjektiv als Satzsubjekt zu einem Nebensatz aufgelöst.</w:t>
      </w:r>
    </w:p>
  </w:footnote>
  <w:footnote w:id="2122">
    <w:p>
      <w:pPr>
        <w:pStyle w:val="Funote"/>
        <w:rPr/>
      </w:pPr>
      <w:r>
        <w:rPr/>
        <w:footnoteRef/>
        <w:tab/>
        <w:t>Relativischer Anschluss</w:t>
      </w:r>
    </w:p>
  </w:footnote>
  <w:footnote w:id="2123">
    <w:p>
      <w:pPr>
        <w:pStyle w:val="Funote"/>
        <w:rPr/>
      </w:pPr>
      <w:r>
        <w:rPr/>
        <w:footnoteRef/>
        <w:tab/>
        <w:t>Das Lösen von Schuhriemen galt als Sklavenarbeit</w:t>
      </w:r>
    </w:p>
  </w:footnote>
  <w:footnote w:id="2124">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25">
    <w:p>
      <w:pPr>
        <w:pStyle w:val="Funote"/>
        <w:rPr/>
      </w:pPr>
      <w:r>
        <w:rPr/>
        <w:footnoteRef/>
        <w:tab/>
        <w:t>Genitivus absolutus mit Partizip Aorist Passiv und Partizip Präsens Medium/Passiv zu einem gemeinsamen Nebensatz aufgelöst</w:t>
      </w:r>
    </w:p>
  </w:footnote>
  <w:footnote w:id="2126">
    <w:p>
      <w:pPr>
        <w:pStyle w:val="Funote"/>
        <w:rPr/>
      </w:pPr>
      <w:r>
        <w:rPr/>
        <w:footnoteRef/>
        <w:tab/>
        <w:t>Partizip Präsens gleichgeordnet aufgelöst</w:t>
      </w:r>
    </w:p>
  </w:footnote>
  <w:footnote w:id="2127">
    <w:p>
      <w:pPr>
        <w:pStyle w:val="Funote"/>
        <w:rPr/>
      </w:pPr>
      <w:r>
        <w:rPr/>
        <w:footnoteRef/>
        <w:tab/>
        <w:t>[Status: Zuverlässig]</w:t>
      </w:r>
    </w:p>
  </w:footnote>
  <w:footnote w:id="2128">
    <w:p>
      <w:pPr>
        <w:pStyle w:val="Funote"/>
        <w:rPr/>
      </w:pPr>
      <w:r>
        <w:rPr/>
        <w:footnoteRef/>
        <w:tab/>
        <w:t>Lokativer Genitiv.</w:t>
      </w:r>
    </w:p>
  </w:footnote>
  <w:footnote w:id="2129">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30">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31">
    <w:p>
      <w:pPr>
        <w:pStyle w:val="Funote"/>
        <w:rPr/>
      </w:pPr>
      <w:r>
        <w:rPr>
          <w:i/>
        </w:rPr>
        <w:footnoteRef/>
        <w:tab/>
        <w:t>war</w:t>
      </w:r>
      <w:r>
        <w:rPr/>
        <w:t xml:space="preserve"> Gr. „ist“</w:t>
      </w:r>
    </w:p>
  </w:footnote>
  <w:footnote w:id="2132">
    <w:p>
      <w:pPr>
        <w:pStyle w:val="Funote"/>
        <w:rPr/>
      </w:pPr>
      <w:hyperlink r:id="rId367">
        <w:r>
          <w:rPr>
            <w:rStyle w:val="Internetlink"/>
          </w:rPr>
          <w:footnoteRef/>
          <w:tab/>
          <w:t>Historisches Präsens</w:t>
        </w:r>
      </w:hyperlink>
      <w:r>
        <w:rPr/>
        <w:t>.</w:t>
      </w:r>
    </w:p>
  </w:footnote>
  <w:footnote w:id="2133">
    <w:p>
      <w:pPr>
        <w:pStyle w:val="Funote"/>
        <w:rPr/>
      </w:pPr>
      <w:r>
        <w:rPr>
          <w:i/>
        </w:rPr>
        <w:footnoteRef/>
        <w:tab/>
        <w:t>Männer (Kinder)</w:t>
      </w:r>
      <w:r>
        <w:rPr/>
        <w:t xml:space="preserve">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 </w:t>
      </w:r>
    </w:p>
  </w:footnote>
  <w:footnote w:id="2134">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35">
    <w:p>
      <w:pPr>
        <w:pStyle w:val="Funote"/>
        <w:rPr/>
      </w:pPr>
      <w:r>
        <w:rPr>
          <w:i/>
        </w:rPr>
        <w:footnoteRef/>
        <w:tab/>
        <w:t>[doch einmal] auf der rechten Seite des Bootes</w:t>
      </w:r>
      <w:r>
        <w:rPr/>
        <w:t xml:space="preserve"> Die Einfügung </w:t>
      </w:r>
      <w:r>
        <w:rPr>
          <w:i/>
        </w:rPr>
        <w:t>[doch einmal]</w:t>
      </w:r>
      <w:r>
        <w:rPr/>
        <w:t xml:space="preserve"> soll wie die griechische Wortstellung die von Jesus vorgeschlagene Alternative hervorheben. </w:t>
      </w:r>
    </w:p>
  </w:footnote>
  <w:footnote w:id="2136">
    <w:p>
      <w:pPr>
        <w:pStyle w:val="Funote"/>
        <w:rPr/>
      </w:pPr>
      <w:r>
        <w:rPr>
          <w:i/>
        </w:rPr>
        <w:footnoteRef/>
        <w:tab/>
        <w:t>Als Simon Petrus hörte</w:t>
      </w:r>
      <w:r>
        <w:rPr/>
        <w:t xml:space="preserve"> Temporales, als Nebensatz aufgelöstes Ptc. coni. </w:t>
      </w:r>
    </w:p>
  </w:footnote>
  <w:footnote w:id="2137">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38">
    <w:p>
      <w:pPr>
        <w:pStyle w:val="Funote"/>
        <w:rPr/>
      </w:pPr>
      <w:r>
        <w:rPr/>
        <w:footnoteRef/>
        <w:tab/>
        <w:t>Die Juden nannten den See Tiberias das „Meer von Galiläa“.</w:t>
      </w:r>
    </w:p>
  </w:footnote>
  <w:footnote w:id="2139">
    <w:p>
      <w:pPr>
        <w:pStyle w:val="Funote"/>
        <w:rPr/>
      </w:pPr>
      <w:r>
        <w:rPr>
          <w:i/>
        </w:rPr>
        <w:footnoteRef/>
        <w:tab/>
        <w:t>[mit] dem Boot</w:t>
      </w:r>
      <w:r>
        <w:rPr/>
        <w:t xml:space="preserve"> Instrumentaler Dativ. </w:t>
      </w:r>
    </w:p>
  </w:footnote>
  <w:footnote w:id="2140">
    <w:p>
      <w:pPr>
        <w:pStyle w:val="Funote"/>
        <w:rPr/>
      </w:pPr>
      <w:r>
        <w:rPr>
          <w:i/>
        </w:rPr>
        <w:footnoteRef/>
        <w:tab/>
        <w:t>Dabei zogen sie das Netz [mit] den Fischen [hinter sich] her</w:t>
      </w:r>
      <w:r>
        <w:rPr/>
        <w:t xml:space="preserve"> Als modaler HS aufgelöstes Ptc. coni. </w:t>
      </w:r>
      <w:r>
        <w:rPr>
          <w:i/>
        </w:rPr>
        <w:t>Netz [mit] den Fischen</w:t>
      </w:r>
      <w:r>
        <w:rPr/>
        <w:t xml:space="preserve"> W. „Netz der Fische“, wohl appositiver Genitiv. </w:t>
      </w:r>
    </w:p>
  </w:footnote>
  <w:footnote w:id="2141">
    <w:p>
      <w:pPr>
        <w:pStyle w:val="Funote"/>
        <w:rPr/>
      </w:pPr>
      <w:r>
        <w:rPr>
          <w:i/>
        </w:rPr>
        <w:footnoteRef/>
        <w:tab/>
        <w:t>vorbereitetes</w:t>
      </w:r>
      <w:r>
        <w:rPr/>
        <w:t xml:space="preserve"> und </w:t>
      </w:r>
      <w:r>
        <w:rPr>
          <w:i/>
        </w:rPr>
        <w:t>daraufgelegt</w:t>
      </w:r>
      <w:r>
        <w:rPr/>
        <w:t xml:space="preserve"> AcP mit zwei Partizipien, im ersten Fall adjektivisch, im zweiten Fall als eigenständig angehängter NS übersetzt. Auch möglich wäre eine Konstruktion mit einem doppelten Infinitiv-NS. </w:t>
      </w:r>
    </w:p>
  </w:footnote>
  <w:footnote w:id="2142">
    <w:p>
      <w:pPr>
        <w:pStyle w:val="Funote"/>
        <w:rPr/>
      </w:pPr>
      <w:hyperlink r:id="rId368">
        <w:r>
          <w:rPr>
            <w:rStyle w:val="Internetlink"/>
          </w:rPr>
          <w:footnoteRef/>
          <w:tab/>
          <w:t>Genitivus partitivus</w:t>
        </w:r>
      </w:hyperlink>
      <w:r>
        <w:rPr/>
        <w:t>.</w:t>
      </w:r>
    </w:p>
  </w:footnote>
  <w:footnote w:id="2143">
    <w:p>
      <w:pPr>
        <w:pStyle w:val="Funote"/>
        <w:rPr/>
      </w:pPr>
      <w:r>
        <w:rPr>
          <w:i/>
        </w:rPr>
        <w:footnoteRef/>
        <w:tab/>
        <w:t>obwohl es so viele waren</w:t>
      </w:r>
      <w:r>
        <w:rPr/>
        <w:t xml:space="preserve"> Als konzessiver NS aufgelöster Gen. abs. </w:t>
      </w:r>
    </w:p>
  </w:footnote>
  <w:footnote w:id="2144">
    <w:p>
      <w:pPr>
        <w:pStyle w:val="Funote"/>
        <w:rPr/>
      </w:pPr>
      <w:r>
        <w:rPr>
          <w:i/>
        </w:rPr>
        <w:footnoteRef/>
        <w:tab/>
        <w:t>[von] den Jüngern</w:t>
      </w:r>
      <w:r>
        <w:rPr/>
        <w:t xml:space="preserve"> Genitivus partitivus. </w:t>
      </w:r>
    </w:p>
  </w:footnote>
  <w:footnote w:id="2145">
    <w:p>
      <w:pPr>
        <w:pStyle w:val="Funote"/>
        <w:rPr/>
      </w:pPr>
      <w:r>
        <w:rPr>
          <w:i/>
        </w:rPr>
        <w:footnoteRef/>
        <w:tab/>
        <w:t>kam und nahm</w:t>
      </w:r>
      <w:r>
        <w:rPr/>
        <w:t xml:space="preserve"> Jew. </w:t>
      </w:r>
      <w:hyperlink r:id="rId369">
        <w:r>
          <w:rPr>
            <w:rStyle w:val="Internetlink"/>
          </w:rPr>
          <w:t>Historisches Präsens</w:t>
        </w:r>
      </w:hyperlink>
      <w:r>
        <w:rPr/>
        <w:t>.</w:t>
      </w:r>
    </w:p>
  </w:footnote>
  <w:footnote w:id="2146">
    <w:p>
      <w:pPr>
        <w:pStyle w:val="Funote"/>
        <w:rPr/>
      </w:pPr>
      <w:r>
        <w:rPr/>
        <w:footnoteRef/>
        <w:tab/>
        <w:t>Part. Aor. pass.</w:t>
      </w:r>
    </w:p>
  </w:footnote>
  <w:footnote w:id="2147">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48">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49">
    <w:p>
      <w:pPr>
        <w:pStyle w:val="Funote"/>
        <w:rPr/>
      </w:pPr>
      <w:r>
        <w:rPr>
          <w:i/>
        </w:rPr>
        <w:footnoteRef/>
        <w:tab/>
        <w:t>nachdem er das gesagt hatte</w:t>
      </w:r>
      <w:r>
        <w:rPr/>
        <w:t xml:space="preserve"> Als temporaler Nebensatz aufgelöstes Ptc. coni.</w:t>
      </w:r>
    </w:p>
  </w:footnote>
  <w:footnote w:id="2150">
    <w:p>
      <w:pPr>
        <w:pStyle w:val="Funote"/>
        <w:rPr/>
      </w:pPr>
      <w:r>
        <w:rPr>
          <w:i/>
        </w:rPr>
        <w:footnoteRef/>
        <w:tab/>
        <w:t>Als er sich umwandte</w:t>
      </w:r>
      <w:r>
        <w:rPr/>
        <w:t xml:space="preserve"> Als temporaler Nebensatz aufgelöstes Ptc. coni.</w:t>
      </w:r>
    </w:p>
  </w:footnote>
  <w:footnote w:id="2151">
    <w:p>
      <w:pPr>
        <w:pStyle w:val="Funote"/>
        <w:rPr/>
      </w:pPr>
      <w:r>
        <w:rPr>
          <w:i/>
        </w:rPr>
        <w:footnoteRef/>
        <w:tab/>
        <w:t>sah, dass … folgte</w:t>
      </w:r>
      <w:r>
        <w:rPr/>
        <w:t xml:space="preserve"> AcP. </w:t>
      </w:r>
    </w:p>
  </w:footnote>
  <w:footnote w:id="2152">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53">
    <w:p>
      <w:pPr>
        <w:pStyle w:val="Funote"/>
        <w:rPr/>
      </w:pPr>
      <w:r>
        <w:rPr>
          <w:i/>
        </w:rPr>
        <w:footnoteRef/>
        <w:tab/>
        <w:t>will, dass er bleibt</w:t>
      </w:r>
      <w:r>
        <w:rPr/>
        <w:t xml:space="preserve"> AcI. </w:t>
      </w:r>
    </w:p>
  </w:footnote>
  <w:footnote w:id="2154">
    <w:p>
      <w:pPr>
        <w:pStyle w:val="Funote"/>
        <w:rPr/>
      </w:pPr>
      <w:r>
        <w:rPr/>
        <w:footnoteRef/>
        <w:tab/>
        <w:t>[Status: Zuverlässig]</w:t>
      </w:r>
    </w:p>
  </w:footnote>
  <w:footnote w:id="2155">
    <w:p>
      <w:pPr>
        <w:pStyle w:val="Funote"/>
        <w:rPr/>
      </w:pPr>
      <w:r>
        <w:rPr/>
        <w:footnoteRef/>
        <w:tab/>
        <w:t>Wörtlich mehr in Richtung „jedes Mal, wenn...“, „bei jeder Gelegenheit“, was hier aber missverständlich wäre.</w:t>
      </w:r>
    </w:p>
  </w:footnote>
  <w:footnote w:id="2156">
    <w:p>
      <w:pPr>
        <w:pStyle w:val="Funote"/>
        <w:rPr/>
      </w:pPr>
      <w:r>
        <w:rPr/>
        <w:footnoteRef/>
        <w:tab/>
        <w:t>Gen. epexegeticus.</w:t>
      </w:r>
    </w:p>
  </w:footnote>
  <w:footnote w:id="2157">
    <w:p>
      <w:pPr>
        <w:pStyle w:val="Funote"/>
        <w:rPr/>
      </w:pPr>
      <w:r>
        <w:rPr>
          <w:i/>
        </w:rPr>
        <w:footnoteRef/>
        <w:tab/>
        <w:t>der herumführt</w:t>
      </w:r>
      <w:r>
        <w:rPr/>
        <w:t xml:space="preserve"> und </w:t>
      </w:r>
      <w:r>
        <w:rPr>
          <w:i/>
        </w:rPr>
        <w:t>bekannt macht</w:t>
      </w:r>
      <w:r>
        <w:rPr/>
        <w:t xml:space="preserve"> Auflösung zweier attr. </w:t>
      </w:r>
      <w:hyperlink r:id="rId370">
        <w:r>
          <w:rPr>
            <w:rStyle w:val="Internetlink"/>
          </w:rPr>
          <w:t>Ptz</w:t>
        </w:r>
      </w:hyperlink>
      <w:r>
        <w:rPr/>
        <w:t>.</w:t>
      </w:r>
    </w:p>
  </w:footnote>
  <w:footnote w:id="2158">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159">
    <w:p>
      <w:pPr>
        <w:pStyle w:val="Funote"/>
        <w:rPr/>
      </w:pPr>
      <w:r>
        <w:rPr/>
        <w:footnoteRef/>
        <w:tab/>
        <w:t xml:space="preserve">Oder als </w:t>
      </w:r>
      <w:hyperlink r:id="rId371">
        <w:r>
          <w:rPr>
            <w:rStyle w:val="Internetlink"/>
          </w:rPr>
          <w:t>Dativus commodi</w:t>
        </w:r>
      </w:hyperlink>
      <w:r>
        <w:rPr/>
        <w:t>: „für Gott“; eine mögliche Übersetzung der Stelle wäre dann „wir leben für Gott als Wohlgeruch Christi“ (nach Mofatt bei Harris).</w:t>
      </w:r>
    </w:p>
  </w:footnote>
  <w:footnote w:id="2160">
    <w:p>
      <w:pPr>
        <w:pStyle w:val="Funote"/>
        <w:rPr/>
      </w:pPr>
      <w:r>
        <w:rPr/>
        <w:footnoteRef/>
        <w:tab/>
        <w:t xml:space="preserve">Auflösung zweier subst. </w:t>
      </w:r>
      <w:hyperlink r:id="rId372">
        <w:r>
          <w:rPr>
            <w:rStyle w:val="Internetlink"/>
          </w:rPr>
          <w:t>Ptz</w:t>
        </w:r>
      </w:hyperlink>
      <w:r>
        <w:rPr/>
        <w:t>.</w:t>
      </w:r>
    </w:p>
  </w:footnote>
  <w:footnote w:id="2161">
    <w:p>
      <w:pPr>
        <w:pStyle w:val="Funote"/>
        <w:rPr/>
      </w:pPr>
      <w:r>
        <w:rPr/>
        <w:footnoteRef/>
        <w:tab/>
        <w:t xml:space="preserve">Auflösung eines subst. </w:t>
      </w:r>
      <w:hyperlink r:id="rId373">
        <w:r>
          <w:rPr>
            <w:rStyle w:val="Internetlink"/>
          </w:rPr>
          <w:t>Ptz</w:t>
        </w:r>
      </w:hyperlink>
      <w:r>
        <w:rPr/>
        <w:t>. Alternativ nach Harris periphrastisches Verständnis durch direkten Bezug auf „wir sind“. Die Übersetzung lautete dann „wir machen nicht, wie so viele, Geschäfte...“</w:t>
      </w:r>
    </w:p>
  </w:footnote>
  <w:footnote w:id="2162">
    <w:p>
      <w:pPr>
        <w:pStyle w:val="Funote"/>
        <w:rPr/>
      </w:pPr>
      <w:r>
        <w:rPr/>
        <w:footnoteRef/>
        <w:tab/>
        <w:t>D.h. wohl „von Gott [Beauftragte]“</w:t>
      </w:r>
    </w:p>
  </w:footnote>
  <w:footnote w:id="2163">
    <w:p>
      <w:pPr>
        <w:pStyle w:val="Funote"/>
        <w:rPr/>
      </w:pPr>
      <w:r>
        <w:rPr/>
        <w:footnoteRef/>
        <w:tab/>
        <w:t>D.h. wohl „[in der Verantwortung] vor Gott“</w:t>
      </w:r>
    </w:p>
  </w:footnote>
  <w:footnote w:id="2164">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165">
    <w:p>
      <w:pPr>
        <w:pStyle w:val="Funote"/>
        <w:rPr/>
      </w:pPr>
      <w:r>
        <w:rPr/>
        <w:footnoteRef/>
        <w:tab/>
        <w:t>[Status: Zuverlässig]</w:t>
      </w:r>
    </w:p>
  </w:footnote>
  <w:footnote w:id="2166">
    <w:p>
      <w:pPr>
        <w:pStyle w:val="Funote"/>
        <w:rPr/>
      </w:pPr>
      <w:r>
        <w:rPr/>
        <w:footnoteRef/>
        <w:tab/>
        <w:t xml:space="preserve">Timotheus war ein enger Mitarbeiter des Apostels Paulus, der auch in </w:t>
      </w:r>
      <w:hyperlink r:id="rId374">
        <w:r>
          <w:rPr>
            <w:rStyle w:val="Internetlink"/>
          </w:rPr>
          <w:t>2Kor 1,1</w:t>
        </w:r>
      </w:hyperlink>
      <w:r>
        <w:rPr/>
        <w:t xml:space="preserve">; </w:t>
      </w:r>
      <w:r>
        <w:fldChar w:fldCharType="begin"/>
      </w:r>
      <w:r>
        <w:instrText> HYPERLINK "file:///wiki/Philipper_1" \l "s1"</w:instrText>
      </w:r>
      <w:r>
        <w:fldChar w:fldCharType="separate"/>
      </w:r>
      <w:r>
        <w:rPr>
          <w:rStyle w:val="Internetlink"/>
        </w:rPr>
        <w:t>Phil 1,1</w:t>
      </w:r>
      <w:r>
        <w:fldChar w:fldCharType="end"/>
      </w:r>
      <w:r>
        <w:rPr/>
        <w:t xml:space="preserve">; </w:t>
      </w:r>
      <w:r>
        <w:fldChar w:fldCharType="begin"/>
      </w:r>
      <w:r>
        <w:instrText> HYPERLINK "file:///wiki/Philemon" \l "s1"</w:instrText>
      </w:r>
      <w:r>
        <w:fldChar w:fldCharType="separate"/>
      </w:r>
      <w:r>
        <w:rPr>
          <w:rStyle w:val="Internetlink"/>
        </w:rPr>
        <w:t>Phlm 1</w:t>
      </w:r>
      <w:r>
        <w:fldChar w:fldCharType="end"/>
      </w:r>
      <w:r>
        <w:rPr/>
        <w:t xml:space="preserve"> als Mitverfasser erwähnt wird; zusammen mit Silvanus auch in </w:t>
      </w:r>
      <w:hyperlink r:id="rId375">
        <w:r>
          <w:rPr>
            <w:rStyle w:val="Internetlink"/>
          </w:rPr>
          <w:t>1Thess 1,1</w:t>
        </w:r>
      </w:hyperlink>
      <w:r>
        <w:rPr/>
        <w:t xml:space="preserve">; </w:t>
      </w:r>
      <w:hyperlink r:id="rId376">
        <w:r>
          <w:rPr>
            <w:rStyle w:val="Internetlink"/>
          </w:rPr>
          <w:t>2Thess 1,1</w:t>
        </w:r>
      </w:hyperlink>
      <w:r>
        <w:rPr/>
        <w:t>. Nach den Angaben der Apostelgeschichte nahm Paulus ihn aufgrund seines guten Rufs unter den Gläubigen während seiner zweiten Missionsreise in Derbe in sein Mitarbeiterteam auf (</w:t>
      </w:r>
      <w:hyperlink r:id="rId377">
        <w:r>
          <w:rPr>
            <w:rStyle w:val="Internetlink"/>
          </w:rPr>
          <w:t>Apg 16,1-3</w:t>
        </w:r>
      </w:hyperlink>
      <w:r>
        <w:rPr/>
        <w:t xml:space="preserve">).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 </w:t>
      </w:r>
    </w:p>
  </w:footnote>
  <w:footnote w:id="2167">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168">
    <w:p>
      <w:pPr>
        <w:pStyle w:val="Funote"/>
        <w:rPr/>
      </w:pPr>
      <w:r>
        <w:rPr/>
        <w:footnoteRef/>
        <w:tab/>
        <w:t xml:space="preserve">Vgl. die entsprechende Fußnote zu Eph 1,1. </w:t>
      </w:r>
    </w:p>
  </w:footnote>
  <w:footnote w:id="2169">
    <w:p>
      <w:pPr>
        <w:pStyle w:val="Funote"/>
        <w:rPr/>
      </w:pPr>
      <w:hyperlink r:id="rId378">
        <w:r>
          <w:rPr>
            <w:rStyle w:val="Internetlink"/>
          </w:rPr>
          <w:footnoteRef/>
          <w:tab/>
          <w:t>Generisches Maskulinum</w:t>
        </w:r>
      </w:hyperlink>
      <w:r>
        <w:rPr/>
        <w:t xml:space="preserve">. </w:t>
      </w:r>
    </w:p>
  </w:footnote>
  <w:footnote w:id="2170">
    <w:p>
      <w:pPr>
        <w:pStyle w:val="Funote"/>
        <w:rPr/>
      </w:pPr>
      <w:r>
        <w:rPr>
          <w:i/>
        </w:rPr>
        <w:footnoteRef/>
        <w:tab/>
        <w:t>in Christus</w:t>
      </w:r>
      <w:r>
        <w:rPr/>
        <w:t xml:space="preserve"> (sowie das ausführlichere „in Christus Jesus“, </w:t>
      </w:r>
      <w:r>
        <w:fldChar w:fldCharType="begin"/>
      </w:r>
      <w:r>
        <w:instrText> HYPERLINK "file:///wiki/Kolosser_1" \l "s4"</w:instrText>
      </w:r>
      <w:r>
        <w:fldChar w:fldCharType="separate"/>
      </w:r>
      <w:r>
        <w:rPr>
          <w:rStyle w:val="Internetlink"/>
        </w:rPr>
        <w:t>Kol 1,4</w:t>
      </w:r>
      <w:r>
        <w:fldChar w:fldCharType="end"/>
      </w:r>
      <w:r>
        <w:rPr/>
        <w:t xml:space="preserve">) ist bei Paulus ein Lieblingsattribut, das häufig und in den verschiedensten Kontexten Anwendung findet (vgl. etwa analog </w:t>
      </w:r>
      <w:r>
        <w:fldChar w:fldCharType="begin"/>
      </w:r>
      <w:r>
        <w:instrText> HYPERLINK "file:///wiki/Epheser_1" \l "s1"</w:instrText>
      </w:r>
      <w:r>
        <w:fldChar w:fldCharType="separate"/>
      </w:r>
      <w:r>
        <w:rPr>
          <w:rStyle w:val="Internetlink"/>
        </w:rPr>
        <w:t>Eph 1,1</w:t>
      </w:r>
      <w:r>
        <w:fldChar w:fldCharType="end"/>
      </w:r>
      <w:r>
        <w:rPr/>
        <w:t xml:space="preserve">). In Kol kommt es sonst nur noch in </w:t>
      </w:r>
      <w:r>
        <w:fldChar w:fldCharType="begin"/>
      </w:r>
      <w:r>
        <w:instrText> HYPERLINK "file:///wiki/Kolosser_1" \l "s28"</w:instrText>
      </w:r>
      <w:r>
        <w:fldChar w:fldCharType="separate"/>
      </w:r>
      <w:r>
        <w:rPr>
          <w:rStyle w:val="Internetlink"/>
        </w:rPr>
        <w:t>1,28</w:t>
      </w:r>
      <w:r>
        <w:fldChar w:fldCharType="end"/>
      </w:r>
      <w:r>
        <w:rPr/>
        <w:t xml:space="preserve">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w:t>
      </w:r>
      <w:hyperlink r:id="rId379">
        <w:r>
          <w:rPr>
            <w:rStyle w:val="Internetlink"/>
          </w:rPr>
          <w:t>1Kor 15,22</w:t>
        </w:r>
      </w:hyperlink>
      <w:r>
        <w:rPr/>
        <w:t xml:space="preserve">; </w:t>
      </w:r>
      <w:hyperlink r:id="rId380">
        <w:r>
          <w:rPr>
            <w:rStyle w:val="Internetlink"/>
          </w:rPr>
          <w:t>2Kor 5,14-17</w:t>
        </w:r>
      </w:hyperlink>
      <w:r>
        <w:rPr/>
        <w:t xml:space="preserve">; </w:t>
      </w:r>
      <w:r>
        <w:fldChar w:fldCharType="begin"/>
      </w:r>
      <w:r>
        <w:instrText> HYPERLINK "file:///wiki/Römer_5" \l "s12"</w:instrText>
      </w:r>
      <w:r>
        <w:fldChar w:fldCharType="separate"/>
      </w:r>
      <w:r>
        <w:rPr>
          <w:rStyle w:val="Internetlink"/>
        </w:rPr>
        <w:t>Röm 5,12-21</w:t>
      </w:r>
      <w:r>
        <w:fldChar w:fldCharType="end"/>
      </w:r>
      <w:r>
        <w:rPr/>
        <w:t xml:space="preserve">) (Moo 2008, 77, vgl. O'Brien 1982, 4). </w:t>
      </w:r>
    </w:p>
  </w:footnote>
  <w:footnote w:id="2171">
    <w:p>
      <w:pPr>
        <w:pStyle w:val="Funote"/>
        <w:rPr/>
      </w:pPr>
      <w:r>
        <w:rPr/>
        <w:footnoteRef/>
        <w:tab/>
        <w:t xml:space="preserve">Einige Handschriften (u.a. die wichtigen alexandrinischen </w:t>
      </w:r>
      <w:r>
        <w:rPr>
          <w:rtl w:val="true"/>
          <w:lang w:bidi="he-IL"/>
        </w:rPr>
        <w:t>א</w:t>
      </w:r>
      <w:r>
        <w:rPr/>
        <w:t xml:space="preserve">, A sowie der Mehrheitstext) ergänzen „und des Herrn Jesus Christus“, vielleicht in direkter Anlehnung an </w:t>
      </w:r>
      <w:r>
        <w:fldChar w:fldCharType="begin"/>
      </w:r>
      <w:r>
        <w:instrText> HYPERLINK "file:///wiki/Epheser_2" \l "s2"</w:instrText>
      </w:r>
      <w:r>
        <w:fldChar w:fldCharType="separate"/>
      </w:r>
      <w:r>
        <w:rPr>
          <w:rStyle w:val="Internetlink"/>
        </w:rPr>
        <w:t>Eph 2,2</w:t>
      </w:r>
      <w:r>
        <w:fldChar w:fldCharType="end"/>
      </w:r>
      <w:r>
        <w:rPr/>
        <w:t xml:space="preserve">, weswegen er in NA27 wohl als sekundär eingestuft wird. Der Teil fehlt u.a. in B, D, 33, 1739. </w:t>
      </w:r>
    </w:p>
  </w:footnote>
  <w:footnote w:id="2172">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173">
    <w:p>
      <w:pPr>
        <w:pStyle w:val="Funote"/>
        <w:rPr/>
      </w:pPr>
      <w:r>
        <w:rPr/>
        <w:footnoteRef/>
        <w:tab/>
        <w:t xml:space="preserve">Vgl. die Fußnote in V. 2 bei „in Christus“. </w:t>
      </w:r>
    </w:p>
  </w:footnote>
  <w:footnote w:id="2174">
    <w:p>
      <w:pPr>
        <w:pStyle w:val="Funote"/>
        <w:rPr/>
      </w:pPr>
      <w:r>
        <w:rPr/>
        <w:footnoteRef/>
        <w:tab/>
        <w:t>Kausal aufgelöstes Ptz. coni. (vgl. Moo 2008, 84). Möglich theoretisch auch temporal: „seit“</w:t>
      </w:r>
    </w:p>
  </w:footnote>
  <w:footnote w:id="2175">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 </w:t>
      </w:r>
    </w:p>
  </w:footnote>
  <w:footnote w:id="2176">
    <w:p>
      <w:pPr>
        <w:pStyle w:val="Funote"/>
        <w:rPr/>
      </w:pPr>
      <w:r>
        <w:rPr/>
        <w:footnoteRef/>
        <w:tab/>
        <w:t xml:space="preserve">Wörtlich ein Plural. </w:t>
      </w:r>
    </w:p>
  </w:footnote>
  <w:footnote w:id="2177">
    <w:p>
      <w:pPr>
        <w:pStyle w:val="Funote"/>
        <w:rPr/>
      </w:pPr>
      <w:r>
        <w:rPr/>
        <w:footnoteRef/>
        <w:tab/>
        <w:t xml:space="preserve">Wenn eine gezielte Betonung des „vorher“ (im Gegensatz zu „schon“) intendiert ist, dann bezieht sich das vielleicht auf die Zeit, wo Epaphras in Kolossä evangelisierte, vor dem Aufkommen der Irrlehre, die mit dem Brief bekämpft wird (so seit Moule 1898, 67; vgl. Moo 2008, 86). </w:t>
      </w:r>
    </w:p>
  </w:footnote>
  <w:footnote w:id="2178">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179">
    <w:p>
      <w:pPr>
        <w:pStyle w:val="Funote"/>
        <w:rPr/>
      </w:pPr>
      <w:r>
        <w:rPr/>
        <w:footnoteRef/>
        <w:tab/>
        <w:t xml:space="preserve">Attributives Ptz. Aor., als Relativsatz aufgelöst. </w:t>
      </w:r>
    </w:p>
  </w:footnote>
  <w:footnote w:id="2180">
    <w:p>
      <w:pPr>
        <w:pStyle w:val="Funote"/>
        <w:rPr/>
      </w:pPr>
      <w:r>
        <w:rPr/>
        <w:footnoteRef/>
        <w:tab/>
        <w:t xml:space="preserve">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 </w:t>
      </w:r>
    </w:p>
  </w:footnote>
  <w:footnote w:id="2181">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182">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183">
    <w:p>
      <w:pPr>
        <w:pStyle w:val="Funote"/>
        <w:rPr/>
      </w:pPr>
      <w:r>
        <w:rPr/>
        <w:footnoteRef/>
        <w:tab/>
        <w:t>„</w:t>
      </w:r>
      <w:r>
        <w:rPr/>
        <w:t xml:space="preserve">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 </w:t>
      </w:r>
    </w:p>
  </w:footnote>
  <w:footnote w:id="2184">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 </w:t>
      </w:r>
    </w:p>
  </w:footnote>
  <w:footnote w:id="2185">
    <w:p>
      <w:pPr>
        <w:pStyle w:val="Funote"/>
        <w:rPr/>
      </w:pPr>
      <w:r>
        <w:rPr/>
        <w:footnoteRef/>
        <w:tab/>
        <w:t xml:space="preserve">Epaphras wird sonst nur in </w:t>
      </w:r>
      <w:hyperlink r:id="rId381">
        <w:r>
          <w:rPr>
            <w:rStyle w:val="Internetlink"/>
          </w:rPr>
          <w:t>Kol 4,12f.</w:t>
        </w:r>
      </w:hyperlink>
      <w:r>
        <w:rPr/>
        <w:t xml:space="preserve"> und </w:t>
      </w:r>
      <w:r>
        <w:fldChar w:fldCharType="begin"/>
      </w:r>
      <w:r>
        <w:instrText> HYPERLINK "file:///wiki/Philemon" \l "s23"</w:instrText>
      </w:r>
      <w:r>
        <w:fldChar w:fldCharType="separate"/>
      </w:r>
      <w:r>
        <w:rPr>
          <w:rStyle w:val="Internetlink"/>
        </w:rPr>
        <w:t>Phlm 23</w:t>
      </w:r>
      <w:r>
        <w:fldChar w:fldCharType="end"/>
      </w:r>
      <w:r>
        <w:rPr/>
        <w:t xml:space="preserve">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w:t>
      </w:r>
      <w:r>
        <w:fldChar w:fldCharType="begin"/>
      </w:r>
      <w:r>
        <w:instrText> HYPERLINK "file:///wiki/Philipper_2" \l "s25"</w:instrText>
      </w:r>
      <w:r>
        <w:fldChar w:fldCharType="separate"/>
      </w:r>
      <w:r>
        <w:rPr>
          <w:rStyle w:val="Internetlink"/>
        </w:rPr>
        <w:t>Phil 2,25</w:t>
      </w:r>
      <w:r>
        <w:fldChar w:fldCharType="end"/>
      </w:r>
      <w:r>
        <w:rPr/>
        <w:t xml:space="preserve">; </w:t>
      </w:r>
      <w:r>
        <w:fldChar w:fldCharType="begin"/>
      </w:r>
      <w:r>
        <w:instrText> HYPERLINK "file:///wiki/Philipper_4" \l "s18"</w:instrText>
      </w:r>
      <w:r>
        <w:fldChar w:fldCharType="separate"/>
      </w:r>
      <w:r>
        <w:rPr>
          <w:rStyle w:val="Internetlink"/>
        </w:rPr>
        <w:t>4,18</w:t>
      </w:r>
      <w:r>
        <w:fldChar w:fldCharType="end"/>
      </w:r>
      <w:r>
        <w:rPr/>
        <w:t xml:space="preserve"> genannten Paulus-Mitarbeiter identisch (Moo 2008, 90). </w:t>
      </w:r>
    </w:p>
  </w:footnote>
  <w:footnote w:id="2186">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187">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188">
    <w:p>
      <w:pPr>
        <w:pStyle w:val="Funote"/>
        <w:rPr/>
      </w:pPr>
      <w:r>
        <w:rPr/>
        <w:footnoteRef/>
        <w:tab/>
        <w:t xml:space="preserve">Auflösung eines attributiven Ptz. Aor. als Relativsatz. Möglich wäre auch eine „und“-Kombination. </w:t>
      </w:r>
    </w:p>
  </w:footnote>
  <w:footnote w:id="2189">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190">
    <w:p>
      <w:pPr>
        <w:pStyle w:val="Funote"/>
        <w:rPr/>
      </w:pPr>
      <w:r>
        <w:rPr>
          <w:i/>
        </w:rPr>
        <w:footnoteRef/>
        <w:tab/>
        <w:t>Fremde</w:t>
      </w:r>
      <w:r>
        <w:rPr/>
        <w:t xml:space="preserve"> Als Substantiv gebrauchtes Ptz. Pf. Pass., w. also „entfremdet“. Im NT nur 3x und nur im Ptz. Pf. Pass., immer resultativ und im Zusammenhang mit der Bundesgemeinschaft bzw. Beziehung mit Gott gebraucht (</w:t>
      </w:r>
      <w:r>
        <w:fldChar w:fldCharType="begin"/>
      </w:r>
      <w:r>
        <w:instrText> HYPERLINK "file:///wiki/Epheser_2" \l "s12"</w:instrText>
      </w:r>
      <w:r>
        <w:fldChar w:fldCharType="separate"/>
      </w:r>
      <w:r>
        <w:rPr>
          <w:rStyle w:val="Internetlink"/>
        </w:rPr>
        <w:t>Eph 2,12</w:t>
      </w:r>
      <w:r>
        <w:fldChar w:fldCharType="end"/>
      </w:r>
      <w:r>
        <w:rPr/>
        <w:t xml:space="preserve">; </w:t>
      </w:r>
      <w:hyperlink r:id="rId382">
        <w:r>
          <w:rPr>
            <w:rStyle w:val="Internetlink"/>
          </w:rPr>
          <w:t>4,18</w:t>
        </w:r>
      </w:hyperlink>
      <w:r>
        <w:rPr/>
        <w:t xml:space="preserve">, vgl. TWNT, </w:t>
      </w:r>
      <w:r>
        <w:rPr>
          <w:lang w:val="el-GR"/>
        </w:rPr>
        <w:t>ἀπαλλοτριόω</w:t>
      </w:r>
      <w:r>
        <w:rPr/>
        <w:t xml:space="preserve">). Auffällig ist, dass hier das erwartete Lokal-Objekt fehlt: wir also nicht erfahren, wovon die Adressaten einmal entfremdet waren. </w:t>
      </w:r>
    </w:p>
  </w:footnote>
  <w:footnote w:id="2191">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192">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193">
    <w:p>
      <w:pPr>
        <w:pStyle w:val="Funote"/>
        <w:rPr/>
      </w:pPr>
      <w:r>
        <w:rPr/>
        <w:footnoteRef/>
        <w:tab/>
        <w:t xml:space="preserve">Als konzessiv verbundener Hauptsatz aufgelöstes Participium coniunctum (Ptz. Präs. Akk.). Möglich wäre auch eine Auflösung als Relativsatz, eine stärkere konzessive („obwohl“) oder temporale Deutung („während, als“). S.a. </w:t>
      </w:r>
      <w:r>
        <w:fldChar w:fldCharType="begin"/>
      </w:r>
      <w:r>
        <w:instrText> HYPERLINK "file:///wiki/Kolosser_1" \l "note_x"</w:instrText>
      </w:r>
      <w:r>
        <w:fldChar w:fldCharType="separate"/>
      </w:r>
      <w:r>
        <w:rPr>
          <w:rStyle w:val="Internetlink"/>
        </w:rPr>
        <w:t>V. 21, Fußnote 1</w:t>
      </w:r>
      <w:r>
        <w:fldChar w:fldCharType="end"/>
      </w:r>
      <w:r>
        <w:rPr/>
        <w:t xml:space="preserve">. </w:t>
      </w:r>
    </w:p>
  </w:footnote>
  <w:footnote w:id="2194">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195">
    <w:p>
      <w:pPr>
        <w:pStyle w:val="Funote"/>
        <w:rPr/>
      </w:pPr>
      <w:r>
        <w:rPr/>
        <w:footnoteRef/>
        <w:tab/>
        <w:t xml:space="preserve">W: „seinen Körper des Fleisches“. Der attr. Genitiv drückt die Beschaffenheit des Bezugsworts aus. Gemeint ist mit dem „fleischlichen Körper“ wohl ein „sterblicher“ (Moo 2008, 142), der gedanklich klar von der Gemeinde als „Körper Christi“ abgegrenzt werden soll (Schweizer </w:t>
      </w:r>
      <w:r>
        <w:rPr>
          <w:position w:val="7"/>
          <w:sz w:val="16"/>
        </w:rPr>
        <w:t>2</w:t>
      </w:r>
      <w:r>
        <w:rPr/>
        <w:t xml:space="preserve">1980, 76). </w:t>
      </w:r>
    </w:p>
  </w:footnote>
  <w:footnote w:id="2196">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197">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198">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199">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200">
    <w:p>
      <w:pPr>
        <w:pStyle w:val="Funote"/>
        <w:rPr/>
      </w:pPr>
      <w:r>
        <w:rPr/>
        <w:footnoteRef/>
        <w:tab/>
        <w:t xml:space="preserve">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 </w:t>
      </w:r>
    </w:p>
  </w:footnote>
  <w:footnote w:id="2201">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202">
    <w:p>
      <w:pPr>
        <w:pStyle w:val="Funote"/>
        <w:rPr/>
      </w:pPr>
      <w:r>
        <w:rPr/>
        <w:footnoteRef/>
        <w:tab/>
        <w:t xml:space="preserve">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w:t>
      </w:r>
      <w:r>
        <w:fldChar w:fldCharType="begin"/>
      </w:r>
      <w:r>
        <w:instrText> HYPERLINK "file:///wiki/Kolosser_1" \l "note_o"</w:instrText>
      </w:r>
      <w:r>
        <w:fldChar w:fldCharType="separate"/>
      </w:r>
      <w:r>
        <w:rPr>
          <w:rStyle w:val="Internetlink"/>
        </w:rPr>
        <w:t>V. 6, Fußnote o</w:t>
      </w:r>
      <w:r>
        <w:fldChar w:fldCharType="end"/>
      </w:r>
      <w:r>
        <w:rPr/>
        <w:t xml:space="preserve">, dann als Entsprechung zu Versöhnung aller Dinge in V. 20 (Moo 2008, 147). </w:t>
      </w:r>
    </w:p>
  </w:footnote>
  <w:footnote w:id="2203">
    <w:p>
      <w:pPr>
        <w:pStyle w:val="Funote"/>
        <w:rPr/>
      </w:pPr>
      <w:r>
        <w:rPr/>
        <w:footnoteRef/>
        <w:tab/>
        <w:t>[Status: Zuverlässig]</w:t>
      </w:r>
    </w:p>
  </w:footnote>
  <w:footnote w:id="2204">
    <w:p>
      <w:pPr>
        <w:pStyle w:val="Funote"/>
        <w:spacing w:before="0" w:after="283"/>
        <w:rPr/>
      </w:pPr>
      <w:r>
        <w:rPr>
          <w:i/>
        </w:rPr>
        <w:footnoteRef/>
        <w:tab/>
        <w:t>die zwölf Stämme in der Zerstreuung (Diaspora)</w:t>
      </w:r>
      <w:r>
        <w:rPr/>
        <w:t xml:space="preserve">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w:t>
      </w:r>
    </w:p>
    <w:p>
      <w:pPr>
        <w:pStyle w:val="Textkrper"/>
        <w:rPr/>
      </w:pPr>
      <w:r>
        <w:rPr/>
        <w:tab/>
        <w:t xml:space="preserve">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w:t>
      </w:r>
      <w:hyperlink r:id="rId383">
        <w:r>
          <w:rPr>
            <w:rStyle w:val="Internetlink"/>
          </w:rPr>
          <w:t>Ps 147,2</w:t>
        </w:r>
      </w:hyperlink>
      <w:r>
        <w:rPr/>
        <w:t xml:space="preserve">; </w:t>
      </w:r>
      <w:r>
        <w:fldChar w:fldCharType="begin"/>
      </w:r>
      <w:r>
        <w:instrText> HYPERLINK "file:///wiki/Jesaja_11" \l "s12"</w:instrText>
      </w:r>
      <w:r>
        <w:fldChar w:fldCharType="separate"/>
      </w:r>
      <w:r>
        <w:rPr>
          <w:rStyle w:val="Internetlink"/>
        </w:rPr>
        <w:t>Jes 11,12</w:t>
      </w:r>
      <w:r>
        <w:fldChar w:fldCharType="end"/>
      </w:r>
      <w:r>
        <w:rPr/>
        <w:t xml:space="preserve">; </w:t>
      </w:r>
      <w:r>
        <w:fldChar w:fldCharType="begin"/>
      </w:r>
      <w:r>
        <w:instrText> HYPERLINK "file:///wiki/Jesaja_14" \l "s1"</w:instrText>
      </w:r>
      <w:r>
        <w:fldChar w:fldCharType="separate"/>
      </w:r>
      <w:r>
        <w:rPr>
          <w:rStyle w:val="Internetlink"/>
        </w:rPr>
        <w:t>14,1</w:t>
      </w:r>
      <w:r>
        <w:fldChar w:fldCharType="end"/>
      </w:r>
      <w:r>
        <w:rPr/>
        <w:t xml:space="preserve">; </w:t>
      </w:r>
      <w:r>
        <w:fldChar w:fldCharType="begin"/>
      </w:r>
      <w:r>
        <w:instrText> HYPERLINK "file:///wiki/Jesaja_43" \l "s5"</w:instrText>
      </w:r>
      <w:r>
        <w:fldChar w:fldCharType="separate"/>
      </w:r>
      <w:r>
        <w:rPr>
          <w:rStyle w:val="Internetlink"/>
        </w:rPr>
        <w:t>54,5f</w:t>
      </w:r>
      <w:r>
        <w:fldChar w:fldCharType="end"/>
      </w:r>
      <w:r>
        <w:rPr/>
        <w:t xml:space="preserve">; </w:t>
      </w:r>
      <w:hyperlink r:id="rId384">
        <w:r>
          <w:rPr>
            <w:rStyle w:val="Internetlink"/>
          </w:rPr>
          <w:t>Jer 31,10</w:t>
        </w:r>
      </w:hyperlink>
      <w:r>
        <w:rPr/>
        <w:t xml:space="preserve">; </w:t>
      </w:r>
      <w:hyperlink r:id="rId385">
        <w:r>
          <w:rPr>
            <w:rStyle w:val="Internetlink"/>
          </w:rPr>
          <w:t>Ez 28,25</w:t>
        </w:r>
      </w:hyperlink>
      <w:r>
        <w:rPr/>
        <w:t xml:space="preserve"> u.ö.). Diese Vorstellung wurde im Laufe der Zeit erweitert: (a) Der Zustand der Zerstreuung wurde als Strafe Gottes für die Sündhaftigkeit Israels verstanden (s. z.B. </w:t>
      </w:r>
      <w:hyperlink r:id="rId386">
        <w:r>
          <w:rPr>
            <w:rStyle w:val="Internetlink"/>
          </w:rPr>
          <w:t>Neh 1,8f</w:t>
        </w:r>
      </w:hyperlink>
      <w:r>
        <w:rPr/>
        <w:t>), (b) Jesus bringt die Sammlung des zerstreuten Israels mit seiner - des Menschensohns - Wiederkunft am Ende der Zeiten in Zusammenhang.</w:t>
        <w:br/>
        <w:t>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w:t>
      </w:r>
    </w:p>
    <w:p>
      <w:pPr>
        <w:pStyle w:val="Textkrper"/>
        <w:spacing w:before="0" w:after="283"/>
        <w:rPr/>
      </w:pPr>
      <w:r>
        <w:rPr/>
        <w:tab/>
        <w:t xml:space="preserve">Unsicher allerdings ist, ob der Brief sich dann allgemein an </w:t>
      </w:r>
      <w:r>
        <w:rPr>
          <w:i/>
        </w:rPr>
        <w:t>alle Angehörigen der zwölf Stämme</w:t>
      </w:r>
      <w:r>
        <w:rPr/>
        <w:t xml:space="preserve"> richtet, oder ob diese Vorstellung von der Sammlung der zwölf Stämme im Jakobusbrief auf die </w:t>
      </w:r>
      <w:r>
        <w:rPr>
          <w:i/>
        </w:rPr>
        <w:t>Christusgläubigen</w:t>
      </w:r>
      <w:r>
        <w:rPr/>
        <w:t xml:space="preserve"> übertragen wird.</w:t>
      </w:r>
    </w:p>
  </w:footnote>
  <w:footnote w:id="2205">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206">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207">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208">
    <w:p>
      <w:pPr>
        <w:pStyle w:val="Funote"/>
        <w:rPr/>
      </w:pPr>
      <w:r>
        <w:fldChar w:fldCharType="begin"/>
      </w:r>
      <w:r>
        <w:instrText> HYPERLINK "http://www.offene-bibel.de/wiki/index.php5?title=Partizip" \l "Die_Sinnrichtungen"</w:instrText>
      </w:r>
      <w:r>
        <w:fldChar w:fldCharType="separate"/>
      </w:r>
      <w:r>
        <w:rPr>
          <w:rStyle w:val="Internetlink"/>
        </w:rPr>
        <w:footnoteRef/>
        <w:tab/>
        <w:t>Ptz. coni.</w:t>
      </w:r>
      <w:r>
        <w:fldChar w:fldCharType="end"/>
      </w:r>
      <w:r>
        <w:rPr/>
        <w:t xml:space="preserve">, hier als kausaler Nebensatz aufgelöst (oder als Präpositionalphrase, so Klammer). Einige Ausleger verstehen das Partizip auch imperativisches Partizip („wisst“). </w:t>
      </w:r>
    </w:p>
  </w:footnote>
  <w:footnote w:id="2209">
    <w:p>
      <w:pPr>
        <w:pStyle w:val="Funote"/>
        <w:rPr/>
      </w:pPr>
      <w:r>
        <w:rPr/>
        <w:footnoteRef/>
        <w:tab/>
        <w:t>Der Begriff hat eine sehr aktive Bedeutung – es wird nicht nur abgewartet, sondern auch entsprechend gehandelt (Dibelius 1964, 101; Blomberg 2008, 49; Mußner 1964, 65f.).</w:t>
      </w:r>
    </w:p>
  </w:footnote>
  <w:footnote w:id="2210">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211">
    <w:p>
      <w:pPr>
        <w:pStyle w:val="Funote"/>
        <w:rPr/>
      </w:pPr>
      <w:r>
        <w:rPr/>
        <w:footnoteRef/>
        <w:tab/>
        <w:t>Oder sinngemäßer: „Ausgang“ (cf. Johnson 1995, 178).</w:t>
      </w:r>
    </w:p>
  </w:footnote>
  <w:footnote w:id="2212">
    <w:p>
      <w:pPr>
        <w:pStyle w:val="Funote"/>
        <w:rPr/>
      </w:pPr>
      <w:r>
        <w:rPr/>
        <w:footnoteRef/>
        <w:tab/>
        <w:t xml:space="preserve">Der Imperativ Präsens markiert hier, dass nicht </w:t>
      </w:r>
      <w:r>
        <w:rPr>
          <w:i/>
        </w:rPr>
        <w:t>ein Mal ein</w:t>
      </w:r>
      <w:r>
        <w:rPr/>
        <w:t xml:space="preserve"> vollkommenes Werk Folge der Standhaftigkeit sein soll, sondern dass vollkommene Werke </w:t>
      </w:r>
      <w:r>
        <w:rPr>
          <w:i/>
        </w:rPr>
        <w:t>prinzipiell</w:t>
      </w:r>
      <w:r>
        <w:rPr/>
        <w:t xml:space="preserve"> die Folge der Standhaftigkeit sein sollen.</w:t>
      </w:r>
    </w:p>
  </w:footnote>
  <w:footnote w:id="2213">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214">
    <w:p>
      <w:pPr>
        <w:pStyle w:val="Funote"/>
        <w:rPr/>
      </w:pPr>
      <w:r>
        <w:rPr/>
        <w:footnoteRef/>
        <w:tab/>
        <w:t xml:space="preserve">Auflösung eines </w:t>
      </w:r>
      <w:r>
        <w:fldChar w:fldCharType="begin"/>
      </w:r>
      <w:r>
        <w:instrText> HYPERLINK "http://www.offene-bibel.de/wiki/index.php5?title=Partizip" \l "Die_Sinnrichtungen"</w:instrText>
      </w:r>
      <w:r>
        <w:fldChar w:fldCharType="separate"/>
      </w:r>
      <w:r>
        <w:rPr>
          <w:rStyle w:val="Internetlink"/>
        </w:rPr>
        <w:t>Ptz. coni.</w:t>
      </w:r>
      <w:r>
        <w:fldChar w:fldCharType="end"/>
      </w:r>
      <w:r>
        <w:rPr/>
        <w:t xml:space="preserve"> durch </w:t>
      </w:r>
      <w:r>
        <w:rPr>
          <w:i/>
        </w:rPr>
        <w:t>und</w:t>
      </w:r>
      <w:r>
        <w:rPr/>
        <w:t>-Koordination. Möglich auch modal, temporal, kausal (so Klammer).</w:t>
      </w:r>
    </w:p>
  </w:footnote>
  <w:footnote w:id="2215">
    <w:p>
      <w:pPr>
        <w:pStyle w:val="Funote"/>
        <w:rPr/>
      </w:pPr>
      <w:r>
        <w:rPr/>
        <w:footnoteRef/>
        <w:tab/>
        <w:t>S. vorige FN.</w:t>
      </w:r>
    </w:p>
  </w:footnote>
  <w:footnote w:id="2216">
    <w:p>
      <w:pPr>
        <w:pStyle w:val="Funote"/>
        <w:rPr/>
      </w:pPr>
      <w:r>
        <w:rPr/>
        <w:footnoteRef/>
        <w:tab/>
        <w:t xml:space="preserve">Wieder spricht Jakobus einzig männliche Leser an, meint aber auch die weiblichen Leser mit (-&gt; </w:t>
      </w:r>
      <w:hyperlink r:id="rId387">
        <w:r>
          <w:rPr>
            <w:rStyle w:val="Internetlink"/>
          </w:rPr>
          <w:t>Generisches Maskulinum</w:t>
        </w:r>
      </w:hyperlink>
      <w:r>
        <w:rPr/>
        <w:t>). Für die LF sei jeweils - falls vorhanden - die Übersetzungsalternative in der Klammer empfohlen.</w:t>
      </w:r>
    </w:p>
  </w:footnote>
  <w:footnote w:id="2217">
    <w:p>
      <w:pPr>
        <w:pStyle w:val="Funote"/>
        <w:spacing w:before="0" w:after="283"/>
        <w:rPr/>
      </w:pPr>
      <w:r>
        <w:rPr>
          <w:i/>
        </w:rPr>
        <w:footnoteRef/>
        <w:tab/>
        <w:t>Weisheit</w:t>
      </w:r>
      <w:r>
        <w:rPr/>
        <w:t xml:space="preserve"> - Jakobus' Verständnis von „Weisheit“ entspricht v.a. dem Weisheitskonzept der frühjüdischen Schriften: (1) Weisheit ist nicht etwas, das man von selbst erlangen könnte, sondern zunächst eine </w:t>
      </w:r>
      <w:r>
        <w:rPr>
          <w:i/>
        </w:rPr>
        <w:t>Gabe Gottes</w:t>
      </w:r>
      <w:r>
        <w:rPr/>
        <w:t xml:space="preserve"> (s. Vv. 5.17; vgl. z.B. </w:t>
      </w:r>
      <w:r>
        <w:fldChar w:fldCharType="begin"/>
      </w:r>
      <w:r>
        <w:instrText> HYPERLINK "file:///wiki/Jesaja_11" \l "s2"</w:instrText>
      </w:r>
      <w:r>
        <w:fldChar w:fldCharType="separate"/>
      </w:r>
      <w:r>
        <w:rPr>
          <w:rStyle w:val="Internetlink"/>
        </w:rPr>
        <w:t>Jes 11,2</w:t>
      </w:r>
      <w:r>
        <w:fldChar w:fldCharType="end"/>
      </w:r>
      <w:r>
        <w:rPr/>
        <w:t xml:space="preserve">; </w:t>
      </w:r>
      <w:hyperlink r:id="rId388">
        <w:r>
          <w:rPr>
            <w:rStyle w:val="Internetlink"/>
          </w:rPr>
          <w:t>Spr 1,7</w:t>
        </w:r>
      </w:hyperlink>
      <w:r>
        <w:rPr/>
        <w:t xml:space="preserve">; </w:t>
      </w:r>
      <w:r>
        <w:fldChar w:fldCharType="begin"/>
      </w:r>
      <w:r>
        <w:instrText> HYPERLINK "file:///wiki/Sprichwörter_2" \l "s6"</w:instrText>
      </w:r>
      <w:r>
        <w:fldChar w:fldCharType="separate"/>
      </w:r>
      <w:r>
        <w:rPr>
          <w:rStyle w:val="Internetlink"/>
        </w:rPr>
        <w:t>2,6</w:t>
      </w:r>
      <w:r>
        <w:fldChar w:fldCharType="end"/>
      </w:r>
      <w:r>
        <w:rPr/>
        <w:t xml:space="preserve">; </w:t>
      </w:r>
      <w:hyperlink r:id="rId389">
        <w:r>
          <w:rPr>
            <w:rStyle w:val="Internetlink"/>
          </w:rPr>
          <w:t>Sir 39,5</w:t>
        </w:r>
      </w:hyperlink>
      <w:r>
        <w:rPr/>
        <w:t xml:space="preserve">; </w:t>
      </w:r>
      <w:hyperlink r:id="rId390">
        <w:r>
          <w:rPr>
            <w:rStyle w:val="Internetlink"/>
          </w:rPr>
          <w:t>Weish 7,7</w:t>
        </w:r>
      </w:hyperlink>
      <w:r>
        <w:rPr/>
        <w:t>.</w:t>
      </w:r>
      <w:hyperlink r:id="rId391">
        <w:r>
          <w:rPr>
            <w:rStyle w:val="Internetlink"/>
          </w:rPr>
          <w:t>15</w:t>
        </w:r>
      </w:hyperlink>
      <w:r>
        <w:rPr/>
        <w:t>.</w:t>
      </w:r>
      <w:hyperlink r:id="rId392">
        <w:r>
          <w:rPr>
            <w:rStyle w:val="Internetlink"/>
          </w:rPr>
          <w:t>25f</w:t>
        </w:r>
      </w:hyperlink>
      <w:r>
        <w:rPr/>
        <w:t xml:space="preserve">; </w:t>
      </w:r>
      <w:hyperlink r:id="rId393">
        <w:r>
          <w:rPr>
            <w:rStyle w:val="Internetlink"/>
          </w:rPr>
          <w:t>1Kor 2,13</w:t>
        </w:r>
      </w:hyperlink>
      <w:r>
        <w:rPr/>
        <w:t xml:space="preserve">; </w:t>
      </w:r>
      <w:hyperlink r:id="rId394">
        <w:r>
          <w:rPr>
            <w:rStyle w:val="Internetlink"/>
          </w:rPr>
          <w:t>12,8</w:t>
        </w:r>
      </w:hyperlink>
      <w:r>
        <w:rPr/>
        <w:t xml:space="preserve">; </w:t>
      </w:r>
      <w:r>
        <w:fldChar w:fldCharType="begin"/>
      </w:r>
      <w:r>
        <w:instrText> HYPERLINK "file:///wiki/Epheser_1" \l "s17"</w:instrText>
      </w:r>
      <w:r>
        <w:fldChar w:fldCharType="separate"/>
      </w:r>
      <w:r>
        <w:rPr>
          <w:rStyle w:val="Internetlink"/>
        </w:rPr>
        <w:t>Eph 1,17</w:t>
      </w:r>
      <w:r>
        <w:fldChar w:fldCharType="end"/>
      </w:r>
      <w:r>
        <w:rPr/>
        <w:t xml:space="preserve"> u.ö.). Und (2) führt sie anders als die „irdische Weisheit“ (i.S.v. „Wissenschaft“, vgl. z.B. </w:t>
      </w:r>
      <w:hyperlink r:id="rId395">
        <w:r>
          <w:rPr>
            <w:rStyle w:val="Internetlink"/>
          </w:rPr>
          <w:t>1Kor 1,19-22</w:t>
        </w:r>
      </w:hyperlink>
      <w:r>
        <w:rPr/>
        <w:t xml:space="preserve">; </w:t>
      </w:r>
      <w:hyperlink r:id="rId396">
        <w:r>
          <w:rPr>
            <w:rStyle w:val="Internetlink"/>
          </w:rPr>
          <w:t>2,6f</w:t>
        </w:r>
      </w:hyperlink>
      <w:r>
        <w:rPr/>
        <w:t xml:space="preserve">) nicht zunächst zu Erkenntnis und Wissen, sondern befähigt zu </w:t>
      </w:r>
      <w:r>
        <w:rPr>
          <w:i/>
        </w:rPr>
        <w:t>gottgefälligem Handeln</w:t>
      </w:r>
      <w:r>
        <w:rPr/>
        <w:t xml:space="preserve"> (s. </w:t>
      </w:r>
      <w:r>
        <w:fldChar w:fldCharType="begin"/>
      </w:r>
      <w:r>
        <w:instrText> HYPERLINK "file:///wiki/Jakobus_3" \l "s17"</w:instrText>
      </w:r>
      <w:r>
        <w:fldChar w:fldCharType="separate"/>
      </w:r>
      <w:r>
        <w:rPr>
          <w:rStyle w:val="Internetlink"/>
        </w:rPr>
        <w:t>Jak 3,17</w:t>
      </w:r>
      <w:r>
        <w:fldChar w:fldCharType="end"/>
      </w:r>
      <w:r>
        <w:rPr/>
        <w:t xml:space="preserve">; vgl. </w:t>
      </w:r>
      <w:hyperlink r:id="rId397">
        <w:r>
          <w:rPr>
            <w:rStyle w:val="Internetlink"/>
          </w:rPr>
          <w:t>Weish 7,22f</w:t>
        </w:r>
      </w:hyperlink>
      <w:r>
        <w:rPr/>
        <w:t xml:space="preserve">; </w:t>
      </w:r>
      <w:hyperlink r:id="rId398">
        <w:r>
          <w:rPr>
            <w:rStyle w:val="Internetlink"/>
          </w:rPr>
          <w:t>Weish 8,6-8</w:t>
        </w:r>
      </w:hyperlink>
      <w:r>
        <w:rPr/>
        <w:t xml:space="preserve">; </w:t>
      </w:r>
      <w:hyperlink r:id="rId399">
        <w:r>
          <w:rPr>
            <w:rStyle w:val="Internetlink"/>
          </w:rPr>
          <w:t>9,1-4</w:t>
        </w:r>
      </w:hyperlink>
      <w:r>
        <w:rPr/>
        <w:t>.</w:t>
      </w:r>
      <w:hyperlink r:id="rId400">
        <w:r>
          <w:rPr>
            <w:rStyle w:val="Internetlink"/>
          </w:rPr>
          <w:t>9-12</w:t>
        </w:r>
      </w:hyperlink>
      <w:r>
        <w:rPr/>
        <w:t>.</w:t>
      </w:r>
      <w:hyperlink r:id="rId401">
        <w:r>
          <w:rPr>
            <w:rStyle w:val="Internetlink"/>
          </w:rPr>
          <w:t>17f</w:t>
        </w:r>
      </w:hyperlink>
      <w:r>
        <w:rPr/>
        <w:t xml:space="preserve">; </w:t>
      </w:r>
      <w:hyperlink r:id="rId402">
        <w:r>
          <w:rPr>
            <w:rStyle w:val="Internetlink"/>
          </w:rPr>
          <w:t>4Makk 1,18-35</w:t>
        </w:r>
      </w:hyperlink>
      <w:r>
        <w:rPr/>
        <w:t xml:space="preserve">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w:t>
      </w:r>
      <w:r>
        <w:fldChar w:fldCharType="begin"/>
      </w:r>
      <w:r>
        <w:instrText> HYPERLINK "http://www.offene-bibel.de/wiki/index.php5?title=Jakobus_1" \l "note_e"</w:instrText>
      </w:r>
      <w:r>
        <w:fldChar w:fldCharType="separate"/>
      </w:r>
      <w:r>
        <w:rPr>
          <w:rStyle w:val="Internetlink"/>
        </w:rPr>
        <w:t>FN e</w:t>
      </w:r>
      <w:r>
        <w:fldChar w:fldCharType="end"/>
      </w:r>
      <w:r>
        <w:rPr/>
        <w:t xml:space="preserve">) - und hierfür ist nach dem Verständnis des altjüdischen Schrifttums </w:t>
      </w:r>
      <w:r>
        <w:rPr>
          <w:i/>
        </w:rPr>
        <w:t>Weisheit</w:t>
      </w:r>
      <w:r>
        <w:rPr/>
        <w:t xml:space="preserve"> vonnöten, s. die obigen Stellen; besonders eindrücklich 4Makk 1,18f.28-30: </w:t>
      </w:r>
    </w:p>
    <w:p>
      <w:pPr>
        <w:pStyle w:val="Listeninhalt"/>
        <w:rPr/>
      </w:pPr>
      <w:r>
        <w:rPr/>
        <w:tab/>
        <w:t>„</w:t>
      </w:r>
      <w:r>
        <w:rPr/>
        <w:t xml:space="preserve">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w:t>
      </w:r>
      <w:hyperlink r:id="rId403">
        <w:r>
          <w:rPr>
            <w:rStyle w:val="Internetlink"/>
          </w:rPr>
          <w:t>Rießler 1928</w:t>
        </w:r>
      </w:hyperlink>
      <w:r>
        <w:rPr/>
        <w:t>)</w:t>
      </w:r>
    </w:p>
  </w:footnote>
  <w:footnote w:id="2218">
    <w:p>
      <w:pPr>
        <w:pStyle w:val="Funote"/>
        <w:rPr/>
      </w:pPr>
      <w:r>
        <w:rPr>
          <w:i/>
        </w:rPr>
        <w:footnoteRef/>
        <w:tab/>
        <w:t>großzügig (vorbehaltlos)</w:t>
      </w:r>
      <w:r>
        <w:rPr/>
        <w:t xml:space="preserve"> - Beide Deutungen des Wortes sind möglich; Gott ist also je nach Verständnis entweder lediglich ein vorbehaltloser Geber (der also bedingungslos gibt) oder sogar ein großzügiger Geber. Die Deutung mit „großzügig“ könnte an die aus </w:t>
      </w:r>
      <w:r>
        <w:fldChar w:fldCharType="begin"/>
      </w:r>
      <w:r>
        <w:instrText> HYPERLINK "file:///wiki/Lukas_11" \l "s9"</w:instrText>
      </w:r>
      <w:r>
        <w:fldChar w:fldCharType="separate"/>
      </w:r>
      <w:r>
        <w:rPr>
          <w:rStyle w:val="Internetlink"/>
        </w:rPr>
        <w:t>Lk 11,9-13</w:t>
      </w:r>
      <w:r>
        <w:fldChar w:fldCharType="end"/>
      </w:r>
      <w:r>
        <w:rPr/>
        <w:t xml:space="preserve"> par </w:t>
      </w:r>
      <w:r>
        <w:fldChar w:fldCharType="begin"/>
      </w:r>
      <w:r>
        <w:instrText> HYPERLINK "file:///wiki/Matthäus_7" \l "s7"</w:instrText>
      </w:r>
      <w:r>
        <w:fldChar w:fldCharType="separate"/>
      </w:r>
      <w:r>
        <w:rPr>
          <w:rStyle w:val="Internetlink"/>
        </w:rPr>
        <w:t>Mt 7,7-11</w:t>
      </w:r>
      <w:r>
        <w:fldChar w:fldCharType="end"/>
      </w:r>
      <w:r>
        <w:rPr/>
        <w:t xml:space="preserve"> bekannte Jesustradition anknüpfen und scheint außerdem besser in den Kontext zu passen.</w:t>
      </w:r>
    </w:p>
  </w:footnote>
  <w:footnote w:id="2219">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220">
    <w:p>
      <w:pPr>
        <w:pStyle w:val="Funote"/>
        <w:rPr/>
      </w:pPr>
      <w:r>
        <w:rPr/>
        <w:footnoteRef/>
        <w:tab/>
        <w:t>Auflösung eines attributiven Ptz. als Relativsatz.</w:t>
      </w:r>
    </w:p>
  </w:footnote>
  <w:footnote w:id="2221">
    <w:p>
      <w:pPr>
        <w:pStyle w:val="Funote"/>
        <w:rPr/>
      </w:pPr>
      <w:r>
        <w:rPr/>
        <w:footnoteRef/>
        <w:tab/>
        <w:t xml:space="preserve">Der Imperativ Präsens (statt Aorist) markiert hier, dass nicht </w:t>
      </w:r>
      <w:r>
        <w:rPr>
          <w:i/>
        </w:rPr>
        <w:t>ein Mal</w:t>
      </w:r>
      <w:r>
        <w:rPr/>
        <w:t xml:space="preserve">, sondern entweder </w:t>
      </w:r>
      <w:r>
        <w:rPr>
          <w:i/>
        </w:rPr>
        <w:t>prinzipiell</w:t>
      </w:r>
      <w:r>
        <w:rPr/>
        <w:t xml:space="preserve"> oder </w:t>
      </w:r>
      <w:r>
        <w:rPr>
          <w:i/>
        </w:rPr>
        <w:t>immer wieder</w:t>
      </w:r>
      <w:r>
        <w:rPr/>
        <w:t xml:space="preserve"> gebeten werden soll.</w:t>
      </w:r>
    </w:p>
  </w:footnote>
  <w:footnote w:id="2222">
    <w:p>
      <w:pPr>
        <w:pStyle w:val="Funote"/>
        <w:rPr/>
      </w:pPr>
      <w:r>
        <w:rPr/>
        <w:footnoteRef/>
        <w:tab/>
        <w:t xml:space="preserve">Modales </w:t>
      </w:r>
      <w:r>
        <w:fldChar w:fldCharType="begin"/>
      </w:r>
      <w:r>
        <w:instrText> HYPERLINK "http://www.offene-bibel.de/wiki/index.php5?title=Partizip" \l "Die_Sinnrichtungen"</w:instrText>
      </w:r>
      <w:r>
        <w:fldChar w:fldCharType="separate"/>
      </w:r>
      <w:r>
        <w:rPr>
          <w:rStyle w:val="Internetlink"/>
        </w:rPr>
        <w:t>adv. Ptz.</w:t>
      </w:r>
      <w:r>
        <w:fldChar w:fldCharType="end"/>
      </w:r>
      <w:r>
        <w:rPr/>
        <w:t>, mit „und“-Konstruktion aufgelöst. Es sollen also keine Bedenken gegen die Bereitwilligkeit Gottes zu geben bestehen (Blomberg 2008, 52).</w:t>
      </w:r>
    </w:p>
  </w:footnote>
  <w:footnote w:id="2223">
    <w:p>
      <w:pPr>
        <w:pStyle w:val="Funote"/>
        <w:rPr/>
      </w:pPr>
      <w:r>
        <w:rPr/>
        <w:footnoteRef/>
        <w:tab/>
        <w:t>Subst. Ptz. aufgelöst.</w:t>
      </w:r>
    </w:p>
  </w:footnote>
  <w:footnote w:id="2224">
    <w:p>
      <w:pPr>
        <w:pStyle w:val="Funote"/>
        <w:rPr/>
      </w:pPr>
      <w:r>
        <w:rPr/>
        <w:footnoteRef/>
        <w:tab/>
        <w:t>Der letzte Nebensatz ersetzt im Deutschen zwei attributive Ptz., die sich wie Adjektive direkt auf die Meereswoge beziehen.</w:t>
      </w:r>
    </w:p>
  </w:footnote>
  <w:footnote w:id="2225">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226">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227">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228">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229">
    <w:p>
      <w:pPr>
        <w:pStyle w:val="Funote"/>
        <w:rPr/>
      </w:pPr>
      <w:r>
        <w:rPr/>
        <w:footnoteRef/>
        <w:tab/>
        <w:t xml:space="preserve">zu „Bruder“ s. </w:t>
      </w:r>
      <w:r>
        <w:fldChar w:fldCharType="begin"/>
      </w:r>
      <w:r>
        <w:instrText> HYPERLINK "http://www.offene-bibel.de/wiki/index.php5?title=Jakobus_1" \l "note_d"</w:instrText>
      </w:r>
      <w:r>
        <w:fldChar w:fldCharType="separate"/>
      </w:r>
      <w:r>
        <w:rPr>
          <w:rStyle w:val="Internetlink"/>
        </w:rPr>
        <w:t>FN d</w:t>
      </w:r>
      <w:r>
        <w:fldChar w:fldCharType="end"/>
      </w:r>
    </w:p>
  </w:footnote>
  <w:footnote w:id="2230">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231">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232">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233">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234">
    <w:p>
      <w:pPr>
        <w:pStyle w:val="Funote"/>
        <w:rPr/>
      </w:pPr>
      <w:r>
        <w:rPr/>
        <w:footnoteRef/>
        <w:tab/>
        <w:t>Alle präsentisch übersetzten Verben in diesem Vers stehen im Urtext im gnomischen Aorist.</w:t>
      </w:r>
    </w:p>
  </w:footnote>
  <w:footnote w:id="2235">
    <w:p>
      <w:pPr>
        <w:pStyle w:val="Funote"/>
        <w:rPr/>
      </w:pPr>
      <w:r>
        <w:rPr/>
        <w:footnoteRef/>
        <w:tab/>
        <w:t xml:space="preserve">Die meisten Handschriften lesen hier „Mann“, jedoch mit klar </w:t>
      </w:r>
      <w:hyperlink r:id="rId404">
        <w:r>
          <w:rPr>
            <w:rStyle w:val="Internetlink"/>
          </w:rPr>
          <w:t>generischer Bedeutung</w:t>
        </w:r>
      </w:hyperlink>
      <w:r>
        <w:rPr/>
        <w:t xml:space="preserve"> (Blomberg 2008, 69).</w:t>
      </w:r>
    </w:p>
  </w:footnote>
  <w:footnote w:id="2236">
    <w:p>
      <w:pPr>
        <w:pStyle w:val="Funote"/>
        <w:rPr/>
      </w:pPr>
      <w:r>
        <w:rPr/>
        <w:footnoteRef/>
        <w:tab/>
        <w:t xml:space="preserve">Gemeint ist, wie oben, keine geistliche Versuchung, sondern allgemein eine Schwierigkeit, eine „Prüfung“ im Leben. S. </w:t>
      </w:r>
      <w:r>
        <w:fldChar w:fldCharType="begin"/>
      </w:r>
      <w:r>
        <w:instrText> HYPERLINK "file:///wiki/Jakobus_1" \l "s2"</w:instrText>
      </w:r>
      <w:r>
        <w:fldChar w:fldCharType="separate"/>
      </w:r>
      <w:r>
        <w:rPr>
          <w:rStyle w:val="Internetlink"/>
        </w:rPr>
        <w:t>Vv. 2-4</w:t>
      </w:r>
      <w:r>
        <w:fldChar w:fldCharType="end"/>
      </w:r>
      <w:r>
        <w:rPr/>
        <w:t xml:space="preserve"> (Blomberg 2008, 69).</w:t>
      </w:r>
    </w:p>
  </w:footnote>
  <w:footnote w:id="2237">
    <w:p>
      <w:pPr>
        <w:pStyle w:val="Funote"/>
        <w:rPr/>
      </w:pPr>
      <w:r>
        <w:rPr/>
        <w:footnoteRef/>
        <w:tab/>
        <w:t>Die Einfügung soll der Bedeutung des Verbs näher kommen.</w:t>
      </w:r>
    </w:p>
  </w:footnote>
  <w:footnote w:id="2238">
    <w:p>
      <w:pPr>
        <w:pStyle w:val="Funote"/>
        <w:rPr/>
      </w:pPr>
      <w:r>
        <w:rPr/>
        <w:footnoteRef/>
        <w:tab/>
        <w:t>Adv. Ptz. Aor., temporal aufgelöst; alternativ auch kausal, modal. Wörtlich: „als ein erprobt (bewährt, tüchtig, angesehen) Gewordenener“.</w:t>
      </w:r>
    </w:p>
  </w:footnote>
  <w:footnote w:id="2239">
    <w:p>
      <w:pPr>
        <w:pStyle w:val="Funote"/>
        <w:rPr/>
      </w:pPr>
      <w:r>
        <w:rPr/>
        <w:footnoteRef/>
        <w:tab/>
        <w:t>Gen. epexegeticus (NSS). „Siegeskranz, welcher das Leben ist“ (Blomberg 2008, 69).</w:t>
      </w:r>
    </w:p>
  </w:footnote>
  <w:footnote w:id="2240">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241">
    <w:p>
      <w:pPr>
        <w:pStyle w:val="Funote"/>
        <w:rPr/>
      </w:pPr>
      <w:r>
        <w:rPr/>
        <w:footnoteRef/>
        <w:tab/>
        <w:t xml:space="preserve">Subst. </w:t>
      </w:r>
      <w:hyperlink r:id="rId405">
        <w:r>
          <w:rPr>
            <w:rStyle w:val="Internetlink"/>
          </w:rPr>
          <w:t>Ptz.</w:t>
        </w:r>
      </w:hyperlink>
      <w:r>
        <w:rPr/>
        <w:t>, hier aufgelöst.</w:t>
      </w:r>
    </w:p>
  </w:footnote>
  <w:footnote w:id="2242">
    <w:p>
      <w:pPr>
        <w:pStyle w:val="Funote"/>
        <w:rPr/>
      </w:pPr>
      <w:r>
        <w:rPr/>
        <w:footnoteRef/>
        <w:tab/>
        <w:t>Wörtlich: „Kein Versuchter (Geprüfter, Auf-die-Probe-Gestellter)“ (Attr. Ptz. Präs.)</w:t>
      </w:r>
    </w:p>
  </w:footnote>
  <w:footnote w:id="2243">
    <w:p>
      <w:pPr>
        <w:pStyle w:val="Funote"/>
        <w:rPr/>
      </w:pPr>
      <w:r>
        <w:rPr/>
        <w:footnoteRef/>
        <w:tab/>
        <w:t>3. Sg. Imp.</w:t>
      </w:r>
    </w:p>
  </w:footnote>
  <w:footnote w:id="2244">
    <w:p>
      <w:pPr>
        <w:pStyle w:val="Funote"/>
        <w:rPr/>
      </w:pPr>
      <w:r>
        <w:rPr>
          <w:lang w:val="el-GR"/>
        </w:rPr>
        <w:footnoteRef/>
        <w:tab/>
        <w:t>ὅτι</w:t>
      </w:r>
      <w:r>
        <w:rPr/>
        <w:t xml:space="preserve"> recitativum.</w:t>
      </w:r>
    </w:p>
  </w:footnote>
  <w:footnote w:id="2245">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246">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247">
    <w:p>
      <w:pPr>
        <w:pStyle w:val="Funote"/>
        <w:rPr/>
      </w:pPr>
      <w:r>
        <w:rPr/>
        <w:footnoteRef/>
        <w:tab/>
        <w:t>Modale Auflösung zweier adv. Ptz. Alternativ kausal, temporal, konditional.</w:t>
      </w:r>
    </w:p>
  </w:footnote>
  <w:footnote w:id="2248">
    <w:p>
      <w:pPr>
        <w:pStyle w:val="Funote"/>
        <w:rPr/>
      </w:pPr>
      <w:r>
        <w:rPr/>
        <w:footnoteRef/>
        <w:tab/>
        <w:t>Ptc. coni. Aor.; temporal aufgelöst.</w:t>
      </w:r>
    </w:p>
  </w:footnote>
  <w:footnote w:id="2249">
    <w:p>
      <w:pPr>
        <w:pStyle w:val="Funote"/>
        <w:rPr/>
      </w:pPr>
      <w:r>
        <w:rPr/>
        <w:footnoteRef/>
        <w:tab/>
        <w:t>Eig. Futur. Die Alternative „erwachsen geworden“ passt in den Sinn der Metapher von der Begierde, dem Gebären und Erwachsenwerden der Sünde (Blomberg 2008, 72).</w:t>
      </w:r>
    </w:p>
  </w:footnote>
  <w:footnote w:id="2250">
    <w:p>
      <w:pPr>
        <w:pStyle w:val="Funote"/>
        <w:rPr/>
      </w:pPr>
      <w:r>
        <w:rPr/>
        <w:footnoteRef/>
        <w:tab/>
        <w:t>Wörtlich: „Werdet nicht getäuscht“. Alternativ auch aktiv: „Täuscht euch nicht“.</w:t>
      </w:r>
    </w:p>
  </w:footnote>
  <w:footnote w:id="2251">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252">
    <w:p>
      <w:pPr>
        <w:pStyle w:val="Funote"/>
        <w:rPr/>
      </w:pPr>
      <w:r>
        <w:rPr/>
        <w:footnoteRef/>
        <w:tab/>
        <w:t>Gemeint sind wohl die Himmelskörper als natürliche Lichtquellen (vgl. Johnson 1995, 196).</w:t>
      </w:r>
    </w:p>
  </w:footnote>
  <w:footnote w:id="2253">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254">
    <w:p>
      <w:pPr>
        <w:pStyle w:val="Funote"/>
        <w:rPr/>
      </w:pPr>
      <w:r>
        <w:rPr/>
        <w:footnoteRef/>
        <w:tab/>
        <w:t>Substantivische Auflösung eines kausalen oder modalen Ptz. Aor. Pass. (wörtlich „gewillt habend“).</w:t>
      </w:r>
    </w:p>
  </w:footnote>
  <w:footnote w:id="2255">
    <w:p>
      <w:pPr>
        <w:pStyle w:val="Funote"/>
        <w:rPr/>
      </w:pPr>
      <w:r>
        <w:rPr/>
        <w:footnoteRef/>
        <w:tab/>
        <w:t>Dat. instrumentalis.</w:t>
      </w:r>
    </w:p>
  </w:footnote>
  <w:footnote w:id="2256">
    <w:p>
      <w:pPr>
        <w:pStyle w:val="Funote"/>
        <w:rPr/>
      </w:pPr>
      <w:r>
        <w:rPr/>
        <w:footnoteRef/>
        <w:tab/>
        <w:t>So NSS. Wörtlich „Wisst“ (Imp.) oder „Ihr wisst“ (Ind., so Johnson 1995, 198). Hier als Imperativ gedeutet. Alternativ „Wisst dies:“ (Blomberg 2008, 85; Mußner 1964, 99).</w:t>
      </w:r>
    </w:p>
  </w:footnote>
  <w:footnote w:id="2257">
    <w:p>
      <w:pPr>
        <w:pStyle w:val="Funote"/>
        <w:rPr/>
      </w:pPr>
      <w:r>
        <w:rPr/>
        <w:footnoteRef/>
        <w:tab/>
        <w:t>Hier verwendet der Autor „Mann“ wieder im generischen Sinne als Synomym für „Mensch“ (Blomberg/Kamell).</w:t>
      </w:r>
    </w:p>
  </w:footnote>
  <w:footnote w:id="2258">
    <w:p>
      <w:pPr>
        <w:pStyle w:val="Funote"/>
        <w:rPr/>
      </w:pPr>
      <w:r>
        <w:rPr/>
        <w:footnoteRef/>
        <w:tab/>
        <w:t>Gen. subi.: also die Gerechtigkeit vor Gott/nach der Gott urteilt. Kann umschrieben werden: „was vor Gott gerecht ist“ (So Lut, EU, NGÜ). Wörtlich „Gerechtigkeit Gottes“ (so bei RevElb, SLT).</w:t>
      </w:r>
    </w:p>
  </w:footnote>
  <w:footnote w:id="2259">
    <w:p>
      <w:pPr>
        <w:pStyle w:val="Funote"/>
        <w:rPr/>
      </w:pPr>
      <w:r>
        <w:rPr/>
        <w:footnoteRef/>
        <w:tab/>
        <w:t>Alternativ nach NSS: „erfüllt nicht die von Gott gesetzte Gerechtigkeit.“</w:t>
      </w:r>
    </w:p>
  </w:footnote>
  <w:footnote w:id="2260">
    <w:p>
      <w:pPr>
        <w:pStyle w:val="Funote"/>
        <w:rPr/>
      </w:pPr>
      <w:r>
        <w:rPr/>
        <w:footnoteRef/>
        <w:tab/>
        <w:t>Wörtlich: „[alles] Übermaß der Schlechtigkeit“. Die Bedeutung ist eindeutig nicht „alle Schlechtigkeit, die ihr übrig habt“, sondern „von der es so viel gibt“.</w:t>
      </w:r>
    </w:p>
  </w:footnote>
  <w:footnote w:id="2261">
    <w:p>
      <w:pPr>
        <w:pStyle w:val="Funote"/>
        <w:rPr/>
      </w:pPr>
      <w:r>
        <w:rPr/>
        <w:footnoteRef/>
        <w:tab/>
        <w:t>Das Verb des ersten Satzteils ist ein Ptz. Aor., das sowohl vorzeitig, als auch gleichzeitig gedeutet werden kann. Deshalb alternativ: „Nachdem/Wenn/Weil ihr ...abgelegt habt“.</w:t>
      </w:r>
    </w:p>
  </w:footnote>
  <w:footnote w:id="2262">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263">
    <w:p>
      <w:pPr>
        <w:pStyle w:val="Funote"/>
        <w:rPr/>
      </w:pPr>
      <w:r>
        <w:rPr/>
        <w:footnoteRef/>
        <w:tab/>
        <w:t>Attr. od. adv. (modales) Ptz.</w:t>
      </w:r>
    </w:p>
  </w:footnote>
  <w:footnote w:id="2264">
    <w:p>
      <w:pPr>
        <w:pStyle w:val="Funote"/>
        <w:rPr/>
      </w:pPr>
      <w:r>
        <w:rPr/>
        <w:footnoteRef/>
        <w:tab/>
        <w:t xml:space="preserve">Adversatives </w:t>
      </w:r>
      <w:r>
        <w:rPr>
          <w:lang w:val="el-GR"/>
        </w:rPr>
        <w:t>καί</w:t>
      </w:r>
      <w:r>
        <w:rPr/>
        <w:t>, das entsprechend wiedergegeben wurde.</w:t>
      </w:r>
    </w:p>
  </w:footnote>
  <w:footnote w:id="2265">
    <w:p>
      <w:pPr>
        <w:pStyle w:val="Funote"/>
        <w:rPr/>
      </w:pPr>
      <w:r>
        <w:rPr/>
        <w:footnoteRef/>
        <w:tab/>
        <w:t>Oder: „natürliches Aussehen“ (So NSS). Wörtlich: „Aussehen/Gesicht der Schöpfung“. Dabei handelt es sich um einen Semitismus, der auch einfach mit „Gesicht“ übersetzt werden kann.</w:t>
      </w:r>
    </w:p>
  </w:footnote>
  <w:footnote w:id="2266">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267">
    <w:p>
      <w:pPr>
        <w:pStyle w:val="Funote"/>
        <w:rPr/>
      </w:pPr>
      <w:r>
        <w:rPr/>
        <w:footnoteRef/>
        <w:tab/>
        <w:t>Indefiniter Konditionalsatz.</w:t>
      </w:r>
    </w:p>
  </w:footnote>
  <w:footnote w:id="2268">
    <w:p>
      <w:pPr>
        <w:pStyle w:val="Funote"/>
        <w:rPr/>
      </w:pPr>
      <w:r>
        <w:rPr/>
        <w:footnoteRef/>
        <w:tab/>
        <w:t>Die ersten drei Verben dieses Satzes stehen eigentlich im gnomischen Aorist/Perfekt.</w:t>
      </w:r>
    </w:p>
  </w:footnote>
  <w:footnote w:id="2269">
    <w:p>
      <w:pPr>
        <w:pStyle w:val="Funote"/>
        <w:rPr/>
      </w:pPr>
      <w:r>
        <w:rPr/>
        <w:footnoteRef/>
        <w:tab/>
        <w:t>Wörtlich: „wie er beschaffen war“</w:t>
      </w:r>
    </w:p>
  </w:footnote>
  <w:footnote w:id="2270">
    <w:p>
      <w:pPr>
        <w:pStyle w:val="Funote"/>
        <w:rPr/>
      </w:pPr>
      <w:r>
        <w:rPr/>
        <w:footnoteRef/>
        <w:tab/>
        <w:t>Wörtlich: „vorbeugt“. Alternativ vorzeitig: „vertieft hat“. Hier wieder gnomisch gedeutet.</w:t>
      </w:r>
    </w:p>
  </w:footnote>
  <w:footnote w:id="2271">
    <w:p>
      <w:pPr>
        <w:pStyle w:val="Funote"/>
        <w:rPr/>
      </w:pPr>
      <w:r>
        <w:rPr/>
        <w:footnoteRef/>
        <w:tab/>
        <w:t>Oder vorzeitig: „geblieben ist“</w:t>
      </w:r>
    </w:p>
  </w:footnote>
  <w:footnote w:id="2272">
    <w:p>
      <w:pPr>
        <w:pStyle w:val="Funote"/>
        <w:rPr/>
      </w:pPr>
      <w:r>
        <w:rPr/>
        <w:footnoteRef/>
        <w:tab/>
        <w:t>Gen. qualitatis. Wörtlich: „Hörer der Vergesslichkeit“</w:t>
      </w:r>
    </w:p>
  </w:footnote>
  <w:footnote w:id="2273">
    <w:p>
      <w:pPr>
        <w:pStyle w:val="Funote"/>
        <w:rPr/>
      </w:pPr>
      <w:r>
        <w:rPr/>
        <w:footnoteRef/>
        <w:tab/>
        <w:t>Oder vorzeitig: „geworden ist“. Das modale Ptz. Aor. Pass. lässt sich analog zu den vorhergehenden Verben verschieden auflösen.</w:t>
      </w:r>
    </w:p>
  </w:footnote>
  <w:footnote w:id="2274">
    <w:p>
      <w:pPr>
        <w:pStyle w:val="Funote"/>
        <w:rPr/>
      </w:pPr>
      <w:r>
        <w:rPr/>
        <w:footnoteRef/>
        <w:tab/>
        <w:t>Eingefügt, um die durativ-iterative Bedeutung des aufgelösten attr. Ptz. Präs. besser zu erfassen.</w:t>
      </w:r>
    </w:p>
  </w:footnote>
  <w:footnote w:id="2275">
    <w:p>
      <w:pPr>
        <w:pStyle w:val="Funote"/>
        <w:rPr/>
      </w:pPr>
      <w:r>
        <w:rPr/>
        <w:footnoteRef/>
        <w:tab/>
        <w:t>Attr. Ptz. Präs.</w:t>
      </w:r>
    </w:p>
  </w:footnote>
  <w:footnote w:id="2276">
    <w:p>
      <w:pPr>
        <w:pStyle w:val="Funote"/>
        <w:rPr/>
      </w:pPr>
      <w:r>
        <w:rPr/>
        <w:footnoteRef/>
        <w:tab/>
        <w:t>Indefiniter Konditionalsatz.</w:t>
      </w:r>
    </w:p>
  </w:footnote>
  <w:footnote w:id="2277">
    <w:p>
      <w:pPr>
        <w:pStyle w:val="Funote"/>
        <w:rPr/>
      </w:pPr>
      <w:r>
        <w:rPr/>
        <w:footnoteRef/>
        <w:tab/>
        <w:t>Wörtlich: „ist dies“</w:t>
      </w:r>
    </w:p>
  </w:footnote>
  <w:footnote w:id="2278">
    <w:p>
      <w:pPr>
        <w:pStyle w:val="Funote"/>
        <w:rPr/>
      </w:pPr>
      <w:r>
        <w:rPr/>
        <w:footnoteRef/>
        <w:tab/>
        <w:t>[Status: Zuverlässig]</w:t>
      </w:r>
    </w:p>
  </w:footnote>
  <w:footnote w:id="2279">
    <w:p>
      <w:pPr>
        <w:pStyle w:val="Funote"/>
        <w:rPr/>
      </w:pPr>
      <w:r>
        <w:rPr/>
        <w:footnoteRef/>
        <w:tab/>
        <w:t>Wörtlich: „Glauben unseres Herrn“. Gen. subi.</w:t>
      </w:r>
    </w:p>
  </w:footnote>
  <w:footnote w:id="2280">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281">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w:t>
      </w:r>
      <w:r>
        <w:fldChar w:fldCharType="begin"/>
      </w:r>
      <w:r>
        <w:instrText> HYPERLINK "file:///wiki/Jakobus_5" \l "s14"</w:instrText>
      </w:r>
      <w:r>
        <w:fldChar w:fldCharType="separate"/>
      </w:r>
      <w:r>
        <w:rPr>
          <w:rStyle w:val="Internetlink"/>
        </w:rPr>
        <w:t>5,14</w:t>
      </w:r>
      <w:r>
        <w:fldChar w:fldCharType="end"/>
      </w:r>
      <w:r>
        <w:rPr/>
        <w:t xml:space="preserve">) – das wäre der einzige Fall im NT, wo das Wort einen christlichen Gottesdienst meint. Auch könne der Autor auf </w:t>
      </w:r>
      <w:r>
        <w:fldChar w:fldCharType="begin"/>
      </w:r>
      <w:r>
        <w:instrText> HYPERLINK "file:///wiki/Levitikus_19" \l "s15"</w:instrText>
      </w:r>
      <w:r>
        <w:fldChar w:fldCharType="separate"/>
      </w:r>
      <w:r>
        <w:rPr>
          <w:rStyle w:val="Internetlink"/>
        </w:rPr>
        <w:t>3. Mose 19,15</w:t>
      </w:r>
      <w:r>
        <w:fldChar w:fldCharType="end"/>
      </w:r>
      <w:r>
        <w:rPr/>
        <w:t xml:space="preserve">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282">
    <w:p>
      <w:pPr>
        <w:pStyle w:val="Funote"/>
        <w:rPr/>
      </w:pPr>
      <w:r>
        <w:rPr/>
        <w:footnoteRef/>
        <w:tab/>
        <w:t>Auf Griechisch ein einziges Adjektiv, „goldfingrig“.</w:t>
      </w:r>
    </w:p>
  </w:footnote>
  <w:footnote w:id="2283">
    <w:p>
      <w:pPr>
        <w:pStyle w:val="Funote"/>
        <w:rPr/>
      </w:pPr>
      <w:r>
        <w:rPr/>
        <w:footnoteRef/>
        <w:tab/>
        <w:t>Wörtlich: „strahlender“, „glänzender“</w:t>
      </w:r>
    </w:p>
  </w:footnote>
  <w:footnote w:id="2284">
    <w:p>
      <w:pPr>
        <w:pStyle w:val="Funote"/>
        <w:rPr/>
      </w:pPr>
      <w:r>
        <w:rPr/>
        <w:footnoteRef/>
        <w:tab/>
        <w:t xml:space="preserve">Subst. </w:t>
      </w:r>
      <w:hyperlink r:id="rId406">
        <w:r>
          <w:rPr>
            <w:rStyle w:val="Internetlink"/>
          </w:rPr>
          <w:t>Ptz</w:t>
        </w:r>
      </w:hyperlink>
      <w:r>
        <w:rPr/>
        <w:t>.</w:t>
      </w:r>
    </w:p>
  </w:footnote>
  <w:footnote w:id="2285">
    <w:p>
      <w:pPr>
        <w:pStyle w:val="Funote"/>
        <w:rPr/>
      </w:pPr>
      <w:r>
        <w:rPr/>
        <w:footnoteRef/>
        <w:tab/>
        <w:t>Wörtlich: „hierher [auf diesen] gut[en Platz]“</w:t>
      </w:r>
    </w:p>
  </w:footnote>
  <w:footnote w:id="2286">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287">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288">
    <w:p>
      <w:pPr>
        <w:pStyle w:val="Funote"/>
        <w:rPr/>
      </w:pPr>
      <w:r>
        <w:rPr/>
        <w:footnoteRef/>
        <w:tab/>
        <w:t>Dasselbe Wort wird weiter oben für „zweifeln, Bedenken haben“ verwendet, kommt hier aber in seiner Grundbedeutung vor.</w:t>
      </w:r>
    </w:p>
  </w:footnote>
  <w:footnote w:id="2289">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290">
    <w:p>
      <w:pPr>
        <w:pStyle w:val="Funote"/>
        <w:rPr/>
      </w:pPr>
      <w:r>
        <w:rPr/>
        <w:footnoteRef/>
        <w:tab/>
        <w:t>Vv. 2-4 sind ein gewöhnlicher, prospektiver Konditionalsatz.</w:t>
      </w:r>
    </w:p>
  </w:footnote>
  <w:footnote w:id="2291">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292">
    <w:p>
      <w:pPr>
        <w:pStyle w:val="Funote"/>
        <w:rPr/>
      </w:pPr>
      <w:r>
        <w:rPr/>
        <w:footnoteRef/>
        <w:tab/>
        <w:t>Der Aorist könnte gnomisch sein. Dann: „Erwählt Gott nicht...?“ (Blomberg/Kamell).</w:t>
      </w:r>
    </w:p>
  </w:footnote>
  <w:footnote w:id="2293">
    <w:p>
      <w:pPr>
        <w:pStyle w:val="Funote"/>
        <w:rPr/>
      </w:pPr>
      <w:r>
        <w:rPr/>
        <w:footnoteRef/>
        <w:tab/>
        <w:t>Alternativ: „als Reiche...“. LUT bezieht „erwählt“ auch auf die „Reichen“ und „Erben“.</w:t>
      </w:r>
    </w:p>
  </w:footnote>
  <w:footnote w:id="2294">
    <w:p>
      <w:pPr>
        <w:pStyle w:val="Funote"/>
        <w:rPr/>
      </w:pPr>
      <w:r>
        <w:rPr/>
        <w:footnoteRef/>
        <w:tab/>
        <w:t xml:space="preserve">Das </w:t>
      </w:r>
      <w:r>
        <w:rPr>
          <w:lang w:val="el-GR"/>
        </w:rPr>
        <w:t>οὐχ</w:t>
      </w:r>
      <w:r>
        <w:rPr/>
        <w:t xml:space="preserve"> am Satzanfang bezieht sich auch auf dieses Verb.</w:t>
      </w:r>
    </w:p>
  </w:footnote>
  <w:footnote w:id="2295">
    <w:p>
      <w:pPr>
        <w:pStyle w:val="Funote"/>
        <w:rPr/>
      </w:pPr>
      <w:r>
        <w:rPr/>
        <w:footnoteRef/>
        <w:tab/>
        <w:t>Eigentlich ein Futur; drückt ein besonders starkes Gebot aus.</w:t>
      </w:r>
    </w:p>
  </w:footnote>
  <w:footnote w:id="2296">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 </w:t>
      </w:r>
    </w:p>
  </w:footnote>
  <w:footnote w:id="2297">
    <w:p>
      <w:pPr>
        <w:pStyle w:val="Funote"/>
        <w:rPr/>
      </w:pPr>
      <w:r>
        <w:rPr/>
        <w:footnoteRef/>
        <w:tab/>
        <w:t>Indefiniter Konditionalsatz.</w:t>
      </w:r>
    </w:p>
  </w:footnote>
  <w:footnote w:id="2298">
    <w:p>
      <w:pPr>
        <w:pStyle w:val="Funote"/>
        <w:rPr/>
      </w:pPr>
      <w:r>
        <w:rPr/>
        <w:footnoteRef/>
        <w:tab/>
        <w:t>so NSS</w:t>
      </w:r>
    </w:p>
  </w:footnote>
  <w:footnote w:id="2299">
    <w:p>
      <w:pPr>
        <w:pStyle w:val="Funote"/>
        <w:rPr/>
      </w:pPr>
      <w:r>
        <w:rPr/>
        <w:footnoteRef/>
        <w:tab/>
        <w:t>So wörtlich. Lt. B/A hier auch „Sünder“.</w:t>
      </w:r>
    </w:p>
  </w:footnote>
  <w:footnote w:id="2300">
    <w:p>
      <w:pPr>
        <w:pStyle w:val="Funote"/>
        <w:rPr/>
      </w:pPr>
      <w:r>
        <w:rPr/>
        <w:footnoteRef/>
        <w:tab/>
        <w:t>Modale Auflösung des Ptc. coni. Möglicherweise auch kausal („weil … ihr überführt werdet“) bzw. einfach mit „und“</w:t>
      </w:r>
    </w:p>
  </w:footnote>
  <w:footnote w:id="2301">
    <w:p>
      <w:pPr>
        <w:pStyle w:val="Funote"/>
        <w:rPr/>
      </w:pPr>
      <w:r>
        <w:rPr/>
        <w:footnoteRef/>
        <w:tab/>
        <w:t>Indefiniter Konditionalsatz.</w:t>
      </w:r>
    </w:p>
  </w:footnote>
  <w:footnote w:id="2302">
    <w:p>
      <w:pPr>
        <w:pStyle w:val="Funote"/>
        <w:rPr/>
      </w:pPr>
      <w:r>
        <w:rPr/>
        <w:footnoteRef/>
        <w:tab/>
        <w:t xml:space="preserve">Bedeutung: „auch nur gegen ein Gebot verstößt“ </w:t>
      </w:r>
    </w:p>
  </w:footnote>
  <w:footnote w:id="2303">
    <w:p>
      <w:pPr>
        <w:pStyle w:val="Funote"/>
        <w:rPr/>
      </w:pPr>
      <w:r>
        <w:rPr/>
        <w:footnoteRef/>
        <w:tab/>
        <w:t xml:space="preserve">Hier steht im Urtext ein Pf., das das Resultat einer Handlung betont; daher die Einfügung „[dadurch]“.Es ist unklar, ob mit „in Einem“ – „in Allen“ einzelne Gebote oder ähnliche Bereiche gemeint sind. </w:t>
      </w:r>
    </w:p>
  </w:footnote>
  <w:footnote w:id="2304">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305">
    <w:p>
      <w:pPr>
        <w:pStyle w:val="Funote"/>
        <w:rPr/>
      </w:pPr>
      <w:r>
        <w:rPr/>
        <w:footnoteRef/>
        <w:tab/>
        <w:t xml:space="preserve">Hier steht im Urtext ein Pf., das das Resultat einer Handlung betont; daher die Einfügung „[dadurch]“. </w:t>
      </w:r>
    </w:p>
  </w:footnote>
  <w:footnote w:id="2306">
    <w:p>
      <w:pPr>
        <w:pStyle w:val="Funote"/>
        <w:rPr/>
      </w:pPr>
      <w:r>
        <w:rPr/>
        <w:footnoteRef/>
        <w:tab/>
        <w:t>Indefiniter Konditionalsatz.</w:t>
      </w:r>
    </w:p>
  </w:footnote>
  <w:footnote w:id="2307">
    <w:p>
      <w:pPr>
        <w:pStyle w:val="Funote"/>
        <w:rPr/>
      </w:pPr>
      <w:r>
        <w:rPr/>
        <w:footnoteRef/>
        <w:tab/>
        <w:t>Wörtlich „durch“. Alternativ „anhand“, „auf Grundlage“.</w:t>
      </w:r>
    </w:p>
  </w:footnote>
  <w:footnote w:id="2308">
    <w:p>
      <w:pPr>
        <w:pStyle w:val="Funote"/>
        <w:rPr/>
      </w:pPr>
      <w:r>
        <w:rPr/>
        <w:footnoteRef/>
        <w:tab/>
        <w:t>Attr. Ptz.</w:t>
      </w:r>
    </w:p>
  </w:footnote>
  <w:footnote w:id="2309">
    <w:p>
      <w:pPr>
        <w:pStyle w:val="Funote"/>
        <w:rPr/>
      </w:pPr>
      <w:r>
        <w:rPr/>
        <w:footnoteRef/>
        <w:tab/>
        <w:t>Wörtlich: „Was [ist] der Nutzen“.</w:t>
      </w:r>
    </w:p>
  </w:footnote>
  <w:footnote w:id="2310">
    <w:p>
      <w:pPr>
        <w:pStyle w:val="Funote"/>
        <w:rPr/>
      </w:pPr>
      <w:r>
        <w:rPr/>
        <w:footnoteRef/>
        <w:tab/>
        <w:t>Prospektiver Konditionalsatz.</w:t>
      </w:r>
    </w:p>
  </w:footnote>
  <w:footnote w:id="2311">
    <w:p>
      <w:pPr>
        <w:pStyle w:val="Funote"/>
        <w:rPr/>
      </w:pPr>
      <w:r>
        <w:rPr/>
        <w:footnoteRef/>
        <w:tab/>
        <w:t>Griechischer Abschiedsgruß. Lt. B/A entspricht das etwa dem Dt. „Bleiben Sie gesund!“. Alternativ sicher auch „Leb wohl!“ o. ä.</w:t>
      </w:r>
    </w:p>
  </w:footnote>
  <w:footnote w:id="2312">
    <w:p>
      <w:pPr>
        <w:pStyle w:val="Funote"/>
        <w:rPr/>
      </w:pPr>
      <w:r>
        <w:rPr/>
        <w:footnoteRef/>
        <w:tab/>
        <w:t>Vulgo: „was sie zum Leben brauchen“, „das Lebensnotwendige“</w:t>
      </w:r>
    </w:p>
  </w:footnote>
  <w:footnote w:id="2313">
    <w:p>
      <w:pPr>
        <w:pStyle w:val="Funote"/>
        <w:rPr/>
      </w:pPr>
      <w:r>
        <w:rPr/>
        <w:footnoteRef/>
        <w:tab/>
        <w:t>Wörtlich: „Was [ist] der Nutzen“ (cf. 14).</w:t>
      </w:r>
    </w:p>
  </w:footnote>
  <w:footnote w:id="2314">
    <w:p>
      <w:pPr>
        <w:pStyle w:val="Funote"/>
        <w:rPr/>
      </w:pPr>
      <w:r>
        <w:rPr/>
        <w:footnoteRef/>
        <w:tab/>
        <w:t>Vv. 15-16: Wieder ein prospektiver Konditionalsatz.</w:t>
      </w:r>
    </w:p>
  </w:footnote>
  <w:footnote w:id="2315">
    <w:p>
      <w:pPr>
        <w:pStyle w:val="Funote"/>
        <w:rPr/>
      </w:pPr>
      <w:r>
        <w:rPr/>
        <w:footnoteRef/>
        <w:tab/>
        <w:t>Prospektiver Konditionalsatz.</w:t>
      </w:r>
    </w:p>
  </w:footnote>
  <w:footnote w:id="2316">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317">
    <w:p>
      <w:pPr>
        <w:pStyle w:val="Funote"/>
        <w:rPr/>
      </w:pPr>
      <w:r>
        <w:rPr/>
        <w:footnoteRef/>
        <w:tab/>
        <w:t>Wörtlich „dass nur [einer] Gott ist?“. Alternativ als Frage: „Glaubst du, dass es nur einen Gott gibt?“</w:t>
      </w:r>
    </w:p>
  </w:footnote>
  <w:footnote w:id="2318">
    <w:p>
      <w:pPr>
        <w:pStyle w:val="Funote"/>
        <w:rPr/>
      </w:pPr>
      <w:r>
        <w:rPr/>
        <w:footnoteRef/>
        <w:tab/>
        <w:t>Wörtlich: „Du handelst gut/richtig!“</w:t>
      </w:r>
    </w:p>
  </w:footnote>
  <w:footnote w:id="2319">
    <w:p>
      <w:pPr>
        <w:pStyle w:val="Funote"/>
        <w:rPr/>
      </w:pPr>
      <w:r>
        <w:rPr/>
        <w:footnoteRef/>
        <w:tab/>
        <w:t>Oder in Form einer echten Frage: „Willst du wissen/einsehen...“ (so bei Blomberg/Kamell).</w:t>
      </w:r>
    </w:p>
  </w:footnote>
  <w:footnote w:id="2320">
    <w:p>
      <w:pPr>
        <w:pStyle w:val="Funote"/>
        <w:rPr/>
      </w:pPr>
      <w:r>
        <w:rPr/>
        <w:footnoteRef/>
        <w:tab/>
        <w:t>Von B/A präferiert.</w:t>
      </w:r>
    </w:p>
  </w:footnote>
  <w:footnote w:id="2321">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322">
    <w:p>
      <w:pPr>
        <w:pStyle w:val="Funote"/>
        <w:rPr/>
      </w:pPr>
      <w:r>
        <w:rPr/>
        <w:footnoteRef/>
        <w:tab/>
        <w:t>I.e. Abrahams.</w:t>
      </w:r>
    </w:p>
  </w:footnote>
  <w:footnote w:id="2323">
    <w:p>
      <w:pPr>
        <w:pStyle w:val="Funote"/>
        <w:rPr/>
      </w:pPr>
      <w:r>
        <w:rPr/>
        <w:footnoteRef/>
        <w:tab/>
        <w:t>Imperfekt; mit durativer/iterativer Bedeutung; hier vielleicht als schrittweise Prozess zu deuten.</w:t>
      </w:r>
    </w:p>
  </w:footnote>
  <w:footnote w:id="2324">
    <w:p>
      <w:pPr>
        <w:pStyle w:val="Funote"/>
        <w:rPr/>
      </w:pPr>
      <w:r>
        <w:rPr/>
        <w:footnoteRef/>
        <w:tab/>
        <w:t>Oder dem Kontext nach „[seine]“.</w:t>
      </w:r>
    </w:p>
  </w:footnote>
  <w:footnote w:id="2325">
    <w:p>
      <w:pPr>
        <w:pStyle w:val="Funote"/>
        <w:rPr/>
      </w:pPr>
      <w:r>
        <w:rPr/>
        <w:footnoteRef/>
        <w:tab/>
        <w:t>Attr. Ptz.</w:t>
      </w:r>
    </w:p>
  </w:footnote>
  <w:footnote w:id="2326">
    <w:p>
      <w:pPr>
        <w:pStyle w:val="Funote"/>
        <w:rPr/>
      </w:pPr>
      <w:r>
        <w:rPr/>
        <w:footnoteRef/>
        <w:tab/>
        <w:t>So B/A.</w:t>
      </w:r>
    </w:p>
  </w:footnote>
  <w:footnote w:id="2327">
    <w:p>
      <w:pPr>
        <w:pStyle w:val="Funote"/>
        <w:rPr/>
      </w:pPr>
      <w:r>
        <w:rPr/>
        <w:footnoteRef/>
        <w:tab/>
        <w:t>So B/A.</w:t>
      </w:r>
    </w:p>
  </w:footnote>
  <w:footnote w:id="2328">
    <w:p>
      <w:pPr>
        <w:pStyle w:val="Funote"/>
        <w:rPr/>
      </w:pPr>
      <w:r>
        <w:rPr/>
        <w:footnoteRef/>
        <w:tab/>
        <w:t>Dat. modi.</w:t>
      </w:r>
    </w:p>
  </w:footnote>
  <w:footnote w:id="2329">
    <w:p>
      <w:pPr>
        <w:pStyle w:val="Funote"/>
        <w:rPr/>
      </w:pPr>
      <w:r>
        <w:rPr/>
        <w:footnoteRef/>
        <w:tab/>
        <w:t>Hier temporale Auflösung zweier Ptc. coni. Alternativ auch modal: „indem“ oder kausal: „weil“</w:t>
      </w:r>
    </w:p>
  </w:footnote>
  <w:footnote w:id="2330">
    <w:p>
      <w:pPr>
        <w:pStyle w:val="Funote"/>
        <w:rPr/>
      </w:pPr>
      <w:r>
        <w:rPr/>
        <w:footnoteRef/>
        <w:tab/>
        <w:t>[Status: Zuverlässig]</w:t>
      </w:r>
    </w:p>
  </w:footnote>
  <w:footnote w:id="2331">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332">
    <w:p>
      <w:pPr>
        <w:pStyle w:val="Funote"/>
        <w:rPr/>
      </w:pPr>
      <w:r>
        <w:rPr/>
        <w:footnoteRef/>
        <w:tab/>
        <w:t>Kausal aufgelöstes attributives Ptz. Hier bieten sich wohl keine alternativen Sinnrichtungen zur Auflösung an.</w:t>
      </w:r>
    </w:p>
  </w:footnote>
  <w:footnote w:id="2333">
    <w:p>
      <w:pPr>
        <w:pStyle w:val="Funote"/>
        <w:rPr/>
      </w:pPr>
      <w:r>
        <w:rPr/>
        <w:footnoteRef/>
        <w:tab/>
        <w:t>Im geistlichen Sinn auch als „fehlen“, „sündigen“. Vorgeschlagene Bedeutung hier: „wir alle begehen viele Sünden“ (B/A, NSS).</w:t>
      </w:r>
    </w:p>
  </w:footnote>
  <w:footnote w:id="2334">
    <w:p>
      <w:pPr>
        <w:pStyle w:val="Funote"/>
        <w:rPr/>
      </w:pPr>
      <w:r>
        <w:rPr/>
        <w:footnoteRef/>
        <w:tab/>
        <w:t>Wörtlich: „im Wort“</w:t>
      </w:r>
    </w:p>
  </w:footnote>
  <w:footnote w:id="2335">
    <w:p>
      <w:pPr>
        <w:pStyle w:val="Funote"/>
        <w:rPr/>
      </w:pPr>
      <w:hyperlink r:id="rId407">
        <w:r>
          <w:rPr>
            <w:rStyle w:val="Internetlink"/>
          </w:rPr>
          <w:footnoteRef/>
          <w:tab/>
          <w:t>Generisches Maskulinum</w:t>
        </w:r>
      </w:hyperlink>
      <w:r>
        <w:rPr/>
        <w:t>.</w:t>
      </w:r>
    </w:p>
  </w:footnote>
  <w:footnote w:id="2336">
    <w:p>
      <w:pPr>
        <w:pStyle w:val="Funote"/>
        <w:rPr/>
      </w:pPr>
      <w:r>
        <w:rPr/>
        <w:footnoteRef/>
        <w:tab/>
        <w:t>Indefiniter Konditionalsatz.</w:t>
      </w:r>
    </w:p>
  </w:footnote>
  <w:footnote w:id="2337">
    <w:p>
      <w:pPr>
        <w:pStyle w:val="Funote"/>
        <w:rPr/>
      </w:pPr>
      <w:r>
        <w:rPr/>
        <w:footnoteRef/>
        <w:tab/>
        <w:t>Ursprünglich ein Genitiv.</w:t>
      </w:r>
    </w:p>
  </w:footnote>
  <w:footnote w:id="2338">
    <w:p>
      <w:pPr>
        <w:pStyle w:val="Funote"/>
        <w:rPr/>
      </w:pPr>
      <w:r>
        <w:rPr/>
        <w:footnoteRef/>
        <w:tab/>
        <w:t>Ursprünglich im Plural.</w:t>
      </w:r>
    </w:p>
  </w:footnote>
  <w:footnote w:id="2339">
    <w:p>
      <w:pPr>
        <w:pStyle w:val="Funote"/>
        <w:rPr/>
      </w:pPr>
      <w:r>
        <w:rPr/>
        <w:footnoteRef/>
        <w:tab/>
        <w:t>Auflösung eines „</w:t>
      </w:r>
      <w:r>
        <w:rPr>
          <w:lang w:val="el-GR"/>
        </w:rPr>
        <w:t>εἰς τὸ</w:t>
      </w:r>
      <w:r>
        <w:rPr/>
        <w:t>“ + Inf.</w:t>
      </w:r>
    </w:p>
  </w:footnote>
  <w:footnote w:id="2340">
    <w:p>
      <w:pPr>
        <w:pStyle w:val="Funote"/>
        <w:rPr/>
      </w:pPr>
      <w:r>
        <w:rPr/>
        <w:footnoteRef/>
        <w:tab/>
        <w:t xml:space="preserve">Konsekutives </w:t>
      </w:r>
      <w:r>
        <w:rPr>
          <w:lang w:val="el-GR"/>
        </w:rPr>
        <w:t>καί</w:t>
      </w:r>
      <w:r>
        <w:rPr/>
        <w:t>.</w:t>
      </w:r>
    </w:p>
  </w:footnote>
  <w:footnote w:id="2341">
    <w:p>
      <w:pPr>
        <w:pStyle w:val="Funote"/>
        <w:rPr/>
      </w:pPr>
      <w:r>
        <w:rPr/>
        <w:footnoteRef/>
        <w:tab/>
        <w:t>Indefiniter Konditionalsatz.</w:t>
      </w:r>
    </w:p>
  </w:footnote>
  <w:footnote w:id="2342">
    <w:p>
      <w:pPr>
        <w:pStyle w:val="Funote"/>
        <w:rPr/>
      </w:pPr>
      <w:r>
        <w:rPr/>
        <w:footnoteRef/>
        <w:tab/>
        <w:t>Im Urtext zwei Ptc. coni., hier konzessiv aufgelöst.</w:t>
      </w:r>
    </w:p>
  </w:footnote>
  <w:footnote w:id="2343">
    <w:p>
      <w:pPr>
        <w:pStyle w:val="Funote"/>
        <w:rPr/>
      </w:pPr>
      <w:r>
        <w:rPr/>
        <w:footnoteRef/>
        <w:tab/>
        <w:t>Wörtlich „von [dem] kleinsten“. Muss hier elativisch verstanden werden: „sehr klein“, „winzig“</w:t>
      </w:r>
    </w:p>
  </w:footnote>
  <w:footnote w:id="2344">
    <w:p>
      <w:pPr>
        <w:pStyle w:val="Funote"/>
        <w:rPr/>
      </w:pPr>
      <w:r>
        <w:rPr/>
        <w:footnoteRef/>
        <w:tab/>
        <w:t>Eine gute kommunikative Übersetzung könnte „Belieben“ sein.</w:t>
      </w:r>
    </w:p>
  </w:footnote>
  <w:footnote w:id="2345">
    <w:p>
      <w:pPr>
        <w:pStyle w:val="Funote"/>
        <w:rPr/>
      </w:pPr>
      <w:r>
        <w:rPr/>
        <w:footnoteRef/>
        <w:tab/>
        <w:t>Gen. qualitatis. Kommunikativ kann „Welt voller Unrecht“, „von Unrecht beherrschte Welt“, etc. übersetzt werden.</w:t>
      </w:r>
    </w:p>
  </w:footnote>
  <w:footnote w:id="2346">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347">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348">
    <w:p>
      <w:pPr>
        <w:pStyle w:val="Funote"/>
        <w:rPr/>
      </w:pPr>
      <w:r>
        <w:rPr/>
        <w:footnoteRef/>
        <w:tab/>
        <w:t>Je nach Akzentsetzung entweder „Rad“ oder „Bahn/Kurs“; bezeichnet allgemein etwas Rundes (Johnson; dort auf Englisch „course“; von mir entsprechend übersetzt).</w:t>
      </w:r>
    </w:p>
  </w:footnote>
  <w:footnote w:id="2349">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350">
    <w:p>
      <w:pPr>
        <w:pStyle w:val="Funote"/>
        <w:rPr/>
      </w:pPr>
      <w:r>
        <w:rPr/>
        <w:footnoteRef/>
        <w:tab/>
        <w:t>Auflösung zweier attributiver Partizipien als Relativsatz.</w:t>
      </w:r>
    </w:p>
  </w:footnote>
  <w:footnote w:id="2351">
    <w:p>
      <w:pPr>
        <w:pStyle w:val="Funote"/>
        <w:rPr/>
      </w:pPr>
      <w:r>
        <w:rPr/>
        <w:footnoteRef/>
        <w:tab/>
        <w:t>Oder „Gehenna“. Hier werden die sehr semitischen Wurzeln des Schreibens offensichtlich.</w:t>
      </w:r>
    </w:p>
  </w:footnote>
  <w:footnote w:id="2352">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353">
    <w:p>
      <w:pPr>
        <w:pStyle w:val="Funote"/>
        <w:rPr/>
      </w:pPr>
      <w:r>
        <w:rPr/>
        <w:footnoteRef/>
        <w:tab/>
        <w:t>Dieses unbestimmte „</w:t>
      </w:r>
      <w:r>
        <w:rPr>
          <w:lang w:val="el-GR"/>
        </w:rPr>
        <w:t>πασα</w:t>
      </w:r>
      <w:r>
        <w:rPr/>
        <w:t>“ kann auch allgemeiner als „alle möglichen...“ übersetzt werden.</w:t>
      </w:r>
    </w:p>
  </w:footnote>
  <w:footnote w:id="2354">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355">
    <w:p>
      <w:pPr>
        <w:pStyle w:val="Funote"/>
        <w:rPr/>
      </w:pPr>
      <w:r>
        <w:rPr/>
        <w:footnoteRef/>
        <w:tab/>
        <w:t>Dat. auctoris.</w:t>
      </w:r>
    </w:p>
  </w:footnote>
  <w:footnote w:id="2356">
    <w:p>
      <w:pPr>
        <w:pStyle w:val="Funote"/>
        <w:rPr/>
      </w:pPr>
      <w:r>
        <w:rPr/>
        <w:footnoteRef/>
        <w:tab/>
        <w:t>Hier steht im Urtext ein Pf., das „worden“ tritt also hinter das Resultat des „ist“ zurück.</w:t>
      </w:r>
    </w:p>
  </w:footnote>
  <w:footnote w:id="2357">
    <w:p>
      <w:pPr>
        <w:pStyle w:val="Funote"/>
        <w:rPr/>
      </w:pPr>
      <w:r>
        <w:rPr/>
        <w:footnoteRef/>
        <w:tab/>
        <w:t>Gen. partitivus. Wörtlich: „keiner/niemand [der] Menschen“</w:t>
      </w:r>
    </w:p>
  </w:footnote>
  <w:footnote w:id="2358">
    <w:p>
      <w:pPr>
        <w:pStyle w:val="Funote"/>
        <w:rPr/>
      </w:pPr>
      <w:r>
        <w:rPr/>
        <w:footnoteRef/>
        <w:tab/>
        <w:t>Alternativ: „[sie ist] ein“</w:t>
      </w:r>
    </w:p>
  </w:footnote>
  <w:footnote w:id="2359">
    <w:p>
      <w:pPr>
        <w:pStyle w:val="Funote"/>
        <w:rPr/>
      </w:pPr>
      <w:r>
        <w:rPr/>
        <w:footnoteRef/>
        <w:tab/>
        <w:t>B/A</w:t>
      </w:r>
    </w:p>
  </w:footnote>
  <w:footnote w:id="2360">
    <w:p>
      <w:pPr>
        <w:pStyle w:val="Funote"/>
        <w:rPr/>
      </w:pPr>
      <w:r>
        <w:rPr/>
        <w:footnoteRef/>
        <w:tab/>
        <w:t>Blomberg/Kamell.</w:t>
      </w:r>
    </w:p>
  </w:footnote>
  <w:footnote w:id="2361">
    <w:p>
      <w:pPr>
        <w:pStyle w:val="Funote"/>
        <w:rPr/>
      </w:pPr>
      <w:r>
        <w:rPr/>
        <w:footnoteRef/>
        <w:tab/>
        <w:t>Cf. 1,8</w:t>
      </w:r>
    </w:p>
  </w:footnote>
  <w:footnote w:id="2362">
    <w:p>
      <w:pPr>
        <w:pStyle w:val="Funote"/>
        <w:rPr/>
      </w:pPr>
      <w:r>
        <w:rPr/>
        <w:footnoteRef/>
        <w:tab/>
        <w:t>Instrumental (NSS). Wörtlich: „Durch sie“. Analog später im Vers.</w:t>
      </w:r>
    </w:p>
  </w:footnote>
  <w:footnote w:id="2363">
    <w:p>
      <w:pPr>
        <w:pStyle w:val="Funote"/>
        <w:rPr/>
      </w:pPr>
      <w:r>
        <w:rPr/>
        <w:footnoteRef/>
        <w:tab/>
        <w:t>Attr. Ptz. Pf. Pass. Das griechische Pf. wurde hier, wie es seiner Bedeutung am ehesten entspricht, als Zustandsperfekt übersetzt.</w:t>
      </w:r>
    </w:p>
  </w:footnote>
  <w:footnote w:id="2364">
    <w:p>
      <w:pPr>
        <w:pStyle w:val="Funote"/>
        <w:rPr/>
      </w:pPr>
      <w:r>
        <w:rPr/>
        <w:footnoteRef/>
        <w:tab/>
        <w:t>Frei zitiert nach 1 Mose 1,26f.</w:t>
      </w:r>
    </w:p>
  </w:footnote>
  <w:footnote w:id="2365">
    <w:p>
      <w:pPr>
        <w:pStyle w:val="Funote"/>
        <w:rPr/>
      </w:pPr>
      <w:r>
        <w:rPr/>
        <w:footnoteRef/>
        <w:tab/>
        <w:t>Auflösung eines AcI.</w:t>
      </w:r>
    </w:p>
  </w:footnote>
  <w:footnote w:id="2366">
    <w:p>
      <w:pPr>
        <w:pStyle w:val="Funote"/>
        <w:rPr/>
      </w:pPr>
      <w:r>
        <w:rPr/>
        <w:footnoteRef/>
        <w:tab/>
        <w:t>Wörtlich: „das Süße und das Bittere“</w:t>
      </w:r>
    </w:p>
  </w:footnote>
  <w:footnote w:id="2367">
    <w:p>
      <w:pPr>
        <w:pStyle w:val="Funote"/>
        <w:rPr/>
      </w:pPr>
      <w:r>
        <w:rPr/>
        <w:footnoteRef/>
        <w:tab/>
        <w:t>Wörtlich: „das Salzige“</w:t>
      </w:r>
    </w:p>
  </w:footnote>
  <w:footnote w:id="2368">
    <w:p>
      <w:pPr>
        <w:pStyle w:val="Funote"/>
        <w:rPr/>
      </w:pPr>
      <w:r>
        <w:rPr/>
        <w:footnoteRef/>
        <w:tab/>
        <w:t>Wörtlich: „süßes Wasser“</w:t>
      </w:r>
    </w:p>
  </w:footnote>
  <w:footnote w:id="2369">
    <w:p>
      <w:pPr>
        <w:pStyle w:val="Funote"/>
        <w:rPr/>
      </w:pPr>
      <w:r>
        <w:rPr/>
        <w:footnoteRef/>
        <w:tab/>
        <w:t>Die Bedeutung des Wortes ist die von anwendbarer Kundigkeit (Blomberg/Kamell). Kommunikativ vielleicht „erfahren“.</w:t>
      </w:r>
    </w:p>
  </w:footnote>
  <w:footnote w:id="2370">
    <w:p>
      <w:pPr>
        <w:pStyle w:val="Funote"/>
        <w:rPr/>
      </w:pPr>
      <w:r>
        <w:rPr/>
        <w:footnoteRef/>
        <w:tab/>
        <w:t>Wörtlich: „aus“</w:t>
      </w:r>
    </w:p>
  </w:footnote>
  <w:footnote w:id="2371">
    <w:p>
      <w:pPr>
        <w:pStyle w:val="Funote"/>
        <w:rPr/>
      </w:pPr>
      <w:r>
        <w:rPr/>
        <w:footnoteRef/>
        <w:tab/>
        <w:t>ie eigentliche Bedeutung ist wohl die eines „sanften Charakters“ im Gegensatz einem aufbrausenden Charakter (cf. Louw/Nida).</w:t>
      </w:r>
    </w:p>
  </w:footnote>
  <w:footnote w:id="2372">
    <w:p>
      <w:pPr>
        <w:pStyle w:val="Funote"/>
        <w:rPr/>
      </w:pPr>
      <w:r>
        <w:rPr/>
        <w:footnoteRef/>
        <w:tab/>
        <w:t>Wörtlich „Bescheidenheit [der] Weisheit“; Gen. pertinentiae, also „Bescheidenheit, die von Weisheit kommt“.</w:t>
      </w:r>
    </w:p>
  </w:footnote>
  <w:footnote w:id="2373">
    <w:p>
      <w:pPr>
        <w:pStyle w:val="Funote"/>
        <w:rPr/>
      </w:pPr>
      <w:r>
        <w:rPr/>
        <w:footnoteRef/>
        <w:tab/>
        <w:t>Blomberg/Kamell.</w:t>
      </w:r>
    </w:p>
  </w:footnote>
  <w:footnote w:id="2374">
    <w:p>
      <w:pPr>
        <w:pStyle w:val="Funote"/>
        <w:rPr/>
      </w:pPr>
      <w:r>
        <w:rPr/>
        <w:footnoteRef/>
        <w:tab/>
        <w:t>Da der deutsche Imperativ in der 3. Person nicht vorkommt, muss mit „soll“ oder „muss“ umschrieben werden.</w:t>
      </w:r>
    </w:p>
  </w:footnote>
  <w:footnote w:id="2375">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376">
    <w:p>
      <w:pPr>
        <w:pStyle w:val="Funote"/>
        <w:rPr/>
      </w:pPr>
      <w:r>
        <w:rPr/>
        <w:footnoteRef/>
        <w:tab/>
        <w:t>Indefiniter Konditionalsatz.</w:t>
      </w:r>
    </w:p>
  </w:footnote>
  <w:footnote w:id="2377">
    <w:p>
      <w:pPr>
        <w:pStyle w:val="Funote"/>
        <w:rPr/>
      </w:pPr>
      <w:r>
        <w:rPr/>
        <w:footnoteRef/>
        <w:tab/>
        <w:t>Attributive Auflösung. Wörtlich „ist … herabkommend“. Alternativ periphrastisch: „Diese Weisheit kommt nicht von oben herab...“</w:t>
      </w:r>
    </w:p>
  </w:footnote>
  <w:footnote w:id="2378">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379">
    <w:p>
      <w:pPr>
        <w:pStyle w:val="Funote"/>
        <w:rPr/>
      </w:pPr>
      <w:r>
        <w:rPr/>
        <w:footnoteRef/>
        <w:tab/>
        <w:t>Nach der Bedeutung dieses unbestimmten „</w:t>
      </w:r>
      <w:r>
        <w:rPr>
          <w:lang w:val="el-GR"/>
        </w:rPr>
        <w:t>πάν</w:t>
      </w:r>
      <w:r>
        <w:rPr/>
        <w:t>“ eingefügt (Johnson).</w:t>
      </w:r>
    </w:p>
  </w:footnote>
  <w:footnote w:id="2380">
    <w:p>
      <w:pPr>
        <w:pStyle w:val="Funote"/>
        <w:rPr/>
      </w:pPr>
      <w:r>
        <w:rPr/>
        <w:footnoteRef/>
        <w:tab/>
        <w:t>Der Begriff drückt Niedrigkeit, Gemeinheit, Gewöhnlichkeit in einem sehr negativen Sinn aus (Johnson).</w:t>
      </w:r>
    </w:p>
  </w:footnote>
  <w:footnote w:id="2381">
    <w:p>
      <w:pPr>
        <w:pStyle w:val="Funote"/>
        <w:rPr/>
      </w:pPr>
      <w:r>
        <w:rPr/>
        <w:footnoteRef/>
        <w:tab/>
        <w:t>Johnson</w:t>
      </w:r>
    </w:p>
  </w:footnote>
  <w:footnote w:id="2382">
    <w:p>
      <w:pPr>
        <w:pStyle w:val="Funote"/>
        <w:rPr/>
      </w:pPr>
      <w:r>
        <w:rPr/>
        <w:footnoteRef/>
        <w:tab/>
        <w:t>LUT u.a. (SLT, NGÜ): „lässt sich etwas sagen“</w:t>
      </w:r>
    </w:p>
  </w:footnote>
  <w:footnote w:id="2383">
    <w:p>
      <w:pPr>
        <w:pStyle w:val="Funote"/>
        <w:rPr/>
      </w:pPr>
      <w:r>
        <w:rPr/>
        <w:footnoteRef/>
        <w:tab/>
        <w:t>Hier als koordinierender Textkonnektor (Blomberg/Kamell). Alternativ adversativ. Könnte auch einen leichten Kontrast als Aufruf zum Handeln darstellen (Johnson).</w:t>
      </w:r>
    </w:p>
  </w:footnote>
  <w:footnote w:id="2384">
    <w:p>
      <w:pPr>
        <w:pStyle w:val="Funote"/>
        <w:rPr/>
      </w:pPr>
      <w:r>
        <w:rPr/>
        <w:footnoteRef/>
        <w:tab/>
        <w:t>So Blomberg/Kamell. Wörtlich „Frucht“.</w:t>
      </w:r>
    </w:p>
  </w:footnote>
  <w:footnote w:id="2385">
    <w:p>
      <w:pPr>
        <w:pStyle w:val="Funote"/>
        <w:rPr/>
      </w:pPr>
      <w:r>
        <w:rPr/>
        <w:footnoteRef/>
        <w:tab/>
        <w:t xml:space="preserve">Wohl ein Gen. subiectivus: die Frucht </w:t>
      </w:r>
      <w:r>
        <w:rPr>
          <w:i/>
        </w:rPr>
        <w:t>ist</w:t>
      </w:r>
      <w:r>
        <w:rPr/>
        <w:t xml:space="preserve"> Gerechtigkeit.</w:t>
      </w:r>
    </w:p>
  </w:footnote>
  <w:footnote w:id="2386">
    <w:p>
      <w:pPr>
        <w:pStyle w:val="Funote"/>
        <w:rPr/>
      </w:pPr>
      <w:r>
        <w:rPr/>
        <w:footnoteRef/>
        <w:tab/>
        <w:t>Hier als Dat. commodi verstanden (Dibelius, Johnson, Blomberg/Kamell). Alternativ als Dat. auctoris: „von jenen, die...“. Dann käme aber der Frieden doppelt vor (Dibelius).</w:t>
      </w:r>
    </w:p>
  </w:footnote>
  <w:footnote w:id="2387">
    <w:p>
      <w:pPr>
        <w:pStyle w:val="Funote"/>
        <w:rPr/>
      </w:pPr>
      <w:r>
        <w:rPr/>
        <w:footnoteRef/>
        <w:tab/>
        <w:t>Attributives/substantiviertes Ptz.</w:t>
      </w:r>
    </w:p>
  </w:footnote>
  <w:footnote w:id="2388">
    <w:p>
      <w:pPr>
        <w:pStyle w:val="Funote"/>
        <w:rPr/>
      </w:pPr>
      <w:r>
        <w:rPr/>
        <w:footnoteRef/>
        <w:tab/>
        <w:t>[Status: Zuverlässig]</w:t>
      </w:r>
    </w:p>
  </w:footnote>
  <w:footnote w:id="2389">
    <w:p>
      <w:pPr>
        <w:pStyle w:val="Funote"/>
        <w:rPr/>
      </w:pPr>
      <w:r>
        <w:rPr/>
        <w:footnoteRef/>
        <w:tab/>
        <w:t>Wörtlich: „die Streite“</w:t>
      </w:r>
    </w:p>
  </w:footnote>
  <w:footnote w:id="2390">
    <w:p>
      <w:pPr>
        <w:pStyle w:val="Funote"/>
        <w:rPr/>
      </w:pPr>
      <w:r>
        <w:rPr/>
        <w:footnoteRef/>
        <w:tab/>
        <w:t>Wörtlich: „[Kommen sie] nicht daher: aus euren...“. Alternativ: „[Kommen sie] nicht daher, dass eure Gelüste...“</w:t>
      </w:r>
    </w:p>
  </w:footnote>
  <w:footnote w:id="2391">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392">
    <w:p>
      <w:pPr>
        <w:pStyle w:val="Funote"/>
        <w:rPr/>
      </w:pPr>
      <w:r>
        <w:rPr/>
        <w:footnoteRef/>
        <w:tab/>
        <w:t>Hier (wie weiter unten im Vers) wurde das „doch“ eingefügt, um den adversativen Charakter der Konjunktion zu unterstreichen.</w:t>
      </w:r>
    </w:p>
  </w:footnote>
  <w:footnote w:id="2393">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394">
    <w:p>
      <w:pPr>
        <w:pStyle w:val="Funote"/>
        <w:rPr/>
      </w:pPr>
      <w:r>
        <w:rPr/>
        <w:footnoteRef/>
        <w:tab/>
        <w:t>Wörtlich „nicht“. Bei allen Erwähnungen von „nicht“ in Vv. 2f. bleibt das Objekt im Text unerwähnt. Das macht beim Übersetzen manchmal das Einsetzen von „nichts“ erforderlich.</w:t>
      </w:r>
    </w:p>
  </w:footnote>
  <w:footnote w:id="2395">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396">
    <w:p>
      <w:pPr>
        <w:pStyle w:val="Funote"/>
        <w:rPr/>
      </w:pPr>
      <w:r>
        <w:rPr/>
        <w:footnoteRef/>
        <w:tab/>
        <w:t>Alle Verben der 2. Ps. Pl. im Vers stehen im Präsens. Der Text deutet damit an, dass dies ein Vorgang ist, der unablässig bzw. immer wieder zu beobachten ist.</w:t>
      </w:r>
    </w:p>
  </w:footnote>
  <w:footnote w:id="2397">
    <w:p>
      <w:pPr>
        <w:pStyle w:val="Funote"/>
        <w:rPr/>
      </w:pPr>
      <w:r>
        <w:rPr/>
        <w:footnoteRef/>
        <w:tab/>
        <w:t xml:space="preserve">Wörtlich „nicht“. Vgl. dritte Fußnote in V. 2. </w:t>
      </w:r>
    </w:p>
  </w:footnote>
  <w:footnote w:id="2398">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399">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400">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401">
    <w:p>
      <w:pPr>
        <w:pStyle w:val="Funote"/>
        <w:rPr/>
      </w:pPr>
      <w:r>
        <w:rPr/>
        <w:footnoteRef/>
        <w:tab/>
        <w:t>Oder: „Wer immer also ... sein will, erweist...“</w:t>
      </w:r>
    </w:p>
  </w:footnote>
  <w:footnote w:id="2402">
    <w:p>
      <w:pPr>
        <w:pStyle w:val="Funote"/>
        <w:rPr/>
      </w:pPr>
      <w:r>
        <w:rPr/>
        <w:footnoteRef/>
        <w:tab/>
        <w:t>Wörtlich: „Zur Eifersucht“ = „eifersüchtig“ (nach NSS).</w:t>
      </w:r>
    </w:p>
  </w:footnote>
  <w:footnote w:id="2403">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404">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405">
    <w:p>
      <w:pPr>
        <w:pStyle w:val="Funote"/>
        <w:rPr/>
      </w:pPr>
      <w:r>
        <w:rPr/>
        <w:footnoteRef/>
        <w:tab/>
        <w:t xml:space="preserve">Die Zuordnung des Zitats ist kaum möglich. Mußner vermutet ein Zitat aus einem unbekannten Apokryphon. Es gibt Anleihen an </w:t>
      </w:r>
      <w:r>
        <w:fldChar w:fldCharType="begin"/>
      </w:r>
      <w:r>
        <w:instrText> HYPERLINK "file:///wiki/Exodus_20" \l "s5"</w:instrText>
      </w:r>
      <w:r>
        <w:fldChar w:fldCharType="separate"/>
      </w:r>
      <w:r>
        <w:rPr>
          <w:rStyle w:val="Internetlink"/>
        </w:rPr>
        <w:t>2Mose 20,5</w:t>
      </w:r>
      <w:r>
        <w:fldChar w:fldCharType="end"/>
      </w:r>
      <w:r>
        <w:rPr/>
        <w:t>,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406">
    <w:p>
      <w:pPr>
        <w:pStyle w:val="Funote"/>
        <w:rPr/>
      </w:pPr>
      <w:r>
        <w:rPr/>
        <w:footnoteRef/>
        <w:tab/>
        <w:t>Dann im Gegensatz zu den „Hochmütigen“</w:t>
      </w:r>
    </w:p>
  </w:footnote>
  <w:footnote w:id="2407">
    <w:p>
      <w:pPr>
        <w:pStyle w:val="Funote"/>
        <w:rPr/>
      </w:pPr>
      <w:hyperlink r:id="rId408">
        <w:r>
          <w:rPr>
            <w:rStyle w:val="Internetlink"/>
          </w:rPr>
          <w:footnoteRef/>
          <w:tab/>
          <w:t>Sprichwörter 3,34</w:t>
        </w:r>
      </w:hyperlink>
      <w:r>
        <w:rPr/>
        <w:t xml:space="preserve"> nach der Septuaginta.</w:t>
      </w:r>
    </w:p>
  </w:footnote>
  <w:footnote w:id="2408">
    <w:p>
      <w:pPr>
        <w:pStyle w:val="Funote"/>
        <w:rPr/>
      </w:pPr>
      <w:r>
        <w:rPr/>
        <w:footnoteRef/>
        <w:tab/>
        <w:t>Hier medial, was sich aber nicht ohne Weiteres ins Deutsche übertragen lässt.</w:t>
      </w:r>
    </w:p>
  </w:footnote>
  <w:footnote w:id="2409">
    <w:p>
      <w:pPr>
        <w:pStyle w:val="Funote"/>
        <w:rPr/>
      </w:pPr>
      <w:r>
        <w:rPr/>
        <w:footnoteRef/>
        <w:tab/>
        <w:t>B/A: „tretet vor Gott“. Mit dieser Übersetzung würde aber die parallele Übersetzung des zweiten Satzteils nicht funktionieren.</w:t>
      </w:r>
    </w:p>
  </w:footnote>
  <w:footnote w:id="2410">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411">
    <w:p>
      <w:pPr>
        <w:pStyle w:val="Funote"/>
        <w:rPr/>
      </w:pPr>
      <w:r>
        <w:rPr/>
        <w:footnoteRef/>
        <w:tab/>
        <w:t>3. Sg. Imp.</w:t>
      </w:r>
    </w:p>
  </w:footnote>
  <w:footnote w:id="2412">
    <w:p>
      <w:pPr>
        <w:pStyle w:val="Funote"/>
        <w:rPr/>
      </w:pPr>
      <w:r>
        <w:rPr/>
        <w:footnoteRef/>
        <w:tab/>
        <w:t>Wörtlich „Werdet erniedrigt“.</w:t>
      </w:r>
    </w:p>
  </w:footnote>
  <w:footnote w:id="2413">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414">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415">
    <w:p>
      <w:pPr>
        <w:pStyle w:val="Funote"/>
        <w:rPr/>
      </w:pPr>
      <w:r>
        <w:rPr/>
        <w:footnoteRef/>
        <w:tab/>
        <w:t>Hier Auflösung zweier attributiver Partizipien. Alternativ kann substantiviert aufgelöst werden: „Der Verleumdende … der Richtende“ (wörtlich).</w:t>
      </w:r>
    </w:p>
  </w:footnote>
  <w:footnote w:id="2416">
    <w:p>
      <w:pPr>
        <w:pStyle w:val="Funote"/>
        <w:rPr/>
      </w:pPr>
      <w:r>
        <w:rPr/>
        <w:footnoteRef/>
        <w:tab/>
        <w:t>Indefiniter Konditionalsatz.</w:t>
      </w:r>
    </w:p>
  </w:footnote>
  <w:footnote w:id="2417">
    <w:p>
      <w:pPr>
        <w:pStyle w:val="Funote"/>
        <w:rPr/>
      </w:pPr>
      <w:r>
        <w:rPr/>
        <w:footnoteRef/>
        <w:tab/>
        <w:t>Oder: „Es gibt einen...“</w:t>
      </w:r>
    </w:p>
  </w:footnote>
  <w:footnote w:id="2418">
    <w:p>
      <w:pPr>
        <w:pStyle w:val="Funote"/>
        <w:rPr/>
      </w:pPr>
      <w:r>
        <w:rPr/>
        <w:footnoteRef/>
        <w:tab/>
        <w:t>Attr. Ptz.</w:t>
      </w:r>
    </w:p>
  </w:footnote>
  <w:footnote w:id="2419">
    <w:p>
      <w:pPr>
        <w:pStyle w:val="Funote"/>
        <w:rPr/>
      </w:pPr>
      <w:r>
        <w:rPr/>
        <w:footnoteRef/>
        <w:tab/>
        <w:t>Wörtlicher: „Wohlan nun“ (B/A, NSS)</w:t>
      </w:r>
    </w:p>
  </w:footnote>
  <w:footnote w:id="2420">
    <w:p>
      <w:pPr>
        <w:pStyle w:val="Funote"/>
        <w:rPr/>
      </w:pPr>
      <w:r>
        <w:rPr/>
        <w:footnoteRef/>
        <w:tab/>
        <w:t>Attr. Ptz.</w:t>
      </w:r>
    </w:p>
  </w:footnote>
  <w:footnote w:id="2421">
    <w:p>
      <w:pPr>
        <w:pStyle w:val="Funote"/>
        <w:rPr/>
      </w:pPr>
      <w:r>
        <w:rPr/>
        <w:footnoteRef/>
        <w:tab/>
        <w:t>Alle folgenden Verben modales Futur: Eine Absichtserklärung (NSS).</w:t>
      </w:r>
    </w:p>
  </w:footnote>
  <w:footnote w:id="2422">
    <w:p>
      <w:pPr>
        <w:pStyle w:val="Funote"/>
        <w:rPr/>
      </w:pPr>
      <w:r>
        <w:rPr/>
        <w:footnoteRef/>
        <w:tab/>
        <w:t>Mit kausalem Nebensinn: „da ihr nicht wisst...“ (NSS)</w:t>
      </w:r>
    </w:p>
  </w:footnote>
  <w:footnote w:id="2423">
    <w:p>
      <w:pPr>
        <w:pStyle w:val="Funote"/>
        <w:rPr/>
      </w:pPr>
      <w:r>
        <w:rPr/>
        <w:footnoteRef/>
        <w:tab/>
        <w:t xml:space="preserve">Wörtlich „...wisst die [Dinge] des morgigen [Tages] wie {beschaffen} [ist] euer Leben“. Alternativ (unter Vernachlässigung der im NA27 gesetzten Interpunktion): „...wisst, [was] morgen [sein wird]. Was ist euer Leben?“ </w:t>
      </w:r>
    </w:p>
  </w:footnote>
  <w:footnote w:id="2424">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425">
    <w:p>
      <w:pPr>
        <w:pStyle w:val="Funote"/>
        <w:rPr/>
      </w:pPr>
      <w:r>
        <w:rPr/>
        <w:footnoteRef/>
        <w:tab/>
        <w:t>B/A, NSS.</w:t>
      </w:r>
    </w:p>
  </w:footnote>
  <w:footnote w:id="2426">
    <w:p>
      <w:pPr>
        <w:pStyle w:val="Funote"/>
        <w:rPr/>
      </w:pPr>
      <w:r>
        <w:rPr/>
        <w:footnoteRef/>
        <w:tab/>
        <w:t>Attr. Ptz.</w:t>
      </w:r>
    </w:p>
  </w:footnote>
  <w:footnote w:id="2427">
    <w:p>
      <w:pPr>
        <w:pStyle w:val="Funote"/>
        <w:rPr/>
      </w:pPr>
      <w:r>
        <w:rPr/>
        <w:footnoteRef/>
        <w:tab/>
        <w:t>Wörtlich: „wird er unsichtbar gemacht“</w:t>
      </w:r>
    </w:p>
  </w:footnote>
  <w:footnote w:id="2428">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429">
    <w:p>
      <w:pPr>
        <w:pStyle w:val="Funote"/>
        <w:rPr/>
      </w:pPr>
      <w:r>
        <w:rPr/>
        <w:footnoteRef/>
        <w:tab/>
        <w:t>Spezieller (im Gegensatz zum generellen) prospektiver Konditionalsatz: Versuch der Berechnung der Folgen einer zukünftigen Handlung.</w:t>
      </w:r>
    </w:p>
  </w:footnote>
  <w:footnote w:id="2430">
    <w:p>
      <w:pPr>
        <w:pStyle w:val="Funote"/>
        <w:rPr/>
      </w:pPr>
      <w:r>
        <w:rPr/>
        <w:footnoteRef/>
        <w:tab/>
        <w:t>Vielleicht „mit“ (cf. NSS).</w:t>
      </w:r>
    </w:p>
  </w:footnote>
  <w:footnote w:id="2431">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432">
    <w:p>
      <w:pPr>
        <w:pStyle w:val="Funote"/>
        <w:rPr/>
      </w:pPr>
      <w:r>
        <w:rPr/>
        <w:footnoteRef/>
        <w:tab/>
        <w:t>Johnson.</w:t>
      </w:r>
    </w:p>
  </w:footnote>
  <w:footnote w:id="2433">
    <w:p>
      <w:pPr>
        <w:pStyle w:val="Funote"/>
        <w:rPr/>
      </w:pPr>
      <w:r>
        <w:rPr/>
        <w:footnoteRef/>
        <w:tab/>
        <w:t>Beide Verben der 3. Ps. sind subst. Ptz.</w:t>
      </w:r>
    </w:p>
  </w:footnote>
  <w:footnote w:id="2434">
    <w:p>
      <w:pPr>
        <w:pStyle w:val="Funote"/>
        <w:rPr/>
      </w:pPr>
      <w:r>
        <w:rPr/>
        <w:footnoteRef/>
        <w:tab/>
        <w:t>[Status: Zuverlässig]</w:t>
      </w:r>
    </w:p>
  </w:footnote>
  <w:footnote w:id="2435">
    <w:p>
      <w:pPr>
        <w:pStyle w:val="Funote"/>
        <w:rPr/>
      </w:pPr>
      <w:r>
        <w:rPr/>
        <w:footnoteRef/>
        <w:tab/>
        <w:t>Modal aufgelöstes Ptc. coni.</w:t>
      </w:r>
    </w:p>
  </w:footnote>
  <w:footnote w:id="2436">
    <w:p>
      <w:pPr>
        <w:pStyle w:val="Funote"/>
        <w:rPr/>
      </w:pPr>
      <w:r>
        <w:rPr/>
        <w:footnoteRef/>
        <w:tab/>
        <w:t>Das hier gebrauchte Ptz. Präsens hat normalerweise eine durative/iterative Aspektbedeutung, die hier vermutlich aber in den Hintergrund tritt.</w:t>
      </w:r>
    </w:p>
  </w:footnote>
  <w:footnote w:id="2437">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438">
    <w:p>
      <w:pPr>
        <w:pStyle w:val="Funote"/>
        <w:rPr/>
      </w:pPr>
      <w:r>
        <w:rPr/>
        <w:footnoteRef/>
        <w:tab/>
        <w:t>Wörtlich: „mottenzerfressen geworden“</w:t>
      </w:r>
    </w:p>
  </w:footnote>
  <w:footnote w:id="2439">
    <w:p>
      <w:pPr>
        <w:pStyle w:val="Funote"/>
        <w:rPr/>
      </w:pPr>
      <w:r>
        <w:rPr/>
        <w:footnoteRef/>
        <w:tab/>
        <w:t>Da Gold weder rostet noch anläuft, ist dies entweder eine stilistische Übertreibung oder es müsste alternativ etwa „angelaufen“ oder „matt/stumpf geworden“ heißen (Blomberg/Kamell).</w:t>
      </w:r>
    </w:p>
  </w:footnote>
  <w:footnote w:id="2440">
    <w:p>
      <w:pPr>
        <w:pStyle w:val="Funote"/>
        <w:rPr/>
      </w:pPr>
      <w:r>
        <w:rPr/>
        <w:footnoteRef/>
        <w:tab/>
        <w:t>Kommunikativ: „dienen“</w:t>
      </w:r>
    </w:p>
  </w:footnote>
  <w:footnote w:id="2441">
    <w:p>
      <w:pPr>
        <w:pStyle w:val="Funote"/>
        <w:rPr/>
      </w:pPr>
      <w:r>
        <w:rPr/>
        <w:footnoteRef/>
        <w:tab/>
        <w:t>Im Original im Plural.</w:t>
      </w:r>
    </w:p>
  </w:footnote>
  <w:footnote w:id="2442">
    <w:p>
      <w:pPr>
        <w:pStyle w:val="Funote"/>
        <w:rPr/>
      </w:pPr>
      <w:r>
        <w:rPr/>
        <w:footnoteRef/>
        <w:tab/>
        <w:t>Durch das Verb impliziert (cf. B/A, NSS).</w:t>
      </w:r>
    </w:p>
  </w:footnote>
  <w:footnote w:id="2443">
    <w:p>
      <w:pPr>
        <w:pStyle w:val="Funote"/>
        <w:rPr/>
      </w:pPr>
      <w:r>
        <w:rPr/>
        <w:footnoteRef/>
        <w:tab/>
        <w:t>Attr. Ptz.</w:t>
      </w:r>
    </w:p>
  </w:footnote>
  <w:footnote w:id="2444">
    <w:p>
      <w:pPr>
        <w:pStyle w:val="Funote"/>
        <w:rPr/>
      </w:pPr>
      <w:r>
        <w:rPr/>
        <w:footnoteRef/>
        <w:tab/>
        <w:t>Ptz. Pf. Pass.; attributives Ptz.</w:t>
      </w:r>
    </w:p>
  </w:footnote>
  <w:footnote w:id="2445">
    <w:p>
      <w:pPr>
        <w:pStyle w:val="Funote"/>
        <w:rPr/>
      </w:pPr>
      <w:r>
        <w:rPr/>
        <w:footnoteRef/>
        <w:tab/>
        <w:t>Alternativ: „der [ihnen] vorenthalten wurde, schreit von euch...“</w:t>
      </w:r>
    </w:p>
  </w:footnote>
  <w:footnote w:id="2446">
    <w:p>
      <w:pPr>
        <w:pStyle w:val="Funote"/>
        <w:rPr/>
      </w:pPr>
      <w:r>
        <w:rPr/>
        <w:footnoteRef/>
        <w:tab/>
        <w:t>Transkribiert „Sabaoth“. Alternativ auch mit Übersetzung des hebräischen Worts: „Herr der Heerscharen“</w:t>
      </w:r>
    </w:p>
  </w:footnote>
  <w:footnote w:id="2447">
    <w:p>
      <w:pPr>
        <w:pStyle w:val="Funote"/>
        <w:rPr/>
      </w:pPr>
      <w:r>
        <w:rPr/>
        <w:footnoteRef/>
        <w:tab/>
        <w:t>Oder kommunikativer: „habt ein üppiges Leben geführt“ (NSS)</w:t>
      </w:r>
    </w:p>
  </w:footnote>
  <w:footnote w:id="2448">
    <w:p>
      <w:pPr>
        <w:pStyle w:val="Funote"/>
        <w:rPr/>
      </w:pPr>
      <w:r>
        <w:rPr/>
        <w:footnoteRef/>
        <w:tab/>
        <w:t>Oder kommunikativer: „habt euch dem Vergnügen hingegeben“ (NSS)</w:t>
      </w:r>
    </w:p>
  </w:footnote>
  <w:footnote w:id="2449">
    <w:p>
      <w:pPr>
        <w:pStyle w:val="Funote"/>
        <w:rPr/>
      </w:pPr>
      <w:r>
        <w:rPr/>
        <w:footnoteRef/>
        <w:tab/>
        <w:t>Wörtlich: „an [einem]“</w:t>
      </w:r>
    </w:p>
  </w:footnote>
  <w:footnote w:id="2450">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451">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452">
    <w:p>
      <w:pPr>
        <w:pStyle w:val="Funote"/>
        <w:rPr/>
      </w:pPr>
      <w:r>
        <w:rPr/>
        <w:footnoteRef/>
        <w:tab/>
        <w:t>Oder „ihr habt verurteilt, ihr habt den Gerechten ermordet“ (so die wortlautgetreue REB).</w:t>
      </w:r>
    </w:p>
  </w:footnote>
  <w:footnote w:id="2453">
    <w:p>
      <w:pPr>
        <w:pStyle w:val="Funote"/>
        <w:rPr/>
      </w:pPr>
      <w:r>
        <w:rPr/>
        <w:footnoteRef/>
        <w:tab/>
        <w:t>Der letzte Satzteil ist vom vorherigen eigentümlich abgetrennt. Manche Exegeten sehen das als Grund, ein „obwohl“ zu ergänzen.</w:t>
      </w:r>
    </w:p>
  </w:footnote>
  <w:footnote w:id="2454">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455">
    <w:p>
      <w:pPr>
        <w:pStyle w:val="Funote"/>
        <w:rPr/>
      </w:pPr>
      <w:r>
        <w:rPr/>
        <w:footnoteRef/>
        <w:tab/>
        <w:t>Auflösung eines modalen Ptc. coni., alternativ temp. Oder „und geduldig auf sie wartet“.</w:t>
      </w:r>
    </w:p>
  </w:footnote>
  <w:footnote w:id="2456">
    <w:p>
      <w:pPr>
        <w:pStyle w:val="Funote"/>
        <w:rPr/>
      </w:pPr>
      <w:r>
        <w:rPr/>
        <w:footnoteRef/>
        <w:tab/>
        <w:t>Anspielung auf Hos 6,4 (Bauckham).</w:t>
      </w:r>
    </w:p>
  </w:footnote>
  <w:footnote w:id="2457">
    <w:p>
      <w:pPr>
        <w:pStyle w:val="Funote"/>
        <w:rPr/>
      </w:pPr>
      <w:r>
        <w:rPr/>
        <w:footnoteRef/>
        <w:tab/>
        <w:t>Das hier verwendete griechische Perfekt betont das Resultat eines Vorgangs, weswegen hier mit Zustandspassiv übersetzt wurde.</w:t>
      </w:r>
    </w:p>
  </w:footnote>
  <w:footnote w:id="2458">
    <w:p>
      <w:pPr>
        <w:pStyle w:val="Funote"/>
        <w:rPr/>
      </w:pPr>
      <w:r>
        <w:rPr/>
        <w:footnoteRef/>
        <w:tab/>
        <w:t>Imperativ Präsens. Oder: „Hört auf, …“ Im Gegensatz zum unmarkierten Imp. Aor. hat dieser häufig negativ die Bedeutung „hör(t) auf, … zu tun“ bzw. positiv „Tu(t) … weiterhin/immer wieder“ haben.</w:t>
      </w:r>
    </w:p>
  </w:footnote>
  <w:footnote w:id="2459">
    <w:p>
      <w:pPr>
        <w:pStyle w:val="Funote"/>
        <w:rPr/>
      </w:pPr>
      <w:r>
        <w:rPr/>
        <w:footnoteRef/>
        <w:tab/>
        <w:t>Auflösung eines subst. Ptz. Aor. Kann ein Rückbezug auf die Propheten sein, ist aber offen formuliert.</w:t>
      </w:r>
    </w:p>
  </w:footnote>
  <w:footnote w:id="2460">
    <w:p>
      <w:pPr>
        <w:pStyle w:val="Funote"/>
        <w:rPr/>
      </w:pPr>
      <w:r>
        <w:rPr/>
        <w:footnoteRef/>
        <w:tab/>
        <w:t>Cf. 1,3</w:t>
      </w:r>
    </w:p>
  </w:footnote>
  <w:footnote w:id="2461">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462">
    <w:p>
      <w:pPr>
        <w:pStyle w:val="Funote"/>
        <w:rPr/>
      </w:pPr>
      <w:r>
        <w:rPr/>
        <w:footnoteRef/>
        <w:tab/>
        <w:t>Imp. Präs. Dieser markiert gelegentlich die Aufforderung, etwas weiterhin/immer wieder zu tun bzw.(endgültig) mit etwas aufzuhören.</w:t>
      </w:r>
    </w:p>
  </w:footnote>
  <w:footnote w:id="2463">
    <w:p>
      <w:pPr>
        <w:pStyle w:val="Funote"/>
        <w:rPr/>
      </w:pPr>
      <w:r>
        <w:rPr/>
        <w:footnoteRef/>
        <w:tab/>
        <w:t>3. Sg. Imp. Präs.; s. o.</w:t>
      </w:r>
    </w:p>
  </w:footnote>
  <w:footnote w:id="2464">
    <w:p>
      <w:pPr>
        <w:pStyle w:val="Funote"/>
        <w:rPr/>
      </w:pPr>
      <w:r>
        <w:rPr/>
        <w:footnoteRef/>
        <w:tab/>
        <w:t>Wörtlich: „damit ihr nicht unter das Gericht fallt“</w:t>
      </w:r>
    </w:p>
  </w:footnote>
  <w:footnote w:id="2465">
    <w:p>
      <w:pPr>
        <w:pStyle w:val="Funote"/>
        <w:rPr/>
      </w:pPr>
      <w:r>
        <w:rPr/>
        <w:footnoteRef/>
        <w:tab/>
        <w:t>3. Sg. Imp. Präs.; s. o.</w:t>
      </w:r>
    </w:p>
  </w:footnote>
  <w:footnote w:id="2466">
    <w:p>
      <w:pPr>
        <w:pStyle w:val="Funote"/>
        <w:rPr/>
      </w:pPr>
      <w:r>
        <w:rPr/>
        <w:footnoteRef/>
        <w:tab/>
        <w:t>3. Sg. Imp. Präs.; s. o.</w:t>
      </w:r>
    </w:p>
  </w:footnote>
  <w:footnote w:id="2467">
    <w:p>
      <w:pPr>
        <w:pStyle w:val="Funote"/>
        <w:rPr/>
      </w:pPr>
      <w:r>
        <w:rPr/>
        <w:footnoteRef/>
        <w:tab/>
        <w:t>Die drei Bedingungssätze in diesem und dem folgenden Vers können auch als direkte Fragen verstanden werden. Meine Übesetzung folgt der Zeichensetzung im NA27.</w:t>
      </w:r>
    </w:p>
  </w:footnote>
  <w:footnote w:id="2468">
    <w:p>
      <w:pPr>
        <w:pStyle w:val="Funote"/>
        <w:rPr/>
      </w:pPr>
      <w:r>
        <w:rPr/>
        <w:footnoteRef/>
        <w:tab/>
        <w:t>Die Definition des Wortes wäre wohl „durch Krankheit geschwächt“ (Cf. B/A)</w:t>
      </w:r>
    </w:p>
  </w:footnote>
  <w:footnote w:id="2469">
    <w:p>
      <w:pPr>
        <w:pStyle w:val="Funote"/>
        <w:rPr/>
      </w:pPr>
      <w:r>
        <w:rPr/>
        <w:footnoteRef/>
        <w:tab/>
        <w:t>3. Sg. Imp. Präs.; s. o.</w:t>
      </w:r>
    </w:p>
  </w:footnote>
  <w:footnote w:id="2470">
    <w:p>
      <w:pPr>
        <w:pStyle w:val="Funote"/>
        <w:rPr/>
      </w:pPr>
      <w:r>
        <w:rPr/>
        <w:footnoteRef/>
        <w:tab/>
        <w:t>3. Pl. Imp. Aor. Med.</w:t>
      </w:r>
    </w:p>
  </w:footnote>
  <w:footnote w:id="2471">
    <w:p>
      <w:pPr>
        <w:pStyle w:val="Funote"/>
        <w:rPr/>
      </w:pPr>
      <w:r>
        <w:rPr/>
        <w:footnoteRef/>
        <w:tab/>
        <w:t>Instrumentaler Dativ.</w:t>
      </w:r>
    </w:p>
  </w:footnote>
  <w:footnote w:id="2472">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473">
    <w:p>
      <w:pPr>
        <w:pStyle w:val="Funote"/>
        <w:rPr/>
      </w:pPr>
      <w:r>
        <w:rPr/>
        <w:footnoteRef/>
        <w:tab/>
        <w:t>Wörtlich: „des Glaubens“; Gen. pertinentiae (Das Gebet geschieht im Glauben.; NSS).</w:t>
      </w:r>
    </w:p>
  </w:footnote>
  <w:footnote w:id="2474">
    <w:p>
      <w:pPr>
        <w:pStyle w:val="Funote"/>
        <w:rPr/>
      </w:pPr>
      <w:r>
        <w:rPr/>
        <w:footnoteRef/>
        <w:tab/>
        <w:t>Wörtlich: „wenn er ein Sünden begangen habender ist“ (Ptz. Pf.); periphrastisch (umschreibend; NSS).</w:t>
      </w:r>
    </w:p>
  </w:footnote>
  <w:footnote w:id="2475">
    <w:p>
      <w:pPr>
        <w:pStyle w:val="Funote"/>
        <w:rPr/>
      </w:pPr>
      <w:r>
        <w:rPr/>
        <w:footnoteRef/>
        <w:tab/>
        <w:t>Prospektiver Konditionalsatz (Eventualis). Der Vers sieht Krankheit also nicht im Zusammenhang mit Sünde.</w:t>
      </w:r>
    </w:p>
  </w:footnote>
  <w:footnote w:id="2476">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477">
    <w:p>
      <w:pPr>
        <w:pStyle w:val="Funote"/>
        <w:rPr/>
      </w:pPr>
      <w:r>
        <w:rPr/>
        <w:footnoteRef/>
        <w:tab/>
        <w:t>Wörtlich: „er betete [dem] Gebet“; dies ist ein Dat. modi, also „er betete mit einem Gebet“ (Semitismus). Übersetzung nach Blomberg, NSS.</w:t>
      </w:r>
    </w:p>
  </w:footnote>
  <w:footnote w:id="2478">
    <w:p>
      <w:pPr>
        <w:pStyle w:val="Funote"/>
        <w:rPr/>
      </w:pPr>
      <w:r>
        <w:rPr/>
        <w:footnoteRef/>
        <w:tab/>
        <w:t>Hier offenbar eine „Nachbildung des hebr. infinitivus absolutus“ (NSS).</w:t>
      </w:r>
    </w:p>
  </w:footnote>
  <w:footnote w:id="2479">
    <w:p>
      <w:pPr>
        <w:pStyle w:val="Funote"/>
        <w:rPr/>
      </w:pPr>
      <w:r>
        <w:rPr/>
        <w:footnoteRef/>
        <w:tab/>
        <w:t>Wörtlich: „gab Regen“</w:t>
      </w:r>
    </w:p>
  </w:footnote>
  <w:footnote w:id="2480">
    <w:p>
      <w:pPr>
        <w:pStyle w:val="Funote"/>
        <w:rPr/>
      </w:pPr>
      <w:r>
        <w:rPr/>
        <w:footnoteRef/>
        <w:tab/>
        <w:t xml:space="preserve">3. Sg. Imp. </w:t>
      </w:r>
    </w:p>
  </w:footnote>
  <w:footnote w:id="2481">
    <w:p>
      <w:pPr>
        <w:pStyle w:val="Funote"/>
        <w:rPr/>
      </w:pPr>
      <w:r>
        <w:rPr/>
        <w:footnoteRef/>
        <w:tab/>
        <w:t>Wörtlich: „von [der] Verirrung/vom Irrtum seines Weges“</w:t>
      </w:r>
    </w:p>
  </w:footnote>
  <w:footnote w:id="2482">
    <w:p>
      <w:pPr>
        <w:pStyle w:val="Funote"/>
        <w:rPr/>
      </w:pPr>
      <w:r>
        <w:rPr/>
        <w:footnoteRef/>
        <w:tab/>
        <w:t>Auflösung eines subst. Ptz.</w:t>
      </w:r>
    </w:p>
  </w:footnote>
  <w:footnote w:id="2483">
    <w:p>
      <w:pPr>
        <w:pStyle w:val="Funote"/>
        <w:rPr/>
      </w:pPr>
      <w:r>
        <w:rPr/>
        <w:footnoteRef/>
        <w:tab/>
        <w:t>Vv. 19-20: Gewöhnlicher, prospektiver Konditionalsatz.</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paragraph" w:styleId="Berschrift4">
    <w:name w:val="Überschrift 4"/>
    <w:basedOn w:val="Berschrift"/>
    <w:next w:val="Textkrper"/>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Aufzhlungszeichen">
    <w:name w:val="Aufzählungszeichen"/>
    <w:qFormat/>
    <w:rPr>
      <w:rFonts w:ascii="OpenSymbol" w:hAnsi="OpenSymbol" w:eastAsia="OpenSymbol" w:cs="OpenSymbol"/>
    </w:rPr>
  </w:style>
  <w:style w:type="character" w:styleId="Nummerierungszeichen">
    <w:name w:val="Nummerierungszeichen"/>
    <w:qFormat/>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Arial"/>
    </w:rPr>
  </w:style>
  <w:style w:type="paragraph" w:styleId="Beschriftung">
    <w:name w:val="Beschriftung"/>
    <w:basedOn w:val="Normal"/>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 w:type="paragraph" w:styleId="Listeninhalt">
    <w:name w:val="Listeninhalt"/>
    <w:basedOn w:val="Normal"/>
    <w:qFormat/>
    <w:pPr>
      <w:ind w:left="567" w:hanging="0"/>
    </w:pPr>
    <w:rPr/>
  </w:style>
  <w:style w:type="paragraph" w:styleId="Listenkopf">
    <w:name w:val="Listenkopf"/>
    <w:basedOn w:val="Normal"/>
    <w:next w:val="Listeninhalt"/>
    <w:qFormat/>
    <w:pPr>
      <w:ind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file:///mediawiki/index.php%3Ftitle=Nehemia_9,29&amp;action=edit&amp;redlink=1" TargetMode="External"/><Relationship Id="rId2" Type="http://schemas.openxmlformats.org/officeDocument/2006/relationships/hyperlink" Target="file:///mediawiki/index.php%3Ftitle=R&#246;mer_10&amp;action=edit&amp;redlink=1" TargetMode="External"/><Relationship Id="rId3" Type="http://schemas.openxmlformats.org/officeDocument/2006/relationships/hyperlink" Target="http://www.bibelwissenschaft.de/wibilex/das-bibellexikon/lexikon/sachwort/anzeigen/details/moab-moabiter-3/ch/d763214e547e5d75aa217082da90a2ea/" TargetMode="External"/><Relationship Id="rId4" Type="http://schemas.openxmlformats.org/officeDocument/2006/relationships/hyperlink" Target="file:///mediawiki/index.php%3Ftitle=Richter_3&amp;action=edit&amp;redlink=1" TargetMode="External"/><Relationship Id="rId5" Type="http://schemas.openxmlformats.org/officeDocument/2006/relationships/hyperlink" Target="file:///mediawiki/index.php%3Ftitle=Matth&#228;us_20&amp;action=edit&amp;redlink=1" TargetMode="External"/><Relationship Id="rId6" Type="http://schemas.openxmlformats.org/officeDocument/2006/relationships/hyperlink" Target="file:///mediawiki/index.php%3Ftitle=Lk_12&amp;action=edit&amp;redlink=1" TargetMode="External"/><Relationship Id="rId7" Type="http://schemas.openxmlformats.org/officeDocument/2006/relationships/hyperlink" Target="file:///mediawiki/index.php%3Ftitle=Deuteronomium_4&amp;action=edit&amp;redlink=1" TargetMode="External"/><Relationship Id="rId8" Type="http://schemas.openxmlformats.org/officeDocument/2006/relationships/hyperlink" Target="file:///mediawiki/index.php%3Ftitle=Jeremia_38&amp;action=edit&amp;redlink=1" TargetMode="External"/><Relationship Id="rId9" Type="http://schemas.openxmlformats.org/officeDocument/2006/relationships/hyperlink" Target="file:///mediawiki/index.php%3Ftitle=Jer_42&amp;action=edit&amp;redlink=1" TargetMode="External"/><Relationship Id="rId10" Type="http://schemas.openxmlformats.org/officeDocument/2006/relationships/hyperlink" Target="file:///mediawiki/index.php%3Ftitle=1Samuel_25&amp;action=edit&amp;redlink=1" TargetMode="External"/><Relationship Id="rId11" Type="http://schemas.openxmlformats.org/officeDocument/2006/relationships/hyperlink" Target="file:///mediawiki/index.php%3Ftitle=1K&#246;nige_8&amp;action=edit&amp;redlink=1" TargetMode="External"/><Relationship Id="rId12" Type="http://schemas.openxmlformats.org/officeDocument/2006/relationships/hyperlink" Target="file:///mediawiki/index.php%3Ftitle=Deuteronomium_25&amp;action=edit&amp;redlink=1" TargetMode="External"/><Relationship Id="rId13" Type="http://schemas.openxmlformats.org/officeDocument/2006/relationships/hyperlink" Target="file:///mediawiki/index.php%3Ftitle=1Samuel_20&amp;action=edit&amp;redlink=1" TargetMode="External"/><Relationship Id="rId14" Type="http://schemas.openxmlformats.org/officeDocument/2006/relationships/hyperlink" Target="file:///mediawiki/index.php%3Ftitle=1Samuel_20&amp;action=edit&amp;redlink=1" TargetMode="External"/><Relationship Id="rId15" Type="http://schemas.openxmlformats.org/officeDocument/2006/relationships/hyperlink" Target="file:///mediawiki/index.php%3Ftitle=Ijob_36&amp;action=edit&amp;redlink=1" TargetMode="External"/><Relationship Id="rId16" Type="http://schemas.openxmlformats.org/officeDocument/2006/relationships/hyperlink" Target="file:///mediawiki/index.php%3Ftitle=Ijob_36&amp;action=edit&amp;redlink=1" TargetMode="External"/><Relationship Id="rId17" Type="http://schemas.openxmlformats.org/officeDocument/2006/relationships/hyperlink" Target="file:///wiki/Generisches_Maskulinum" TargetMode="External"/><Relationship Id="rId18" Type="http://schemas.openxmlformats.org/officeDocument/2006/relationships/hyperlink" Target="file:///wiki/Psalter" TargetMode="External"/><Relationship Id="rId19" Type="http://schemas.openxmlformats.org/officeDocument/2006/relationships/hyperlink" Target="file:///mediawiki/index.php%3Ftitle=Daniel_6&amp;action=edit&amp;redlink=1" TargetMode="External"/><Relationship Id="rId20" Type="http://schemas.openxmlformats.org/officeDocument/2006/relationships/hyperlink" Target="file:///mediawiki/index.php%3Ftitle=2_Samuel_16&amp;action=edit&amp;redlink=1" TargetMode="External"/><Relationship Id="rId21" Type="http://schemas.openxmlformats.org/officeDocument/2006/relationships/hyperlink" Target="http://www.offene-bibel.de/wiki/index.php5?title=Sela" TargetMode="External"/><Relationship Id="rId22" Type="http://schemas.openxmlformats.org/officeDocument/2006/relationships/hyperlink" Target="https://www.bibelwissenschaft.de/stichwort/35418/" TargetMode="External"/><Relationship Id="rId23" Type="http://schemas.openxmlformats.org/officeDocument/2006/relationships/hyperlink" Target="http://www.offene-bibel.de/wiki/index.php5?title=Sela" TargetMode="External"/><Relationship Id="rId24" Type="http://schemas.openxmlformats.org/officeDocument/2006/relationships/hyperlink" Target="file:///mediawiki/index.php%3Ftitle=Psalm_55&amp;action=edit&amp;redlink=1" TargetMode="External"/><Relationship Id="rId25" Type="http://schemas.openxmlformats.org/officeDocument/2006/relationships/hyperlink" Target="file:///mediawiki/index.php%3Ftitle=Jesaja_24&amp;action=edit&amp;redlink=1" TargetMode="External"/><Relationship Id="rId26" Type="http://schemas.openxmlformats.org/officeDocument/2006/relationships/hyperlink" Target="file:///mediawiki/index.php%3Ftitle=Hosea_4&amp;action=edit&amp;redlink=1" TargetMode="External"/><Relationship Id="rId27" Type="http://schemas.openxmlformats.org/officeDocument/2006/relationships/hyperlink" Target="file:///mediawiki/index.php%3Ftitle=Habakkuk_3&amp;action=edit&amp;redlink=1" TargetMode="External"/><Relationship Id="rId28" Type="http://schemas.openxmlformats.org/officeDocument/2006/relationships/hyperlink" Target="http://www.offene-bibel.de/wiki/index.php5?title=Sela" TargetMode="External"/><Relationship Id="rId29" Type="http://schemas.openxmlformats.org/officeDocument/2006/relationships/hyperlink" Target="file:///mediawiki/index.php%3Ftitle=Ezechiel_33&amp;action=edit&amp;redlink=1" TargetMode="External"/><Relationship Id="rId30" Type="http://schemas.openxmlformats.org/officeDocument/2006/relationships/hyperlink" Target="file:///mediawiki/index.php%3Ftitle=Ezechiel_18&amp;action=edit&amp;redlink=1" TargetMode="External"/><Relationship Id="rId31" Type="http://schemas.openxmlformats.org/officeDocument/2006/relationships/hyperlink" Target="file:///mediawiki/index.php%3Ftitle=Jesaja_24&amp;action=edit&amp;redlink=1" TargetMode="External"/><Relationship Id="rId32" Type="http://schemas.openxmlformats.org/officeDocument/2006/relationships/hyperlink" Target="file:///mediawiki/index.php%3Ftitle=Klagelied_1&amp;action=edit&amp;redlink=1" TargetMode="External"/><Relationship Id="rId33" Type="http://schemas.openxmlformats.org/officeDocument/2006/relationships/hyperlink" Target="file:///mediawiki/index.php%3Ftitle=Genesis_30&amp;action=edit&amp;redlink=1" TargetMode="External"/><Relationship Id="rId34" Type="http://schemas.openxmlformats.org/officeDocument/2006/relationships/hyperlink" Target="file:///mediawiki/index.php%3Ftitle=Exodus_32&amp;action=edit&amp;redlink=1" TargetMode="External"/><Relationship Id="rId35" Type="http://schemas.openxmlformats.org/officeDocument/2006/relationships/hyperlink" Target="file:///mediawiki/index.php%3Ftitle=Deuteronomium_9&amp;action=edit&amp;redlink=1" TargetMode="External"/><Relationship Id="rId36" Type="http://schemas.openxmlformats.org/officeDocument/2006/relationships/hyperlink" Target="file:///mediawiki/index.php%3Ftitle=Genesis_21&amp;action=edit&amp;redlink=1" TargetMode="External"/><Relationship Id="rId37" Type="http://schemas.openxmlformats.org/officeDocument/2006/relationships/hyperlink" Target="file:///mediawiki/index.php%3Ftitle=1Samuel_2&amp;action=edit&amp;redlink=1" TargetMode="External"/><Relationship Id="rId38" Type="http://schemas.openxmlformats.org/officeDocument/2006/relationships/hyperlink" Target="file:///mediawiki/index.php%3Ftitle=Psalm_21&amp;action=edit&amp;redlink=1" TargetMode="External"/><Relationship Id="rId39" Type="http://schemas.openxmlformats.org/officeDocument/2006/relationships/hyperlink" Target="file:///mediawiki/index.php%3Ftitle=Leviticus_26&amp;action=edit&amp;redlink=1" TargetMode="External"/><Relationship Id="rId40" Type="http://schemas.openxmlformats.org/officeDocument/2006/relationships/hyperlink" Target="file:///mediawiki/index.php%3Ftitle=2Chronik_25&amp;action=edit&amp;redlink=1" TargetMode="External"/><Relationship Id="rId41" Type="http://schemas.openxmlformats.org/officeDocument/2006/relationships/hyperlink" Target="file:///mediawiki/index.php%3Ftitle=Psalm_64&amp;action=edit&amp;redlink=1" TargetMode="External"/><Relationship Id="rId42" Type="http://schemas.openxmlformats.org/officeDocument/2006/relationships/hyperlink" Target="file:///mediawiki/index.php%3Ftitle=Jesaja_3&amp;action=edit&amp;redlink=1" TargetMode="External"/><Relationship Id="rId43" Type="http://schemas.openxmlformats.org/officeDocument/2006/relationships/hyperlink" Target="https://www.bibelwissenschaft.de/stichwort/23844/" TargetMode="External"/><Relationship Id="rId44" Type="http://schemas.openxmlformats.org/officeDocument/2006/relationships/hyperlink" Target="file:///mediawiki/index.php%3Ftitle=Psalm_89&amp;action=edit&amp;redlink=1" TargetMode="External"/><Relationship Id="rId45" Type="http://schemas.openxmlformats.org/officeDocument/2006/relationships/hyperlink" Target="file:///mediawiki/index.php%3Ftitle=Psalm_89&amp;action=edit&amp;redlink=1" TargetMode="External"/><Relationship Id="rId46" Type="http://schemas.openxmlformats.org/officeDocument/2006/relationships/hyperlink" Target="https://www.bibelwissenschaft.de/stichwort/35418/" TargetMode="External"/><Relationship Id="rId47" Type="http://schemas.openxmlformats.org/officeDocument/2006/relationships/hyperlink" Target="file:///mediawiki/index.php%3Ftitle=1Samuel_1&amp;action=edit&amp;redlink=1" TargetMode="External"/><Relationship Id="rId48" Type="http://schemas.openxmlformats.org/officeDocument/2006/relationships/hyperlink" Target="file:///mediawiki/index.php%3Ftitle=Psalm_44&amp;action=edit&amp;redlink=1" TargetMode="External"/><Relationship Id="rId49" Type="http://schemas.openxmlformats.org/officeDocument/2006/relationships/hyperlink" Target="file:///mediawiki/index.php%3Ftitle=Jesaja_49&amp;action=edit&amp;redlink=1" TargetMode="External"/><Relationship Id="rId50" Type="http://schemas.openxmlformats.org/officeDocument/2006/relationships/hyperlink" Target="file:///mediawiki/index.php%3Ftitle=Klagelieder_5&amp;action=edit&amp;redlink=1" TargetMode="External"/><Relationship Id="rId51" Type="http://schemas.openxmlformats.org/officeDocument/2006/relationships/hyperlink" Target="file:///mediawiki/index.php%3Ftitle=Psalm_92&amp;action=edit&amp;redlink=1" TargetMode="External"/><Relationship Id="rId52" Type="http://schemas.openxmlformats.org/officeDocument/2006/relationships/hyperlink" Target="http://www.offene-bibel.de/wiki/index.php5?title=Sela" TargetMode="External"/><Relationship Id="rId53" Type="http://schemas.openxmlformats.org/officeDocument/2006/relationships/hyperlink" Target="https://www.bibelwissenschaft.de/stichwort/33830/" TargetMode="External"/><Relationship Id="rId54" Type="http://schemas.openxmlformats.org/officeDocument/2006/relationships/hyperlink" Target="file:///wiki/Psalm_9" TargetMode="External"/><Relationship Id="rId55" Type="http://schemas.openxmlformats.org/officeDocument/2006/relationships/hyperlink" Target="file:///mediawiki/index.php%3Ftitle=Sprichw&#246;rter_10&amp;action=edit&amp;redlink=1" TargetMode="External"/><Relationship Id="rId56" Type="http://schemas.openxmlformats.org/officeDocument/2006/relationships/hyperlink" Target="file:///mediawiki/index.php%3Ftitle=Psalm_46&amp;action=edit&amp;redlink=1" TargetMode="External"/><Relationship Id="rId57" Type="http://schemas.openxmlformats.org/officeDocument/2006/relationships/hyperlink" Target="file:///mediawiki/index.php%3Ftitle=Psalm_62&amp;action=edit&amp;redlink=1" TargetMode="External"/><Relationship Id="rId58" Type="http://schemas.openxmlformats.org/officeDocument/2006/relationships/hyperlink" Target="file:///mediawiki/index.php%3Ftitle=Psalm_112&amp;action=edit&amp;redlink=1" TargetMode="External"/><Relationship Id="rId59" Type="http://schemas.openxmlformats.org/officeDocument/2006/relationships/hyperlink" Target="file:///mediawiki/index.php%3Ftitle=Psalm_125&amp;action=edit&amp;redlink=1" TargetMode="External"/><Relationship Id="rId60" Type="http://schemas.openxmlformats.org/officeDocument/2006/relationships/hyperlink" Target="file:///mediawiki/index.php%3Ftitle=Jeremia_16&amp;action=edit&amp;redlink=1" TargetMode="External"/><Relationship Id="rId61" Type="http://schemas.openxmlformats.org/officeDocument/2006/relationships/hyperlink" Target="file:///mediawiki/index.php%3Ftitle=Habakuk_1&amp;action=edit&amp;redlink=1" TargetMode="External"/><Relationship Id="rId62" Type="http://schemas.openxmlformats.org/officeDocument/2006/relationships/hyperlink" Target="file:///mediawiki/index.php%3Ftitle=1Samuel_1&amp;action=edit&amp;redlink=1" TargetMode="External"/><Relationship Id="rId63" Type="http://schemas.openxmlformats.org/officeDocument/2006/relationships/hyperlink" Target="file:///mediawiki/index.php%3Ftitle=Psalm_44&amp;action=edit&amp;redlink=1" TargetMode="External"/><Relationship Id="rId64" Type="http://schemas.openxmlformats.org/officeDocument/2006/relationships/hyperlink" Target="file:///mediawiki/index.php%3Ftitle=Jesaja_49&amp;action=edit&amp;redlink=1" TargetMode="External"/><Relationship Id="rId65" Type="http://schemas.openxmlformats.org/officeDocument/2006/relationships/hyperlink" Target="file:///mediawiki/index.php%3Ftitle=Klagelieder_5&amp;action=edit&amp;redlink=1" TargetMode="External"/><Relationship Id="rId66" Type="http://schemas.openxmlformats.org/officeDocument/2006/relationships/hyperlink" Target="file:///mediawiki/index.php%3Ftitle=Richter_16&amp;action=edit&amp;redlink=1" TargetMode="External"/><Relationship Id="rId67" Type="http://schemas.openxmlformats.org/officeDocument/2006/relationships/hyperlink" Target="file:///mediawiki/index.php%3Ftitle=Psalm_46&amp;action=edit&amp;redlink=1" TargetMode="External"/><Relationship Id="rId68" Type="http://schemas.openxmlformats.org/officeDocument/2006/relationships/hyperlink" Target="file:///mediawiki/index.php%3Ftitle=Psalm_48&amp;action=edit&amp;redlink=1" TargetMode="External"/><Relationship Id="rId69" Type="http://schemas.openxmlformats.org/officeDocument/2006/relationships/hyperlink" Target="file:///mediawiki/index.php%3Ftitle=Psalm_61&amp;action=edit&amp;redlink=1" TargetMode="External"/><Relationship Id="rId70" Type="http://schemas.openxmlformats.org/officeDocument/2006/relationships/hyperlink" Target="file:///mediawiki/index.php%3Ftitle=Jeremia_50&amp;action=edit&amp;redlink=1" TargetMode="External"/><Relationship Id="rId71" Type="http://schemas.openxmlformats.org/officeDocument/2006/relationships/hyperlink" Target="file:///mediawiki/index.php%3Ftitle=Psalm_59&amp;action=edit&amp;redlink=1" TargetMode="External"/><Relationship Id="rId72" Type="http://schemas.openxmlformats.org/officeDocument/2006/relationships/hyperlink" Target="file:///mediawiki/index.php%3Ftitle=Psalm_83&amp;action=edit&amp;redlink=1" TargetMode="External"/><Relationship Id="rId73" Type="http://schemas.openxmlformats.org/officeDocument/2006/relationships/hyperlink" Target="file:///mediawiki/index.php%3Ftitle=Ezechiel_38&amp;action=edit&amp;redlink=1" TargetMode="External"/><Relationship Id="rId74" Type="http://schemas.openxmlformats.org/officeDocument/2006/relationships/hyperlink" Target="http://en.wikisource.org/wiki/Gesenius&apos;_Hebrew_Grammar/144" TargetMode="External"/><Relationship Id="rId75" Type="http://schemas.openxmlformats.org/officeDocument/2006/relationships/hyperlink" Target="http://wp.patheos.com.s3.amazonaws.com/blogs/exploringourmatrix/files/2012/11/Ancient-Hebrew-view-of-universe.png" TargetMode="External"/><Relationship Id="rId76" Type="http://schemas.openxmlformats.org/officeDocument/2006/relationships/hyperlink" Target="file:///mediawiki/index.php%3Ftitle=Psalm_103&amp;action=edit&amp;redlink=1" TargetMode="External"/><Relationship Id="rId77" Type="http://schemas.openxmlformats.org/officeDocument/2006/relationships/hyperlink" Target="file:///mediawiki/index.php%3Ftitle=Psalm_111&amp;action=edit&amp;redlink=1" TargetMode="External"/><Relationship Id="rId78" Type="http://schemas.openxmlformats.org/officeDocument/2006/relationships/hyperlink" Target="file:///mediawiki/index.php%3Ftitle=Psalm_119&amp;action=edit&amp;redlink=1" TargetMode="External"/><Relationship Id="rId79" Type="http://schemas.openxmlformats.org/officeDocument/2006/relationships/hyperlink" Target="file:///mediawiki/index.php%3Ftitle=Psalm_119&amp;action=edit&amp;redlink=1" TargetMode="External"/><Relationship Id="rId80" Type="http://schemas.openxmlformats.org/officeDocument/2006/relationships/hyperlink" Target="file:///mediawiki/index.php%3Ftitle=Psalm_119&amp;action=edit&amp;redlink=1" TargetMode="External"/><Relationship Id="rId81" Type="http://schemas.openxmlformats.org/officeDocument/2006/relationships/hyperlink" Target="file:///mediawiki/index.php%3Ftitle=Psalm_119&amp;action=edit&amp;redlink=1" TargetMode="External"/><Relationship Id="rId82" Type="http://schemas.openxmlformats.org/officeDocument/2006/relationships/hyperlink" Target="file:///mediawiki/index.php%3Ftitle=Psalm_119&amp;action=edit&amp;redlink=1" TargetMode="External"/><Relationship Id="rId83" Type="http://schemas.openxmlformats.org/officeDocument/2006/relationships/hyperlink" Target="file:///mediawiki/index.php%3Ftitle=Psalm_119&amp;action=edit&amp;redlink=1" TargetMode="External"/><Relationship Id="rId84" Type="http://schemas.openxmlformats.org/officeDocument/2006/relationships/hyperlink" Target="file:///mediawiki/index.php%3Ftitle=Psalm_119&amp;action=edit&amp;redlink=1" TargetMode="External"/><Relationship Id="rId85" Type="http://schemas.openxmlformats.org/officeDocument/2006/relationships/hyperlink" Target="file:///mediawiki/index.php%3Ftitle=Psalm_119&amp;action=edit&amp;redlink=1" TargetMode="External"/><Relationship Id="rId86" Type="http://schemas.openxmlformats.org/officeDocument/2006/relationships/hyperlink" Target="file:///mediawiki/index.php%3Ftitle=Psalm_119&amp;action=edit&amp;redlink=1" TargetMode="External"/><Relationship Id="rId87" Type="http://schemas.openxmlformats.org/officeDocument/2006/relationships/hyperlink" Target="file:///mediawiki/index.php%3Ftitle=Psalm_119&amp;action=edit&amp;redlink=1" TargetMode="External"/><Relationship Id="rId88" Type="http://schemas.openxmlformats.org/officeDocument/2006/relationships/hyperlink" Target="file:///mediawiki/index.php%3Ftitle=Psalm_119&amp;action=edit&amp;redlink=1" TargetMode="External"/><Relationship Id="rId89" Type="http://schemas.openxmlformats.org/officeDocument/2006/relationships/hyperlink" Target="file:///mediawiki/index.php%3Ftitle=Psalm_119&amp;action=edit&amp;redlink=1" TargetMode="External"/><Relationship Id="rId90" Type="http://schemas.openxmlformats.org/officeDocument/2006/relationships/hyperlink" Target="file:///mediawiki/index.php%3Ftitle=Deuteronomium_10&amp;action=edit&amp;redlink=1" TargetMode="External"/><Relationship Id="rId91" Type="http://schemas.openxmlformats.org/officeDocument/2006/relationships/hyperlink" Target="file:///mediawiki/index.php%3Ftitle=1K&#246;nige_8&amp;action=edit&amp;redlink=1" TargetMode="External"/><Relationship Id="rId92" Type="http://schemas.openxmlformats.org/officeDocument/2006/relationships/hyperlink" Target="file:///mediawiki/index.php%3Ftitle=2Chronik_2&amp;action=edit&amp;redlink=1" TargetMode="External"/><Relationship Id="rId93" Type="http://schemas.openxmlformats.org/officeDocument/2006/relationships/hyperlink" Target="file:///mediawiki/index.php%3Ftitle=2Chronik_6&amp;action=edit&amp;redlink=1" TargetMode="External"/><Relationship Id="rId94" Type="http://schemas.openxmlformats.org/officeDocument/2006/relationships/hyperlink" Target="file:///wiki/Levitikus_4" TargetMode="External"/><Relationship Id="rId95" Type="http://schemas.openxmlformats.org/officeDocument/2006/relationships/hyperlink" Target="file:///wiki/Levitikus_5" TargetMode="External"/><Relationship Id="rId96" Type="http://schemas.openxmlformats.org/officeDocument/2006/relationships/hyperlink" Target="file:///mediawiki/index.php%3Ftitle=Ijob_16&amp;action=edit&amp;redlink=1" TargetMode="External"/><Relationship Id="rId97" Type="http://schemas.openxmlformats.org/officeDocument/2006/relationships/hyperlink" Target="file:///mediawiki/index.php%3Ftitle=Psalm_35&amp;action=edit&amp;redlink=1" TargetMode="External"/><Relationship Id="rId98" Type="http://schemas.openxmlformats.org/officeDocument/2006/relationships/hyperlink" Target="file:///mediawiki/index.php%3Ftitle=Psalm_44&amp;action=edit&amp;redlink=1" TargetMode="External"/><Relationship Id="rId99" Type="http://schemas.openxmlformats.org/officeDocument/2006/relationships/hyperlink" Target="file:///mediawiki/index.php%3Ftitle=Psalm_64&amp;action=edit&amp;redlink=1" TargetMode="External"/><Relationship Id="rId100" Type="http://schemas.openxmlformats.org/officeDocument/2006/relationships/hyperlink" Target="file:///mediawiki/index.php%3Ftitle=Psalm_25&amp;action=edit&amp;redlink=1" TargetMode="External"/><Relationship Id="rId101" Type="http://schemas.openxmlformats.org/officeDocument/2006/relationships/hyperlink" Target="file:///mediawiki/index.php%3Ftitle=Ezechiel_39&amp;action=edit&amp;redlink=1" TargetMode="External"/><Relationship Id="rId102" Type="http://schemas.openxmlformats.org/officeDocument/2006/relationships/hyperlink" Target="file:///mediawiki/index.php%3Ftitle=Psalm_35&amp;action=edit&amp;redlink=1" TargetMode="External"/><Relationship Id="rId103" Type="http://schemas.openxmlformats.org/officeDocument/2006/relationships/hyperlink" Target="http://www.bibelwissenschaft.de/nc/wibilex/das-bibellexikon/details/quelle/WIBI/referenz/24713/" TargetMode="External"/><Relationship Id="rId104" Type="http://schemas.openxmlformats.org/officeDocument/2006/relationships/hyperlink" Target="file:///mediawiki/index.php%3Ftitle=1Makkab&#228;er_4&amp;action=edit&amp;redlink=1" TargetMode="External"/><Relationship Id="rId105" Type="http://schemas.openxmlformats.org/officeDocument/2006/relationships/hyperlink" Target="file:///mediawiki/index.php%3Ftitle=2Makkab&#228;er_10&amp;action=edit&amp;redlink=1" TargetMode="External"/><Relationship Id="rId106" Type="http://schemas.openxmlformats.org/officeDocument/2006/relationships/hyperlink" Target="file:///mediawiki/index.php%3Ftitle=Deuteronomium_28&amp;action=edit&amp;redlink=1" TargetMode="External"/><Relationship Id="rId107" Type="http://schemas.openxmlformats.org/officeDocument/2006/relationships/hyperlink" Target="file:///mediawiki/index.php%3Ftitle=Deuteronomium_28&amp;action=edit&amp;redlink=1" TargetMode="External"/><Relationship Id="rId108" Type="http://schemas.openxmlformats.org/officeDocument/2006/relationships/hyperlink" Target="file:///mediawiki/index.php%3Ftitle=Psalm_34&amp;action=edit&amp;redlink=1" TargetMode="External"/><Relationship Id="rId109" Type="http://schemas.openxmlformats.org/officeDocument/2006/relationships/hyperlink" Target="file:///mediawiki/index.php%3Ftitle=Psalm_47&amp;action=edit&amp;redlink=1" TargetMode="External"/><Relationship Id="rId110" Type="http://schemas.openxmlformats.org/officeDocument/2006/relationships/hyperlink" Target="file:///mediawiki/index.php%3Ftitle=Psalm_64&amp;action=edit&amp;redlink=1" TargetMode="External"/><Relationship Id="rId111" Type="http://schemas.openxmlformats.org/officeDocument/2006/relationships/hyperlink" Target="http://www.offene-bibel.de/wiki/index.php5?title=&#1493;&#1456;" TargetMode="External"/><Relationship Id="rId112" Type="http://schemas.openxmlformats.org/officeDocument/2006/relationships/hyperlink" Target="file:///wiki/Generisches_Maskulinum" TargetMode="External"/><Relationship Id="rId113" Type="http://schemas.openxmlformats.org/officeDocument/2006/relationships/hyperlink" Target="file:///mediawiki/index.php%3Ftitle=Ijob_29&amp;action=edit&amp;redlink=1" TargetMode="External"/><Relationship Id="rId114" Type="http://schemas.openxmlformats.org/officeDocument/2006/relationships/hyperlink" Target="file:///mediawiki/index.php%3Ftitle=Ijob_40&amp;action=edit&amp;redlink=1" TargetMode="External"/><Relationship Id="rId115" Type="http://schemas.openxmlformats.org/officeDocument/2006/relationships/hyperlink" Target="file:///mediawiki/index.php%3Ftitle=Micha_7&amp;action=edit&amp;redlink=1" TargetMode="External"/><Relationship Id="rId116" Type="http://schemas.openxmlformats.org/officeDocument/2006/relationships/hyperlink" Target="file:///wiki/Generisches_Maskulinum" TargetMode="External"/><Relationship Id="rId117" Type="http://schemas.openxmlformats.org/officeDocument/2006/relationships/hyperlink" Target="file:///mediawiki/index.php%3Ftitle=2_K&#246;nige_14&amp;action=edit&amp;redlink=1" TargetMode="External"/><Relationship Id="rId118" Type="http://schemas.openxmlformats.org/officeDocument/2006/relationships/hyperlink" Target="file:///mediawiki/index.php%3Ftitle=Deuteronomium_15&amp;action=edit&amp;redlink=1" TargetMode="External"/><Relationship Id="rId119" Type="http://schemas.openxmlformats.org/officeDocument/2006/relationships/hyperlink" Target="file:///mediawiki/index.php%3Ftitle=Deuteronomium_24&amp;action=edit&amp;redlink=1" TargetMode="External"/><Relationship Id="rId120" Type="http://schemas.openxmlformats.org/officeDocument/2006/relationships/hyperlink" Target="file:///mediawiki/index.php%3Ftitle=1_K&#246;nige_13&amp;action=edit&amp;redlink=1" TargetMode="External"/><Relationship Id="rId121" Type="http://schemas.openxmlformats.org/officeDocument/2006/relationships/hyperlink" Target="file:///mediawiki/index.php%3Ftitle=Ezechiel_38&amp;action=edit&amp;redlink=1" TargetMode="External"/><Relationship Id="rId122" Type="http://schemas.openxmlformats.org/officeDocument/2006/relationships/hyperlink" Target="file:///mediawiki/index.php%3Ftitle=Constructio_ad_sensum&amp;action=edit&amp;redlink=1" TargetMode="External"/><Relationship Id="rId123" Type="http://schemas.openxmlformats.org/officeDocument/2006/relationships/hyperlink" Target="file:///wiki/LXX" TargetMode="External"/><Relationship Id="rId124" Type="http://schemas.openxmlformats.org/officeDocument/2006/relationships/hyperlink" Target="file:///wiki/Partizip" TargetMode="External"/><Relationship Id="rId125" Type="http://schemas.openxmlformats.org/officeDocument/2006/relationships/hyperlink" Target="file:///wiki/Partizip" TargetMode="External"/><Relationship Id="rId126" Type="http://schemas.openxmlformats.org/officeDocument/2006/relationships/hyperlink" Target="file:///wiki/Partizip" TargetMode="External"/><Relationship Id="rId127" Type="http://schemas.openxmlformats.org/officeDocument/2006/relationships/hyperlink" Target="file:///wiki/Partizip" TargetMode="External"/><Relationship Id="rId128" Type="http://schemas.openxmlformats.org/officeDocument/2006/relationships/hyperlink" Target="file:///wiki/Exodus_3" TargetMode="External"/><Relationship Id="rId129" Type="http://schemas.openxmlformats.org/officeDocument/2006/relationships/hyperlink" Target="file:///mediawiki/index.php%3Ftitle=Richter_6&amp;action=edit&amp;redlink=1" TargetMode="External"/><Relationship Id="rId130" Type="http://schemas.openxmlformats.org/officeDocument/2006/relationships/hyperlink" Target="file:///wiki/Generisches_Maskulinum" TargetMode="External"/><Relationship Id="rId131" Type="http://schemas.openxmlformats.org/officeDocument/2006/relationships/hyperlink" Target="file:///wiki/Genitivus_absolutus" TargetMode="External"/><Relationship Id="rId132" Type="http://schemas.openxmlformats.org/officeDocument/2006/relationships/hyperlink" Target="file:///wiki/&#8013;&#964;&#953;_recitativum" TargetMode="External"/><Relationship Id="rId133" Type="http://schemas.openxmlformats.org/officeDocument/2006/relationships/hyperlink" Target="file:///mediawiki/index.php%3Ftitle=Passivum_divinum&amp;action=edit&amp;redlink=1" TargetMode="External"/><Relationship Id="rId134" Type="http://schemas.openxmlformats.org/officeDocument/2006/relationships/hyperlink" Target="file:///mediawiki/index.php%3Ftitle=Imperfekt&amp;action=edit&amp;redlink=1" TargetMode="External"/><Relationship Id="rId135" Type="http://schemas.openxmlformats.org/officeDocument/2006/relationships/hyperlink" Target="file:///wiki/Partizip" TargetMode="External"/><Relationship Id="rId136" Type="http://schemas.openxmlformats.org/officeDocument/2006/relationships/hyperlink" Target="file:///wiki/Ptz._coni." TargetMode="External"/><Relationship Id="rId137" Type="http://schemas.openxmlformats.org/officeDocument/2006/relationships/hyperlink" Target="file:///wiki/Ptz._conj." TargetMode="External"/><Relationship Id="rId138" Type="http://schemas.openxmlformats.org/officeDocument/2006/relationships/hyperlink" Target="file:///wiki/Ptz._conj." TargetMode="External"/><Relationship Id="rId139" Type="http://schemas.openxmlformats.org/officeDocument/2006/relationships/hyperlink" Target="file:///wiki/Ptz._conj." TargetMode="External"/><Relationship Id="rId140" Type="http://schemas.openxmlformats.org/officeDocument/2006/relationships/hyperlink" Target="file:///mediawiki/index.php%3Ftitle=AcI&amp;action=edit&amp;redlink=1" TargetMode="External"/><Relationship Id="rId141" Type="http://schemas.openxmlformats.org/officeDocument/2006/relationships/hyperlink" Target="file:///wiki/Ptc._coni." TargetMode="External"/><Relationship Id="rId142" Type="http://schemas.openxmlformats.org/officeDocument/2006/relationships/hyperlink" Target="file:///wiki/Ptc._coni." TargetMode="External"/><Relationship Id="rId143" Type="http://schemas.openxmlformats.org/officeDocument/2006/relationships/hyperlink" Target="file:///wiki/Ptz._conj." TargetMode="External"/><Relationship Id="rId144" Type="http://schemas.openxmlformats.org/officeDocument/2006/relationships/hyperlink" Target="file:///mediawiki/index.php%3Ftitle=Inchoatives_Imperfekt&amp;action=edit&amp;redlink=1" TargetMode="External"/><Relationship Id="rId145" Type="http://schemas.openxmlformats.org/officeDocument/2006/relationships/hyperlink" Target="file:///wiki/Ptz._conj." TargetMode="External"/><Relationship Id="rId146" Type="http://schemas.openxmlformats.org/officeDocument/2006/relationships/hyperlink" Target="file:///wiki/Ptz._conj." TargetMode="External"/><Relationship Id="rId147" Type="http://schemas.openxmlformats.org/officeDocument/2006/relationships/hyperlink" Target="file:///wiki/Beschreibendes_Partizip" TargetMode="External"/><Relationship Id="rId148" Type="http://schemas.openxmlformats.org/officeDocument/2006/relationships/hyperlink" Target="file:///wiki/Ptz._conj." TargetMode="External"/><Relationship Id="rId149" Type="http://schemas.openxmlformats.org/officeDocument/2006/relationships/hyperlink" Target="file:///mediawiki/index.php%3Ftitle=Inchoatives_Imperfekt&amp;action=edit&amp;redlink=1" TargetMode="External"/><Relationship Id="rId150" Type="http://schemas.openxmlformats.org/officeDocument/2006/relationships/hyperlink" Target="file:///wiki/Gen._abs." TargetMode="External"/><Relationship Id="rId151" Type="http://schemas.openxmlformats.org/officeDocument/2006/relationships/hyperlink" Target="file:///mediawiki/index.php%3Ftitle=Imperfekt&amp;action=edit&amp;redlink=1" TargetMode="External"/><Relationship Id="rId152" Type="http://schemas.openxmlformats.org/officeDocument/2006/relationships/hyperlink" Target="file:///wiki/Ptz._conj." TargetMode="External"/><Relationship Id="rId153" Type="http://schemas.openxmlformats.org/officeDocument/2006/relationships/hyperlink" Target="file:///mediawiki/index.php%3Ftitle=Imperfekt&amp;action=edit&amp;redlink=1" TargetMode="External"/><Relationship Id="rId154" Type="http://schemas.openxmlformats.org/officeDocument/2006/relationships/hyperlink" Target="file:///wiki/Ptz._conj." TargetMode="External"/><Relationship Id="rId155" Type="http://schemas.openxmlformats.org/officeDocument/2006/relationships/hyperlink" Target="file:///wiki/Ptz._conj." TargetMode="External"/><Relationship Id="rId156" Type="http://schemas.openxmlformats.org/officeDocument/2006/relationships/hyperlink" Target="file:///wiki/Ptz._conj." TargetMode="External"/><Relationship Id="rId157" Type="http://schemas.openxmlformats.org/officeDocument/2006/relationships/hyperlink" Target="file:///wiki/Ptz._conj." TargetMode="External"/><Relationship Id="rId158" Type="http://schemas.openxmlformats.org/officeDocument/2006/relationships/hyperlink" Target="file:///mediawiki/index.php%3Ftitle=Imperfekt&amp;action=edit&amp;redlink=1" TargetMode="External"/><Relationship Id="rId159" Type="http://schemas.openxmlformats.org/officeDocument/2006/relationships/hyperlink" Target="file:///wiki/Ptz._conj." TargetMode="External"/><Relationship Id="rId160" Type="http://schemas.openxmlformats.org/officeDocument/2006/relationships/hyperlink" Target="file:///wiki/Historisches_Pr&#228;sens" TargetMode="External"/><Relationship Id="rId161" Type="http://schemas.openxmlformats.org/officeDocument/2006/relationships/hyperlink" Target="file:///wiki/Attributives_Partizip" TargetMode="External"/><Relationship Id="rId162" Type="http://schemas.openxmlformats.org/officeDocument/2006/relationships/hyperlink" Target="file:///wiki/Historisches_Pr&#228;sens" TargetMode="External"/><Relationship Id="rId163" Type="http://schemas.openxmlformats.org/officeDocument/2006/relationships/hyperlink" Target="file:///wiki/Historisches_Pr&#228;sens" TargetMode="External"/><Relationship Id="rId164" Type="http://schemas.openxmlformats.org/officeDocument/2006/relationships/hyperlink" Target="file:///wiki/Historisches_Pr&#228;sens" TargetMode="External"/><Relationship Id="rId165" Type="http://schemas.openxmlformats.org/officeDocument/2006/relationships/hyperlink" Target="file:///wiki/Ptz._conj." TargetMode="External"/><Relationship Id="rId166" Type="http://schemas.openxmlformats.org/officeDocument/2006/relationships/hyperlink" Target="file:///wiki/Ptz._conj." TargetMode="External"/><Relationship Id="rId167" Type="http://schemas.openxmlformats.org/officeDocument/2006/relationships/hyperlink" Target="file:///wiki/Pleonastisches_Partizip" TargetMode="External"/><Relationship Id="rId168" Type="http://schemas.openxmlformats.org/officeDocument/2006/relationships/hyperlink" Target="file:///mediawiki/index.php%3Ftitle=Imperfekt&amp;action=edit&amp;redlink=1" TargetMode="External"/><Relationship Id="rId169" Type="http://schemas.openxmlformats.org/officeDocument/2006/relationships/hyperlink" Target="file:///wiki/Ptz._conj." TargetMode="External"/><Relationship Id="rId170" Type="http://schemas.openxmlformats.org/officeDocument/2006/relationships/hyperlink" Target="file:///wiki/AcP" TargetMode="External"/><Relationship Id="rId171" Type="http://schemas.openxmlformats.org/officeDocument/2006/relationships/hyperlink" Target="file:///wiki/Beschreibendes_Partizip" TargetMode="External"/><Relationship Id="rId172" Type="http://schemas.openxmlformats.org/officeDocument/2006/relationships/hyperlink" Target="file:///mediawiki/index.php%3Ftitle=Imperfekt&amp;action=edit&amp;redlink=1" TargetMode="External"/><Relationship Id="rId173" Type="http://schemas.openxmlformats.org/officeDocument/2006/relationships/hyperlink" Target="file:///mediawiki/index.php%3Ftitle=Gen._part.&amp;action=edit&amp;redlink=1" TargetMode="External"/><Relationship Id="rId174" Type="http://schemas.openxmlformats.org/officeDocument/2006/relationships/hyperlink" Target="file:///wiki/Ptz._conj." TargetMode="External"/><Relationship Id="rId175" Type="http://schemas.openxmlformats.org/officeDocument/2006/relationships/hyperlink" Target="file:///wiki/Ptz._conj." TargetMode="External"/><Relationship Id="rId176" Type="http://schemas.openxmlformats.org/officeDocument/2006/relationships/hyperlink" Target="file:///wiki/&#8013;&#964;&#953;_recitativum" TargetMode="External"/><Relationship Id="rId177" Type="http://schemas.openxmlformats.org/officeDocument/2006/relationships/hyperlink" Target="file:///wiki/Subst._Ptz." TargetMode="External"/><Relationship Id="rId178" Type="http://schemas.openxmlformats.org/officeDocument/2006/relationships/hyperlink" Target="file:///wiki/Historisches_Pr&#228;sens" TargetMode="External"/><Relationship Id="rId179" Type="http://schemas.openxmlformats.org/officeDocument/2006/relationships/hyperlink" Target="file:///mediawiki/index.php%3Ftitle=AcI&amp;action=edit&amp;redlink=1" TargetMode="External"/><Relationship Id="rId180" Type="http://schemas.openxmlformats.org/officeDocument/2006/relationships/hyperlink" Target="file:///wiki/Attributives_Partizip" TargetMode="External"/><Relationship Id="rId181" Type="http://schemas.openxmlformats.org/officeDocument/2006/relationships/hyperlink" Target="file:///mediawiki/index.php%3Ftitle=Temporaler_Dativ&amp;action=edit&amp;redlink=1" TargetMode="External"/><Relationship Id="rId182" Type="http://schemas.openxmlformats.org/officeDocument/2006/relationships/hyperlink" Target="file:///wiki/Historisches_Pr&#228;sens" TargetMode="External"/><Relationship Id="rId183" Type="http://schemas.openxmlformats.org/officeDocument/2006/relationships/hyperlink" Target="file:///mediawiki/index.php%3Ftitle=Attr._Ptz.&amp;action=edit&amp;redlink=1" TargetMode="External"/><Relationship Id="rId184" Type="http://schemas.openxmlformats.org/officeDocument/2006/relationships/hyperlink" Target="file:///wiki/Historisches_Pr&#228;sens" TargetMode="External"/><Relationship Id="rId185" Type="http://schemas.openxmlformats.org/officeDocument/2006/relationships/hyperlink" Target="file:///mediawiki/index.php%3Ftitle=Temporaler_Dativ&amp;action=edit&amp;redlink=1" TargetMode="External"/><Relationship Id="rId186" Type="http://schemas.openxmlformats.org/officeDocument/2006/relationships/hyperlink" Target="file:///wiki/Ptz._conj." TargetMode="External"/><Relationship Id="rId187" Type="http://schemas.openxmlformats.org/officeDocument/2006/relationships/hyperlink" Target="file:///mediawiki/index.php%3Ftitle=Constructio_ad_sensum&amp;action=edit&amp;redlink=1" TargetMode="External"/><Relationship Id="rId188" Type="http://schemas.openxmlformats.org/officeDocument/2006/relationships/hyperlink" Target="file:///wiki/Ptz._conj." TargetMode="External"/><Relationship Id="rId189" Type="http://schemas.openxmlformats.org/officeDocument/2006/relationships/hyperlink" Target="file:///wiki/Pleonastisches_Partizip" TargetMode="External"/><Relationship Id="rId190" Type="http://schemas.openxmlformats.org/officeDocument/2006/relationships/hyperlink" Target="file:///wiki/&#8013;&#964;&#953;_recitativum" TargetMode="External"/><Relationship Id="rId191" Type="http://schemas.openxmlformats.org/officeDocument/2006/relationships/hyperlink" Target="file:///wiki/Historisches_Pr&#228;sens" TargetMode="External"/><Relationship Id="rId192" Type="http://schemas.openxmlformats.org/officeDocument/2006/relationships/hyperlink" Target="file:///wiki/Historisches_Pr&#228;sens" TargetMode="External"/><Relationship Id="rId193" Type="http://schemas.openxmlformats.org/officeDocument/2006/relationships/hyperlink" Target="file:///mediawiki/index.php%3Ftitle=Attr._Ptz.&amp;action=edit&amp;redlink=1" TargetMode="External"/><Relationship Id="rId194" Type="http://schemas.openxmlformats.org/officeDocument/2006/relationships/hyperlink" Target="file:///wiki/Ptz._conj." TargetMode="External"/><Relationship Id="rId195" Type="http://schemas.openxmlformats.org/officeDocument/2006/relationships/hyperlink" Target="file:///wiki/Ptz._conj." TargetMode="External"/><Relationship Id="rId196" Type="http://schemas.openxmlformats.org/officeDocument/2006/relationships/hyperlink" Target="file:///wiki/Generisches_Maskulinum" TargetMode="External"/><Relationship Id="rId197" Type="http://schemas.openxmlformats.org/officeDocument/2006/relationships/hyperlink" Target="file:///wiki/Historisches_Pr&#228;sens" TargetMode="External"/><Relationship Id="rId198" Type="http://schemas.openxmlformats.org/officeDocument/2006/relationships/hyperlink" Target="file:///wiki/Ptz._conj." TargetMode="External"/><Relationship Id="rId199" Type="http://schemas.openxmlformats.org/officeDocument/2006/relationships/hyperlink" Target="file:///wiki/Ptz._conj." TargetMode="External"/><Relationship Id="rId200" Type="http://schemas.openxmlformats.org/officeDocument/2006/relationships/hyperlink" Target="file:///wiki/Historisches_Pr&#228;sens" TargetMode="External"/><Relationship Id="rId201" Type="http://schemas.openxmlformats.org/officeDocument/2006/relationships/hyperlink" Target="file:///wiki/Ptz._conj." TargetMode="External"/><Relationship Id="rId202" Type="http://schemas.openxmlformats.org/officeDocument/2006/relationships/hyperlink" Target="file:///wiki/Substantiviertes_Partizip" TargetMode="External"/><Relationship Id="rId203" Type="http://schemas.openxmlformats.org/officeDocument/2006/relationships/hyperlink" Target="file:///wiki/Ptz._conj." TargetMode="External"/><Relationship Id="rId204" Type="http://schemas.openxmlformats.org/officeDocument/2006/relationships/hyperlink" Target="file:///mediawiki/index.php%3Ftitle=Constructio_ad_sensum&amp;action=edit&amp;redlink=1" TargetMode="External"/><Relationship Id="rId205" Type="http://schemas.openxmlformats.org/officeDocument/2006/relationships/hyperlink" Target="file:///wiki/Ptz._conj." TargetMode="External"/><Relationship Id="rId206" Type="http://schemas.openxmlformats.org/officeDocument/2006/relationships/hyperlink" Target="file:///mediawiki/index.php%3Ftitle=Imperfekt&amp;action=edit&amp;redlink=1" TargetMode="External"/><Relationship Id="rId207" Type="http://schemas.openxmlformats.org/officeDocument/2006/relationships/hyperlink" Target="file:///wiki/Genitivus_absolutus" TargetMode="External"/><Relationship Id="rId208" Type="http://schemas.openxmlformats.org/officeDocument/2006/relationships/hyperlink" Target="file:///wiki/Substantiviertes_Partizip" TargetMode="External"/><Relationship Id="rId209" Type="http://schemas.openxmlformats.org/officeDocument/2006/relationships/hyperlink" Target="file:///mediawiki/index.php%3Ftitle=Appositiver_Genitiv&amp;action=edit&amp;redlink=1" TargetMode="External"/><Relationship Id="rId210" Type="http://schemas.openxmlformats.org/officeDocument/2006/relationships/hyperlink" Target="file:///wiki/Ptz._conj." TargetMode="External"/><Relationship Id="rId211" Type="http://schemas.openxmlformats.org/officeDocument/2006/relationships/hyperlink" Target="file:///wiki/Subst._Ptz." TargetMode="External"/><Relationship Id="rId212" Type="http://schemas.openxmlformats.org/officeDocument/2006/relationships/hyperlink" Target="file:///mediawiki/index.php%3Ftitle=Imperfekt&amp;action=edit&amp;redlink=1" TargetMode="External"/><Relationship Id="rId213" Type="http://schemas.openxmlformats.org/officeDocument/2006/relationships/hyperlink" Target="file:///wiki/Gen._abs." TargetMode="External"/><Relationship Id="rId214" Type="http://schemas.openxmlformats.org/officeDocument/2006/relationships/hyperlink" Target="file:///wiki/Ptz._conj." TargetMode="External"/><Relationship Id="rId215" Type="http://schemas.openxmlformats.org/officeDocument/2006/relationships/hyperlink" Target="file:///mediawiki/index.php%3Ftitle=Imperfekt&amp;action=edit&amp;redlink=1" TargetMode="External"/><Relationship Id="rId216" Type="http://schemas.openxmlformats.org/officeDocument/2006/relationships/hyperlink" Target="file:///mediawiki/index.php%3Ftitle=Infinitiv&amp;action=edit&amp;redlink=1" TargetMode="External"/><Relationship Id="rId217" Type="http://schemas.openxmlformats.org/officeDocument/2006/relationships/hyperlink" Target="file:///wiki/Ptz._conj." TargetMode="External"/><Relationship Id="rId218" Type="http://schemas.openxmlformats.org/officeDocument/2006/relationships/hyperlink" Target="file:///wiki/Gen._abs." TargetMode="External"/><Relationship Id="rId219" Type="http://schemas.openxmlformats.org/officeDocument/2006/relationships/hyperlink" Target="file:///wiki/Umschreibendes_Partizip" TargetMode="External"/><Relationship Id="rId220" Type="http://schemas.openxmlformats.org/officeDocument/2006/relationships/hyperlink" Target="file:///wiki/Ptz._conj." TargetMode="External"/><Relationship Id="rId221" Type="http://schemas.openxmlformats.org/officeDocument/2006/relationships/hyperlink" Target="file:///wiki/Ptz._conj." TargetMode="External"/><Relationship Id="rId222" Type="http://schemas.openxmlformats.org/officeDocument/2006/relationships/hyperlink" Target="file:///wiki/Ptz._conj." TargetMode="External"/><Relationship Id="rId223" Type="http://schemas.openxmlformats.org/officeDocument/2006/relationships/hyperlink" Target="file:///wiki/Periphrastische_Konjugation" TargetMode="External"/><Relationship Id="rId224" Type="http://schemas.openxmlformats.org/officeDocument/2006/relationships/hyperlink" Target="file:///wiki/Ptz._conj." TargetMode="External"/><Relationship Id="rId225" Type="http://schemas.openxmlformats.org/officeDocument/2006/relationships/hyperlink" Target="file:///wiki/AcP" TargetMode="External"/><Relationship Id="rId226" Type="http://schemas.openxmlformats.org/officeDocument/2006/relationships/hyperlink" Target="file:///wiki/Ptz._conj." TargetMode="External"/><Relationship Id="rId227" Type="http://schemas.openxmlformats.org/officeDocument/2006/relationships/hyperlink" Target="file:///wiki/Gen._abs." TargetMode="External"/><Relationship Id="rId228" Type="http://schemas.openxmlformats.org/officeDocument/2006/relationships/hyperlink" Target="file:///wiki/Dekapolis" TargetMode="External"/><Relationship Id="rId229" Type="http://schemas.openxmlformats.org/officeDocument/2006/relationships/hyperlink" Target="file:///wiki/Gen._abs." TargetMode="External"/><Relationship Id="rId230" Type="http://schemas.openxmlformats.org/officeDocument/2006/relationships/hyperlink" Target="file:///wiki/Ptz._conj." TargetMode="External"/><Relationship Id="rId231" Type="http://schemas.openxmlformats.org/officeDocument/2006/relationships/hyperlink" Target="file:///wiki/Beschreibendes_Partizip" TargetMode="External"/><Relationship Id="rId232" Type="http://schemas.openxmlformats.org/officeDocument/2006/relationships/hyperlink" Target="file:///wiki/Ptz._conj." TargetMode="External"/><Relationship Id="rId233" Type="http://schemas.openxmlformats.org/officeDocument/2006/relationships/hyperlink" Target="file:///wiki/Beschreibendes_Partizip" TargetMode="External"/><Relationship Id="rId234" Type="http://schemas.openxmlformats.org/officeDocument/2006/relationships/hyperlink" Target="http://lsj.translatum.gr/wiki/&#963;&#965;&#957;&#952;&#955;&#943;&#946;&#969;" TargetMode="External"/><Relationship Id="rId235" Type="http://schemas.openxmlformats.org/officeDocument/2006/relationships/hyperlink" Target="file:///wiki/Ptz._conj." TargetMode="External"/><Relationship Id="rId236" Type="http://schemas.openxmlformats.org/officeDocument/2006/relationships/hyperlink" Target="file:///mediawiki/index.php%3Ftitle=Attr._Ptz.&amp;action=edit&amp;redlink=1" TargetMode="External"/><Relationship Id="rId237" Type="http://schemas.openxmlformats.org/officeDocument/2006/relationships/hyperlink" Target="file:///mediawiki/index.php%3Ftitle=Imperfekt&amp;action=edit&amp;redlink=1" TargetMode="External"/><Relationship Id="rId238" Type="http://schemas.openxmlformats.org/officeDocument/2006/relationships/hyperlink" Target="file:///wiki/Ptz._conj." TargetMode="External"/><Relationship Id="rId239" Type="http://schemas.openxmlformats.org/officeDocument/2006/relationships/hyperlink" Target="file:///mediawiki/index.php%3Ftitle=Imperfekt&amp;action=edit&amp;redlink=1" TargetMode="External"/><Relationship Id="rId240" Type="http://schemas.openxmlformats.org/officeDocument/2006/relationships/hyperlink" Target="file:///mediawiki/index.php%3Ftitle=Atr._Ptz.&amp;action=edit&amp;redlink=1" TargetMode="External"/><Relationship Id="rId241" Type="http://schemas.openxmlformats.org/officeDocument/2006/relationships/hyperlink" Target="file:///wiki/Gen._abs." TargetMode="External"/><Relationship Id="rId242" Type="http://schemas.openxmlformats.org/officeDocument/2006/relationships/hyperlink" Target="file:///wiki/Ptz._conj." TargetMode="External"/><Relationship Id="rId243" Type="http://schemas.openxmlformats.org/officeDocument/2006/relationships/hyperlink" Target="file:///wiki/AcP" TargetMode="External"/><Relationship Id="rId244" Type="http://schemas.openxmlformats.org/officeDocument/2006/relationships/hyperlink" Target="file:///wiki/Ptz._conj." TargetMode="External"/><Relationship Id="rId245" Type="http://schemas.openxmlformats.org/officeDocument/2006/relationships/hyperlink" Target="file:///wiki/Gen._abs." TargetMode="External"/><Relationship Id="rId246" Type="http://schemas.openxmlformats.org/officeDocument/2006/relationships/hyperlink" Target="file:///wiki/Gen._abs." TargetMode="External"/><Relationship Id="rId247" Type="http://schemas.openxmlformats.org/officeDocument/2006/relationships/hyperlink" Target="file:///wiki/Ptz._conj." TargetMode="External"/><Relationship Id="rId248" Type="http://schemas.openxmlformats.org/officeDocument/2006/relationships/hyperlink" Target="file:///wiki/Ptz._conj." TargetMode="External"/><Relationship Id="rId249" Type="http://schemas.openxmlformats.org/officeDocument/2006/relationships/hyperlink" Target="file:///wiki/Ptz._conj." TargetMode="External"/><Relationship Id="rId250" Type="http://schemas.openxmlformats.org/officeDocument/2006/relationships/hyperlink" Target="file:///wiki/Ptz._conj." TargetMode="External"/><Relationship Id="rId251" Type="http://schemas.openxmlformats.org/officeDocument/2006/relationships/hyperlink" Target="file:///wiki/Ptz._conj." TargetMode="External"/><Relationship Id="rId252" Type="http://schemas.openxmlformats.org/officeDocument/2006/relationships/hyperlink" Target="file:///mediawiki/index.php%3Ftitle=Imperfekt&amp;action=edit&amp;redlink=1" TargetMode="External"/><Relationship Id="rId253" Type="http://schemas.openxmlformats.org/officeDocument/2006/relationships/hyperlink" Target="file:///wiki/Ptz._conj." TargetMode="External"/><Relationship Id="rId254" Type="http://schemas.openxmlformats.org/officeDocument/2006/relationships/hyperlink" Target="file:///wiki/Gen._abs." TargetMode="External"/><Relationship Id="rId255" Type="http://schemas.openxmlformats.org/officeDocument/2006/relationships/hyperlink" Target="file:///mediawiki/index.php%3Ftitle=Temporaler_Dativ&amp;action=edit&amp;redlink=1" TargetMode="External"/><Relationship Id="rId256" Type="http://schemas.openxmlformats.org/officeDocument/2006/relationships/hyperlink" Target="file:///wiki/Gen._abs." TargetMode="External"/><Relationship Id="rId257" Type="http://schemas.openxmlformats.org/officeDocument/2006/relationships/hyperlink" Target="file:///wiki/Beschreibendes_Partizip" TargetMode="External"/><Relationship Id="rId258" Type="http://schemas.openxmlformats.org/officeDocument/2006/relationships/hyperlink" Target="file:///wiki/Beschreibendes_Partizip" TargetMode="External"/><Relationship Id="rId259" Type="http://schemas.openxmlformats.org/officeDocument/2006/relationships/hyperlink" Target="file:///wiki/Ptz._conj." TargetMode="External"/><Relationship Id="rId260" Type="http://schemas.openxmlformats.org/officeDocument/2006/relationships/hyperlink" Target="file:///wiki/Ptz._conj." TargetMode="External"/><Relationship Id="rId261" Type="http://schemas.openxmlformats.org/officeDocument/2006/relationships/hyperlink" Target="file:///wiki/Ptz._conj." TargetMode="External"/><Relationship Id="rId262" Type="http://schemas.openxmlformats.org/officeDocument/2006/relationships/hyperlink" Target="file:///wiki/Ptz._conj." TargetMode="External"/><Relationship Id="rId263" Type="http://schemas.openxmlformats.org/officeDocument/2006/relationships/hyperlink" Target="file:///wiki/Ptz._conj." TargetMode="External"/><Relationship Id="rId264" Type="http://schemas.openxmlformats.org/officeDocument/2006/relationships/hyperlink" Target="file:///wiki/Beschreibendes_Partizip" TargetMode="External"/><Relationship Id="rId265" Type="http://schemas.openxmlformats.org/officeDocument/2006/relationships/hyperlink" Target="file:///wiki/Ptz._conj." TargetMode="External"/><Relationship Id="rId266" Type="http://schemas.openxmlformats.org/officeDocument/2006/relationships/hyperlink" Target="file:///wiki/Ptz._conj." TargetMode="External"/><Relationship Id="rId267" Type="http://schemas.openxmlformats.org/officeDocument/2006/relationships/hyperlink" Target="file:///wiki/Ptz._conj." TargetMode="External"/><Relationship Id="rId268" Type="http://schemas.openxmlformats.org/officeDocument/2006/relationships/hyperlink" Target="file:///wiki/Gen._abs." TargetMode="External"/><Relationship Id="rId269" Type="http://schemas.openxmlformats.org/officeDocument/2006/relationships/hyperlink" Target="file:///mediawiki/index.php%3Ftitle=Ptc._conj.&amp;action=edit&amp;redlink=1" TargetMode="External"/><Relationship Id="rId270" Type="http://schemas.openxmlformats.org/officeDocument/2006/relationships/hyperlink" Target="file:///mediawiki/index.php%3Ftitle=Imperfekt&amp;action=edit&amp;redlink=1" TargetMode="External"/><Relationship Id="rId271" Type="http://schemas.openxmlformats.org/officeDocument/2006/relationships/hyperlink" Target="file:///wiki/Ptz._conj." TargetMode="External"/><Relationship Id="rId272" Type="http://schemas.openxmlformats.org/officeDocument/2006/relationships/hyperlink" Target="file:///mediawiki/index.php%3Ftitle=Ingressiver_Aorist&amp;action=edit&amp;redlink=1" TargetMode="External"/><Relationship Id="rId273" Type="http://schemas.openxmlformats.org/officeDocument/2006/relationships/hyperlink" Target="file:///wiki/Ptz._conj." TargetMode="External"/><Relationship Id="rId274" Type="http://schemas.openxmlformats.org/officeDocument/2006/relationships/hyperlink" Target="file:///wiki/Ptz._conj." TargetMode="External"/><Relationship Id="rId275" Type="http://schemas.openxmlformats.org/officeDocument/2006/relationships/hyperlink" Target="file:///wiki/Subst._Ptz." TargetMode="External"/><Relationship Id="rId276" Type="http://schemas.openxmlformats.org/officeDocument/2006/relationships/hyperlink" Target="file:///mediawiki/index.php%3Ftitle=Attr._Ptz.&amp;action=edit&amp;redlink=1" TargetMode="External"/><Relationship Id="rId277" Type="http://schemas.openxmlformats.org/officeDocument/2006/relationships/hyperlink" Target="file:///wiki/Ptz._conj." TargetMode="External"/><Relationship Id="rId278" Type="http://schemas.openxmlformats.org/officeDocument/2006/relationships/hyperlink" Target="file:///mediawiki/index.php%3Ftitle=Instr._Dativ&amp;action=edit&amp;redlink=1" TargetMode="External"/><Relationship Id="rId279" Type="http://schemas.openxmlformats.org/officeDocument/2006/relationships/hyperlink" Target="file:///mediawiki/index.php%3Ftitle=Instr._Dativ&amp;action=edit&amp;redlink=1" TargetMode="External"/><Relationship Id="rId280" Type="http://schemas.openxmlformats.org/officeDocument/2006/relationships/hyperlink" Target="file:///mediawiki/index.php%3Ftitle=Instr._Dativ&amp;action=edit&amp;redlink=1" TargetMode="External"/><Relationship Id="rId281" Type="http://schemas.openxmlformats.org/officeDocument/2006/relationships/hyperlink" Target="file:///mediawiki/index.php%3Ftitle=Imperfekt&amp;action=edit&amp;redlink=1" TargetMode="External"/><Relationship Id="rId282" Type="http://schemas.openxmlformats.org/officeDocument/2006/relationships/hyperlink" Target="file:///mediawiki/index.php%3Ftitle=Instr._Dat.&amp;action=edit&amp;redlink=1" TargetMode="External"/><Relationship Id="rId283" Type="http://schemas.openxmlformats.org/officeDocument/2006/relationships/hyperlink" Target="file:///wiki/Ptz._conj." TargetMode="External"/><Relationship Id="rId284" Type="http://schemas.openxmlformats.org/officeDocument/2006/relationships/hyperlink" Target="file:///mediawiki/index.php%3Ftitle=Imperfekt&amp;action=edit&amp;redlink=1" TargetMode="External"/><Relationship Id="rId285" Type="http://schemas.openxmlformats.org/officeDocument/2006/relationships/hyperlink" Target="file:///wiki/Subst._Ptz." TargetMode="External"/><Relationship Id="rId286" Type="http://schemas.openxmlformats.org/officeDocument/2006/relationships/hyperlink" Target="file:///wiki/Umschreibendes_Partizip" TargetMode="External"/><Relationship Id="rId287" Type="http://schemas.openxmlformats.org/officeDocument/2006/relationships/hyperlink" Target="file:///wiki/Historisches_Pr&#228;sens" TargetMode="External"/><Relationship Id="rId288" Type="http://schemas.openxmlformats.org/officeDocument/2006/relationships/hyperlink" Target="file:///wiki/Subst._Ptz." TargetMode="External"/><Relationship Id="rId289" Type="http://schemas.openxmlformats.org/officeDocument/2006/relationships/hyperlink" Target="file:///wiki/Ptz._conj." TargetMode="External"/><Relationship Id="rId290" Type="http://schemas.openxmlformats.org/officeDocument/2006/relationships/hyperlink" Target="file:///wiki/Ptz._conj." TargetMode="External"/><Relationship Id="rId291" Type="http://schemas.openxmlformats.org/officeDocument/2006/relationships/hyperlink" Target="file:///mediawiki/index.php%3Ftitle=Imperfekt&amp;action=edit&amp;redlink=1" TargetMode="External"/><Relationship Id="rId292" Type="http://schemas.openxmlformats.org/officeDocument/2006/relationships/hyperlink" Target="file:///wiki/Ptz._conj." TargetMode="External"/><Relationship Id="rId293" Type="http://schemas.openxmlformats.org/officeDocument/2006/relationships/hyperlink" Target="file:///wiki/Ptz._conj." TargetMode="External"/><Relationship Id="rId294" Type="http://schemas.openxmlformats.org/officeDocument/2006/relationships/hyperlink" Target="file:///wiki/Ptz._conj." TargetMode="External"/><Relationship Id="rId295" Type="http://schemas.openxmlformats.org/officeDocument/2006/relationships/hyperlink" Target="file:///wiki/Ptz._conj." TargetMode="External"/><Relationship Id="rId296" Type="http://schemas.openxmlformats.org/officeDocument/2006/relationships/hyperlink" Target="file:///wiki/Ptz._conj." TargetMode="External"/><Relationship Id="rId297" Type="http://schemas.openxmlformats.org/officeDocument/2006/relationships/hyperlink" Target="file:///wiki/Ptz._conj." TargetMode="External"/><Relationship Id="rId298" Type="http://schemas.openxmlformats.org/officeDocument/2006/relationships/hyperlink" Target="file:///wiki/Ptz._conj." TargetMode="External"/><Relationship Id="rId299" Type="http://schemas.openxmlformats.org/officeDocument/2006/relationships/hyperlink" Target="file:///wiki/Ptz._conj." TargetMode="External"/><Relationship Id="rId300" Type="http://schemas.openxmlformats.org/officeDocument/2006/relationships/hyperlink" Target="file:///wiki/Ptz._conj." TargetMode="External"/><Relationship Id="rId301" Type="http://schemas.openxmlformats.org/officeDocument/2006/relationships/hyperlink" Target="file:///wiki/Ptz._conj." TargetMode="External"/><Relationship Id="rId302" Type="http://schemas.openxmlformats.org/officeDocument/2006/relationships/hyperlink" Target="file:///mediawiki/index.php%3Ftitle=Attr._Ptz.&amp;action=edit&amp;redlink=1" TargetMode="External"/><Relationship Id="rId303" Type="http://schemas.openxmlformats.org/officeDocument/2006/relationships/hyperlink" Target="file:///mediawiki/index.php%3Ftitle=Imperfekt&amp;action=edit&amp;redlink=1" TargetMode="External"/><Relationship Id="rId304" Type="http://schemas.openxmlformats.org/officeDocument/2006/relationships/hyperlink" Target="file:///wiki/Ptz._conj." TargetMode="External"/><Relationship Id="rId305" Type="http://schemas.openxmlformats.org/officeDocument/2006/relationships/hyperlink" Target="file:///wiki/Ptz._conj." TargetMode="External"/><Relationship Id="rId306" Type="http://schemas.openxmlformats.org/officeDocument/2006/relationships/hyperlink" Target="file:///wiki/Ptz._conj." TargetMode="External"/><Relationship Id="rId307" Type="http://schemas.openxmlformats.org/officeDocument/2006/relationships/hyperlink" Target="file:///wiki/Pleonastisches_Partizip" TargetMode="External"/><Relationship Id="rId308" Type="http://schemas.openxmlformats.org/officeDocument/2006/relationships/hyperlink" Target="file:///mediawiki/index.php%3Ftitle=AcI&amp;action=edit&amp;redlink=1" TargetMode="External"/><Relationship Id="rId309" Type="http://schemas.openxmlformats.org/officeDocument/2006/relationships/hyperlink" Target="file:///wiki/Pleonastisches_Partizip" TargetMode="External"/><Relationship Id="rId310" Type="http://schemas.openxmlformats.org/officeDocument/2006/relationships/hyperlink" Target="file:///mediawiki/index.php%3Ftitle=AcI&amp;action=edit&amp;redlink=1" TargetMode="External"/><Relationship Id="rId311" Type="http://schemas.openxmlformats.org/officeDocument/2006/relationships/hyperlink" Target="file:///wiki/Pleonastisches_Partizip" TargetMode="External"/><Relationship Id="rId312" Type="http://schemas.openxmlformats.org/officeDocument/2006/relationships/hyperlink" Target="file:///wiki/Ptz._conj." TargetMode="External"/><Relationship Id="rId313" Type="http://schemas.openxmlformats.org/officeDocument/2006/relationships/hyperlink" Target="file:///mediawiki/index.php%3Ftitle=Reich_Gottes&amp;action=edit&amp;redlink=1" TargetMode="External"/><Relationship Id="rId314" Type="http://schemas.openxmlformats.org/officeDocument/2006/relationships/hyperlink" Target="http://www.zeno.org/Pape-1880/A/&#960;&#959;&#955;&#973;&#962;" TargetMode="External"/><Relationship Id="rId315" Type="http://schemas.openxmlformats.org/officeDocument/2006/relationships/hyperlink" Target="file:///mediawiki/index.php%3Ftitle=2K&#246;nige_16&amp;action=edit&amp;redlink=1" TargetMode="External"/><Relationship Id="rId316" Type="http://schemas.openxmlformats.org/officeDocument/2006/relationships/hyperlink" Target="file:///mediawiki/index.php%3Ftitle=2K&#246;nige_21&amp;action=edit&amp;redlink=1" TargetMode="External"/><Relationship Id="rId317" Type="http://schemas.openxmlformats.org/officeDocument/2006/relationships/hyperlink" Target="file:///wiki/Ptz._conj." TargetMode="External"/><Relationship Id="rId318" Type="http://schemas.openxmlformats.org/officeDocument/2006/relationships/hyperlink" Target="file:///wiki/Ptz._conj." TargetMode="External"/><Relationship Id="rId319" Type="http://schemas.openxmlformats.org/officeDocument/2006/relationships/hyperlink" Target="file:///wiki/Ptz._conj." TargetMode="External"/><Relationship Id="rId320" Type="http://schemas.openxmlformats.org/officeDocument/2006/relationships/hyperlink" Target="file:///wiki/Ptz._conj." TargetMode="External"/><Relationship Id="rId321" Type="http://schemas.openxmlformats.org/officeDocument/2006/relationships/hyperlink" Target="file:///wiki/Ptz._conj." TargetMode="External"/><Relationship Id="rId322" Type="http://schemas.openxmlformats.org/officeDocument/2006/relationships/hyperlink" Target="file:///wiki/Ptz._conj." TargetMode="External"/><Relationship Id="rId323" Type="http://schemas.openxmlformats.org/officeDocument/2006/relationships/hyperlink" Target="file:///wiki/Ptz._conj." TargetMode="External"/><Relationship Id="rId324" Type="http://schemas.openxmlformats.org/officeDocument/2006/relationships/hyperlink" Target="file:///wiki/Ptz._conj." TargetMode="External"/><Relationship Id="rId325" Type="http://schemas.openxmlformats.org/officeDocument/2006/relationships/hyperlink" Target="file:///wiki/Ptz._conj." TargetMode="External"/><Relationship Id="rId326" Type="http://schemas.openxmlformats.org/officeDocument/2006/relationships/hyperlink" Target="file:///mediawiki/index.php%3Ftitle=Pleonastisches_Ptz.&amp;action=edit&amp;redlink=1" TargetMode="External"/><Relationship Id="rId327" Type="http://schemas.openxmlformats.org/officeDocument/2006/relationships/hyperlink" Target="file:///wiki/Ptz._conj." TargetMode="External"/><Relationship Id="rId328" Type="http://schemas.openxmlformats.org/officeDocument/2006/relationships/hyperlink" Target="file:///wiki/Ptz._conj." TargetMode="External"/><Relationship Id="rId329" Type="http://schemas.openxmlformats.org/officeDocument/2006/relationships/hyperlink" Target="file:///wiki/Ptz._conj." TargetMode="External"/><Relationship Id="rId330" Type="http://schemas.openxmlformats.org/officeDocument/2006/relationships/hyperlink" Target="file:///wiki/Ptz._conj." TargetMode="External"/><Relationship Id="rId331" Type="http://schemas.openxmlformats.org/officeDocument/2006/relationships/hyperlink" Target="file:///mediawiki/index.php%3Ftitle=Dat._commodi&amp;action=edit&amp;redlink=1" TargetMode="External"/><Relationship Id="rId332" Type="http://schemas.openxmlformats.org/officeDocument/2006/relationships/hyperlink" Target="file:///mediawiki/index.php%3Ftitle=Dat._commodi&amp;action=edit&amp;redlink=1" TargetMode="External"/><Relationship Id="rId333" Type="http://schemas.openxmlformats.org/officeDocument/2006/relationships/hyperlink" Target="file:///wiki/Ptz._conj." TargetMode="External"/><Relationship Id="rId334" Type="http://schemas.openxmlformats.org/officeDocument/2006/relationships/hyperlink" Target="file:///wiki/Ptz._conj." TargetMode="External"/><Relationship Id="rId335" Type="http://schemas.openxmlformats.org/officeDocument/2006/relationships/hyperlink" Target="file:///wiki/Ptz._conj." TargetMode="External"/><Relationship Id="rId336" Type="http://schemas.openxmlformats.org/officeDocument/2006/relationships/hyperlink" Target="file:///wiki/Ptz._conj." TargetMode="External"/><Relationship Id="rId337" Type="http://schemas.openxmlformats.org/officeDocument/2006/relationships/hyperlink" Target="file:///wiki/Ptz._conj." TargetMode="External"/><Relationship Id="rId338" Type="http://schemas.openxmlformats.org/officeDocument/2006/relationships/hyperlink" Target="file:///wiki/Ptz._conj." TargetMode="External"/><Relationship Id="rId339" Type="http://schemas.openxmlformats.org/officeDocument/2006/relationships/hyperlink" Target="file:///mediawiki/index.php%3Ftitle=Impferfekt&amp;action=edit&amp;redlink=1" TargetMode="External"/><Relationship Id="rId340" Type="http://schemas.openxmlformats.org/officeDocument/2006/relationships/hyperlink" Target="file:///mediawiki/index.php%3Ftitle=Ingressives_Aorist&amp;action=edit&amp;redlink=1" TargetMode="External"/><Relationship Id="rId341" Type="http://schemas.openxmlformats.org/officeDocument/2006/relationships/hyperlink" Target="file:///wiki/Ptz._conj." TargetMode="External"/><Relationship Id="rId342" Type="http://schemas.openxmlformats.org/officeDocument/2006/relationships/hyperlink" Target="file:///wiki/Ptz._conj." TargetMode="External"/><Relationship Id="rId343" Type="http://schemas.openxmlformats.org/officeDocument/2006/relationships/hyperlink" Target="file:///mediawiki/index.php%3Ftitle=Imperfekt&amp;action=edit&amp;redlink=1" TargetMode="External"/><Relationship Id="rId344" Type="http://schemas.openxmlformats.org/officeDocument/2006/relationships/hyperlink" Target="file:///wiki/Ptz._conj." TargetMode="External"/><Relationship Id="rId345" Type="http://schemas.openxmlformats.org/officeDocument/2006/relationships/hyperlink" Target="file:///mediawiki/index.php%3Ftitle=Pleonatische_Partizip&amp;action=edit&amp;redlink=1" TargetMode="External"/><Relationship Id="rId346" Type="http://schemas.openxmlformats.org/officeDocument/2006/relationships/hyperlink" Target="http://nbn-resolving.de/urn:nbn:de:bsz:21-opus-68738" TargetMode="External"/><Relationship Id="rId347" Type="http://schemas.openxmlformats.org/officeDocument/2006/relationships/hyperlink" Target="http://nbn-resolving.de/urn:nbn:de:bsz:21-opus-68738" TargetMode="External"/><Relationship Id="rId348" Type="http://schemas.openxmlformats.org/officeDocument/2006/relationships/hyperlink" Target="file:///wiki/Ptz._conj." TargetMode="External"/><Relationship Id="rId349" Type="http://schemas.openxmlformats.org/officeDocument/2006/relationships/hyperlink" Target="file:///wiki/Ptz._conj." TargetMode="External"/><Relationship Id="rId350" Type="http://schemas.openxmlformats.org/officeDocument/2006/relationships/hyperlink" Target="file:///wiki/Ptz._conj." TargetMode="External"/><Relationship Id="rId351" Type="http://schemas.openxmlformats.org/officeDocument/2006/relationships/hyperlink" Target="http://erwin-reidinger.heimat.eu/HP_Bilder/TempelanlageInJerusalem.pdf" TargetMode="External"/><Relationship Id="rId352" Type="http://schemas.openxmlformats.org/officeDocument/2006/relationships/hyperlink" Target="file:///mediawiki/index.php%3Ftitle=Lukas_22&amp;action=edit&amp;redlink=1" TargetMode="External"/><Relationship Id="rId353" Type="http://schemas.openxmlformats.org/officeDocument/2006/relationships/hyperlink" Target="file:///mediawiki/index.php%3Ftitle=Jeremia_31&amp;action=edit&amp;redlink=1" TargetMode="External"/><Relationship Id="rId354" Type="http://schemas.openxmlformats.org/officeDocument/2006/relationships/hyperlink" Target="file:///mediawiki/index.php%3Ftitle=Jeremia_33&amp;action=edit&amp;redlink=1" TargetMode="External"/><Relationship Id="rId355" Type="http://schemas.openxmlformats.org/officeDocument/2006/relationships/hyperlink" Target="file:///mediawiki/index.php%3Ftitle=Joel_3&amp;action=edit&amp;redlink=1" TargetMode="External"/><Relationship Id="rId356" Type="http://schemas.openxmlformats.org/officeDocument/2006/relationships/hyperlink" Target="file:///mediawiki/index.php%3Ftitle=Sacharja_8&amp;action=edit&amp;redlink=1" TargetMode="External"/><Relationship Id="rId357" Type="http://schemas.openxmlformats.org/officeDocument/2006/relationships/hyperlink" Target="http://www.unifr.ch/bkv/kapitel3689.htm" TargetMode="External"/><Relationship Id="rId358" Type="http://schemas.openxmlformats.org/officeDocument/2006/relationships/hyperlink" Target="file:///mediawiki/index.php%3Ftitle=Jesaja_34&amp;action=edit&amp;redlink=1" TargetMode="External"/><Relationship Id="rId359" Type="http://schemas.openxmlformats.org/officeDocument/2006/relationships/hyperlink" Target="file:///wiki/Gen._abs." TargetMode="External"/><Relationship Id="rId360" Type="http://schemas.openxmlformats.org/officeDocument/2006/relationships/hyperlink" Target="file:///wiki/Gen._abs." TargetMode="External"/><Relationship Id="rId361" Type="http://schemas.openxmlformats.org/officeDocument/2006/relationships/hyperlink" Target="file:///wiki/Ptz._coni." TargetMode="External"/><Relationship Id="rId362" Type="http://schemas.openxmlformats.org/officeDocument/2006/relationships/hyperlink" Target="file:///wiki/Ptz._coni." TargetMode="External"/><Relationship Id="rId363" Type="http://schemas.openxmlformats.org/officeDocument/2006/relationships/hyperlink" Target="file:///wiki/Historisches_Pr&#228;sens" TargetMode="External"/><Relationship Id="rId364" Type="http://schemas.openxmlformats.org/officeDocument/2006/relationships/hyperlink" Target="file:///wiki/&#8013;&#964;&#953;_recitativum" TargetMode="External"/><Relationship Id="rId365" Type="http://schemas.openxmlformats.org/officeDocument/2006/relationships/hyperlink" Target="file:///wiki/Ptz._coni." TargetMode="External"/><Relationship Id="rId366" Type="http://schemas.openxmlformats.org/officeDocument/2006/relationships/hyperlink" Target="file:///wiki/Generisches_Maskulinum" TargetMode="External"/><Relationship Id="rId367" Type="http://schemas.openxmlformats.org/officeDocument/2006/relationships/hyperlink" Target="file:///wiki/Historisches_Pr&#228;sens" TargetMode="External"/><Relationship Id="rId368" Type="http://schemas.openxmlformats.org/officeDocument/2006/relationships/hyperlink" Target="file:///mediawiki/index.php%3Ftitle=Die_griechischen_Kasus&amp;action=edit&amp;redlink=1" TargetMode="External"/><Relationship Id="rId369" Type="http://schemas.openxmlformats.org/officeDocument/2006/relationships/hyperlink" Target="file:///wiki/Historisches_Pr&#228;sens" TargetMode="External"/><Relationship Id="rId370" Type="http://schemas.openxmlformats.org/officeDocument/2006/relationships/hyperlink" Target="file:///wiki/Ptz" TargetMode="External"/><Relationship Id="rId371" Type="http://schemas.openxmlformats.org/officeDocument/2006/relationships/hyperlink" Target="file:///mediawiki/index.php%3Ftitle=Dativus_commodi&amp;action=edit&amp;redlink=1" TargetMode="External"/><Relationship Id="rId372" Type="http://schemas.openxmlformats.org/officeDocument/2006/relationships/hyperlink" Target="file:///wiki/Ptz" TargetMode="External"/><Relationship Id="rId373" Type="http://schemas.openxmlformats.org/officeDocument/2006/relationships/hyperlink" Target="file:///wiki/Ptz" TargetMode="External"/><Relationship Id="rId374" Type="http://schemas.openxmlformats.org/officeDocument/2006/relationships/hyperlink" Target="file:///mediawiki/index.php%3Ftitle=2_Korinther_1&amp;action=edit&amp;redlink=1" TargetMode="External"/><Relationship Id="rId375" Type="http://schemas.openxmlformats.org/officeDocument/2006/relationships/hyperlink" Target="file:///mediawiki/index.php%3Ftitle=1_Thessalonicher_1&amp;action=edit&amp;redlink=1" TargetMode="External"/><Relationship Id="rId376" Type="http://schemas.openxmlformats.org/officeDocument/2006/relationships/hyperlink" Target="file:///mediawiki/index.php%3Ftitle=2_Thessalonicher_1&amp;action=edit&amp;redlink=1" TargetMode="External"/><Relationship Id="rId377" Type="http://schemas.openxmlformats.org/officeDocument/2006/relationships/hyperlink" Target="file:///mediawiki/index.php%3Ftitle=Apostelgeschichte_16&amp;action=edit&amp;redlink=1" TargetMode="External"/><Relationship Id="rId378" Type="http://schemas.openxmlformats.org/officeDocument/2006/relationships/hyperlink" Target="file:///wiki/Generisches_Maskulinum" TargetMode="External"/><Relationship Id="rId379" Type="http://schemas.openxmlformats.org/officeDocument/2006/relationships/hyperlink" Target="file:///mediawiki/index.php%3Ftitle=1_Korinther_15&amp;action=edit&amp;redlink=1" TargetMode="External"/><Relationship Id="rId380" Type="http://schemas.openxmlformats.org/officeDocument/2006/relationships/hyperlink" Target="file:///mediawiki/index.php%3Ftitle=2_Korinther_5&amp;action=edit&amp;redlink=1" TargetMode="External"/><Relationship Id="rId381" Type="http://schemas.openxmlformats.org/officeDocument/2006/relationships/hyperlink" Target="file:///mediawiki/index.php%3Ftitle=Kolosser_4&amp;action=edit&amp;redlink=1" TargetMode="External"/><Relationship Id="rId382" Type="http://schemas.openxmlformats.org/officeDocument/2006/relationships/hyperlink" Target="file:///mediawiki/index.php%3Ftitle=Epheser_4&amp;action=edit&amp;redlink=1" TargetMode="External"/><Relationship Id="rId383" Type="http://schemas.openxmlformats.org/officeDocument/2006/relationships/hyperlink" Target="file:///mediawiki/index.php%3Ftitle=Psalm_147&amp;action=edit&amp;redlink=1" TargetMode="External"/><Relationship Id="rId384" Type="http://schemas.openxmlformats.org/officeDocument/2006/relationships/hyperlink" Target="file:///mediawiki/index.php%3Ftitle=Jeremia_31&amp;action=edit&amp;redlink=1" TargetMode="External"/><Relationship Id="rId385" Type="http://schemas.openxmlformats.org/officeDocument/2006/relationships/hyperlink" Target="file:///mediawiki/index.php%3Ftitle=Ezechiel_28&amp;action=edit&amp;redlink=1" TargetMode="External"/><Relationship Id="rId386" Type="http://schemas.openxmlformats.org/officeDocument/2006/relationships/hyperlink" Target="file:///mediawiki/index.php%3Ftitle=Nehemia_1&amp;action=edit&amp;redlink=1" TargetMode="External"/><Relationship Id="rId387" Type="http://schemas.openxmlformats.org/officeDocument/2006/relationships/hyperlink" Target="file:///wiki/Generisches_Maskulinum" TargetMode="External"/><Relationship Id="rId388" Type="http://schemas.openxmlformats.org/officeDocument/2006/relationships/hyperlink" Target="file:///mediawiki/index.php%3Ftitle=Sprichw&#246;rter_1&amp;action=edit&amp;redlink=1" TargetMode="External"/><Relationship Id="rId389" Type="http://schemas.openxmlformats.org/officeDocument/2006/relationships/hyperlink" Target="file:///mediawiki/index.php%3Ftitle=Jesus_Sirach_39,5&amp;action=edit&amp;redlink=1" TargetMode="External"/><Relationship Id="rId390" Type="http://schemas.openxmlformats.org/officeDocument/2006/relationships/hyperlink" Target="file:///mediawiki/index.php%3Ftitle=Weisheit_7&amp;action=edit&amp;redlink=1" TargetMode="External"/><Relationship Id="rId391" Type="http://schemas.openxmlformats.org/officeDocument/2006/relationships/hyperlink" Target="file:///mediawiki/index.php%3Ftitle=Weisheit_7&amp;action=edit&amp;redlink=1" TargetMode="External"/><Relationship Id="rId392" Type="http://schemas.openxmlformats.org/officeDocument/2006/relationships/hyperlink" Target="file:///mediawiki/index.php%3Ftitle=Weisheit_7&amp;action=edit&amp;redlink=1" TargetMode="External"/><Relationship Id="rId393" Type="http://schemas.openxmlformats.org/officeDocument/2006/relationships/hyperlink" Target="file:///mediawiki/index.php%3Ftitle=1Korinther_2&amp;action=edit&amp;redlink=1" TargetMode="External"/><Relationship Id="rId394" Type="http://schemas.openxmlformats.org/officeDocument/2006/relationships/hyperlink" Target="file:///mediawiki/index.php%3Ftitle=1Korinther_12&amp;action=edit&amp;redlink=1" TargetMode="External"/><Relationship Id="rId395" Type="http://schemas.openxmlformats.org/officeDocument/2006/relationships/hyperlink" Target="file:///mediawiki/index.php%3Ftitle=1Korinther_1&amp;action=edit&amp;redlink=1" TargetMode="External"/><Relationship Id="rId396" Type="http://schemas.openxmlformats.org/officeDocument/2006/relationships/hyperlink" Target="file:///mediawiki/index.php%3Ftitle=1Korinther_2&amp;action=edit&amp;redlink=1" TargetMode="External"/><Relationship Id="rId397" Type="http://schemas.openxmlformats.org/officeDocument/2006/relationships/hyperlink" Target="file:///mediawiki/index.php%3Ftitle=Weisheit_7&amp;action=edit&amp;redlink=1" TargetMode="External"/><Relationship Id="rId398" Type="http://schemas.openxmlformats.org/officeDocument/2006/relationships/hyperlink" Target="file:///mediawiki/index.php%3Ftitle=Weisheit_8&amp;action=edit&amp;redlink=1" TargetMode="External"/><Relationship Id="rId399" Type="http://schemas.openxmlformats.org/officeDocument/2006/relationships/hyperlink" Target="file:///mediawiki/index.php%3Ftitle=Weisheit_9&amp;action=edit&amp;redlink=1" TargetMode="External"/><Relationship Id="rId400" Type="http://schemas.openxmlformats.org/officeDocument/2006/relationships/hyperlink" Target="file:///mediawiki/index.php%3Ftitle=Weisheit_9&amp;action=edit&amp;redlink=1" TargetMode="External"/><Relationship Id="rId401" Type="http://schemas.openxmlformats.org/officeDocument/2006/relationships/hyperlink" Target="file:///mediawiki/index.php%3Ftitle=Weisheit_9&amp;action=edit&amp;redlink=1" TargetMode="External"/><Relationship Id="rId402" Type="http://schemas.openxmlformats.org/officeDocument/2006/relationships/hyperlink" Target="http://de.wikisource.org/wiki/Das_vierte_Buch_der_Makkab&#228;er" TargetMode="External"/><Relationship Id="rId403" Type="http://schemas.openxmlformats.org/officeDocument/2006/relationships/hyperlink" Target="http://de.wikisource.org/wiki/Das_vierte_Buch_der_Makkab&#228;er" TargetMode="External"/><Relationship Id="rId404" Type="http://schemas.openxmlformats.org/officeDocument/2006/relationships/hyperlink" Target="file:///wiki/Generisches_Maskulinum" TargetMode="External"/><Relationship Id="rId405" Type="http://schemas.openxmlformats.org/officeDocument/2006/relationships/hyperlink" Target="file:///wiki/Partizip" TargetMode="External"/><Relationship Id="rId406" Type="http://schemas.openxmlformats.org/officeDocument/2006/relationships/hyperlink" Target="file:///wiki/Partizip" TargetMode="External"/><Relationship Id="rId407" Type="http://schemas.openxmlformats.org/officeDocument/2006/relationships/hyperlink" Target="file:///wiki/Generisches_Maskulinum" TargetMode="External"/><Relationship Id="rId408" Type="http://schemas.openxmlformats.org/officeDocument/2006/relationships/hyperlink" Target="file:///mediawiki/index.php%3Ftitle=Sprichw&#246;rter_3&amp;action=edit&amp;redlink=1" TargetMode="External"/>
</Relationships>
</file>

<file path=docProps/app.xml><?xml version="1.0" encoding="utf-8"?>
<Properties xmlns="http://schemas.openxmlformats.org/officeDocument/2006/extended-properties" xmlns:vt="http://schemas.openxmlformats.org/officeDocument/2006/docPropsVTypes">
  <TotalTime>0</TotalTime>
  <Application>LibreOffice/5.0.3.2$Windows_x86 LibreOffice_project/e5f16313668ac592c1bfb310f4390624e3dbfb75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