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Studienfassung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[2016-01-01]</w:t>
        <w:br/>
        <w:t xml:space="preserve">Lizenz: Copyright (C) 2009-2016 Offene Bibel (http://www.offene-bibel.de), lizenziert unter Creative Commons Attribution-ShareAlike 3.0 Unported. Hebräisch zitiert aus Biblia Hebraica Stuttgartensia, Griechisch zitiert aus Novum Testamentum Graece, jeweils aktuelle Auflage.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2"/>
        <w:t>Status</w:t>
      </w:r>
      <w:r>
        <w:rPr/>
        <w:t xml:space="preserve"> Währenddessen </w:t>
      </w:r>
      <w:r>
        <w:rPr>
          <w:color w:val="808080"/>
        </w:rPr>
        <w:t>(und, als)</w:t>
      </w:r>
      <w:r>
        <w:rPr/>
        <w:t xml:space="preserve"> </w:t>
      </w:r>
      <w:r>
        <w:rPr>
          <w:rStyle w:val="Funotenanker"/>
        </w:rPr>
        <w:footnoteReference w:customMarkFollows="1" w:id="3"/>
        <w:t>a</w:t>
      </w:r>
      <w:r>
        <w:rPr/>
        <w:t xml:space="preserve"> hütete Mose das Kleinvieh</w:t>
      </w:r>
      <w:r>
        <w:rPr>
          <w:rStyle w:val="Funotenanker"/>
        </w:rPr>
        <w:footnoteReference w:customMarkFollows="1" w:id="4"/>
        <w:t>b</w:t>
      </w:r>
      <w:r>
        <w:rPr/>
        <w:t xml:space="preserve"> </w:t>
      </w:r>
      <w:r>
        <w:rPr>
          <w:color w:val="808080"/>
        </w:rPr>
        <w:t>(war Hirte des Kleinviehs)</w:t>
      </w:r>
      <w:r>
        <w:rPr/>
        <w:t xml:space="preserve"> </w:t>
      </w:r>
      <w:r>
        <w:rPr>
          <w:rStyle w:val="Funotenanker"/>
        </w:rPr>
        <w:footnoteReference w:customMarkFollows="1" w:id="5"/>
        <w:t>c</w:t>
      </w:r>
      <w:r>
        <w:rPr/>
        <w:t xml:space="preserve"> Jitros, seines Schwiegervaters, des Priesters von Midian. Und </w:t>
      </w:r>
      <w:r>
        <w:rPr>
          <w:color w:val="808080"/>
        </w:rPr>
        <w:t>(einmal, da, als)</w:t>
      </w:r>
      <w:r>
        <w:rPr/>
        <w:t xml:space="preserve"> er trieb das Kleinvieh hinter </w:t>
      </w:r>
      <w:r>
        <w:rPr>
          <w:color w:val="808080"/>
        </w:rPr>
        <w:t>(auf die Westseite)</w:t>
      </w:r>
      <w:r>
        <w:rPr/>
        <w:t xml:space="preserve"> die Wüste </w:t>
      </w:r>
      <w:r>
        <w:rPr>
          <w:color w:val="808080"/>
        </w:rPr>
        <w:t>(Wildnis; Weideland)</w:t>
      </w:r>
      <w:r>
        <w:rPr/>
        <w:t xml:space="preserve"> und </w:t>
      </w:r>
      <w:r>
        <w:rPr>
          <w:color w:val="808080"/>
        </w:rPr>
        <w:t>(da)</w:t>
      </w:r>
      <w:r>
        <w:rPr/>
        <w:t xml:space="preserve"> kam zum Berg Gottes, dem Horeb.{{field-off:bible}} </w:t>
        <w:br/>
        <w:t>[[@BibleTOBIBLE:Ex 3:2]]</w:t>
      </w:r>
      <w:r>
        <w:rPr>
          <w:b/>
        </w:rPr>
        <w:t>2</w:t>
      </w:r>
      <w:r>
        <w:rPr/>
        <w:t xml:space="preserve"> {{field-on:bible}}Da </w:t>
      </w:r>
      <w:r>
        <w:rPr>
          <w:color w:val="808080"/>
        </w:rPr>
        <w:t>(und)</w:t>
      </w:r>
      <w:r>
        <w:rPr/>
        <w:t xml:space="preserve"> zeigte sich </w:t>
      </w:r>
      <w:r>
        <w:rPr>
          <w:color w:val="808080"/>
        </w:rPr>
        <w:t>(erschien)</w:t>
      </w:r>
      <w:r>
        <w:rPr/>
        <w:t xml:space="preserve"> ihm der Engel </w:t>
      </w:r>
      <w:r>
        <w:rPr>
          <w:color w:val="808080"/>
        </w:rPr>
        <w:t>(Bote)</w:t>
      </w:r>
      <w:r>
        <w:rPr/>
        <w:t xml:space="preserve"> </w:t>
      </w:r>
      <w:r>
        <w:rPr>
          <w:smallCaps/>
          <w:color w:val="FF0000"/>
        </w:rPr>
        <w:t>JHWH</w:t>
      </w:r>
      <w:r>
        <w:rPr/>
        <w:t>s in einer Feuerflamme</w:t>
      </w:r>
      <w:r>
        <w:rPr>
          <w:rStyle w:val="Funotenanker"/>
        </w:rPr>
        <w:footnoteReference w:customMarkFollows="1" w:id="6"/>
        <w:t>d</w:t>
      </w:r>
      <w:r>
        <w:rPr/>
        <w:t xml:space="preserve"> aus der Mitte des Busches</w:t>
      </w:r>
      <w:r>
        <w:rPr>
          <w:rStyle w:val="Funotenanker"/>
        </w:rPr>
        <w:footnoteReference w:customMarkFollows="1" w:id="7"/>
        <w:t>e</w:t>
      </w:r>
      <w:r>
        <w:rPr/>
        <w:t xml:space="preserve">. </w:t>
      </w:r>
      <w:r>
        <w:rPr>
          <w:strike/>
          <w:color w:val="808080"/>
        </w:rPr>
        <w:t>{und}</w:t>
      </w:r>
      <w:r>
        <w:rPr/>
        <w:t xml:space="preserve"> Er sah hin - obwohl</w:t>
      </w:r>
      <w:r>
        <w:rPr>
          <w:rStyle w:val="Funotenanker"/>
        </w:rPr>
        <w:footnoteReference w:customMarkFollows="1" w:id="8"/>
        <w:t>f</w:t>
      </w:r>
      <w:r>
        <w:rPr/>
        <w:t xml:space="preserve"> der Busch mit </w:t>
      </w:r>
      <w:r>
        <w:rPr>
          <w:color w:val="808080"/>
        </w:rPr>
        <w:t>(im)</w:t>
      </w:r>
      <w:r>
        <w:rPr/>
        <w:t xml:space="preserve"> Feuer</w:t>
      </w:r>
      <w:r>
        <w:rPr>
          <w:rStyle w:val="Funotenanker"/>
        </w:rPr>
        <w:footnoteReference w:customMarkFollows="1" w:id="9"/>
        <w:t>g</w:t>
      </w:r>
      <w:r>
        <w:rPr/>
        <w:t xml:space="preserve"> brannte</w:t>
      </w:r>
      <w:r>
        <w:rPr>
          <w:rStyle w:val="Funotenanker"/>
        </w:rPr>
        <w:footnoteReference w:customMarkFollows="1" w:id="10"/>
        <w:t>h</w:t>
      </w:r>
      <w:r>
        <w:rPr/>
        <w:t xml:space="preserve">, wurde er nicht aufgezehrt!{{field-off:bible}} </w:t>
        <w:br/>
        <w:t>[[@BibleTOBIBLE:Ex 3:3]]</w:t>
      </w:r>
      <w:r>
        <w:rPr>
          <w:b/>
        </w:rPr>
        <w:t>3</w:t>
      </w:r>
      <w:r>
        <w:rPr/>
        <w:t xml:space="preserve"> {{field-on:bible}}Da </w:t>
      </w:r>
      <w:r>
        <w:rPr>
          <w:color w:val="808080"/>
        </w:rPr>
        <w:t>(und)</w:t>
      </w:r>
      <w:r>
        <w:rPr/>
        <w:t xml:space="preserve"> sagte Mose: „Ich will </w:t>
      </w:r>
      <w:r>
        <w:rPr>
          <w:color w:val="808080"/>
        </w:rPr>
        <w:t>(muss)</w:t>
      </w:r>
      <w:r>
        <w:rPr/>
        <w:t xml:space="preserve"> </w:t>
      </w:r>
      <w:r>
        <w:rPr>
          <w:rStyle w:val="Funotenanker"/>
        </w:rPr>
        <w:footnoteReference w:customMarkFollows="1" w:id="11"/>
        <w:t>i</w:t>
      </w:r>
      <w:r>
        <w:rPr/>
        <w:t xml:space="preserve"> doch einmal </w:t>
      </w:r>
      <w:r>
        <w:rPr>
          <w:b/>
          <w:color w:val="808080"/>
        </w:rPr>
        <w:t>[</w:t>
      </w:r>
      <w:r>
        <w:rPr/>
        <w:t>von meinem Weg</w:t>
      </w:r>
      <w:r>
        <w:rPr>
          <w:b/>
          <w:color w:val="808080"/>
        </w:rPr>
        <w:t>]</w:t>
      </w:r>
      <w:r>
        <w:rPr/>
        <w:t xml:space="preserve"> abweichen und </w:t>
      </w:r>
      <w:r>
        <w:rPr>
          <w:color w:val="808080"/>
        </w:rPr>
        <w:t>(um)</w:t>
      </w:r>
      <w:r>
        <w:rPr/>
        <w:t xml:space="preserve"> </w:t>
      </w:r>
      <w:r>
        <w:rPr>
          <w:rStyle w:val="Funotenanker"/>
        </w:rPr>
        <w:footnoteReference w:customMarkFollows="1" w:id="12"/>
        <w:t>j</w:t>
      </w:r>
      <w:r>
        <w:rPr/>
        <w:t xml:space="preserve"> diese außergewöhnliche </w:t>
      </w:r>
      <w:r>
        <w:rPr>
          <w:color w:val="808080"/>
        </w:rPr>
        <w:t>(großartige)</w:t>
      </w:r>
      <w:r>
        <w:rPr/>
        <w:t xml:space="preserve"> Erscheinung ansehen. Warum verbrennt</w:t>
      </w:r>
      <w:r>
        <w:rPr>
          <w:rStyle w:val="Funotenanker"/>
        </w:rPr>
        <w:footnoteReference w:customMarkFollows="1" w:id="13"/>
        <w:t>k</w:t>
      </w:r>
      <w:r>
        <w:rPr/>
        <w:t xml:space="preserve"> der Busch nicht?</w:t>
      </w:r>
      <w:r>
        <w:rPr>
          <w:rStyle w:val="Funotenanker"/>
        </w:rPr>
        <w:footnoteReference w:customMarkFollows="1" w:id="14"/>
        <w:t>l</w:t>
      </w:r>
      <w:r>
        <w:rPr/>
        <w:t xml:space="preserve">“{{field-off:bible}} </w:t>
        <w:br/>
        <w:t>[[@BibleTOBIBLE:Ex 3:4]]</w:t>
      </w:r>
      <w:r>
        <w:rPr>
          <w:b/>
        </w:rPr>
        <w:t>4</w:t>
      </w:r>
      <w:r>
        <w:rPr/>
        <w:t xml:space="preserve"> {{field-on:bible}}Als </w:t>
      </w:r>
      <w:r>
        <w:rPr>
          <w:color w:val="808080"/>
        </w:rPr>
        <w:t>(und, da)</w:t>
      </w:r>
      <w:r>
        <w:rPr/>
        <w:t xml:space="preserve"> </w:t>
      </w:r>
      <w:r>
        <w:rPr>
          <w:smallCaps/>
          <w:color w:val="FF0000"/>
        </w:rPr>
        <w:t>JHWH</w:t>
      </w:r>
      <w:r>
        <w:rPr/>
        <w:t xml:space="preserve"> sah, dass er </w:t>
      </w:r>
      <w:r>
        <w:rPr>
          <w:b/>
          <w:color w:val="808080"/>
        </w:rPr>
        <w:t>[</w:t>
      </w:r>
      <w:r>
        <w:rPr/>
        <w:t>von seinem Weg</w:t>
      </w:r>
      <w:r>
        <w:rPr>
          <w:b/>
          <w:color w:val="808080"/>
        </w:rPr>
        <w:t>]</w:t>
      </w:r>
      <w:r>
        <w:rPr/>
        <w:t xml:space="preserve"> abwich, um </w:t>
      </w:r>
      <w:r>
        <w:rPr>
          <w:b/>
          <w:color w:val="808080"/>
        </w:rPr>
        <w:t>[</w:t>
      </w:r>
      <w:r>
        <w:rPr/>
        <w:t>nach</w:t>
      </w:r>
      <w:r>
        <w:rPr>
          <w:b/>
          <w:color w:val="808080"/>
        </w:rPr>
        <w:t>]</w:t>
      </w:r>
      <w:r>
        <w:rPr/>
        <w:t xml:space="preserve">zusehen, da </w:t>
      </w:r>
      <w:r>
        <w:rPr>
          <w:color w:val="808080"/>
        </w:rPr>
        <w:t>(und)</w:t>
      </w:r>
      <w:r>
        <w:rPr/>
        <w:t xml:space="preserve"> rief Gott zu ihm aus der Mitte des Busches </w:t>
      </w:r>
      <w:r>
        <w:rPr>
          <w:strike/>
          <w:color w:val="808080"/>
        </w:rPr>
        <w:t>{und sagte}</w:t>
      </w:r>
      <w:r>
        <w:rPr/>
        <w:t xml:space="preserve">: „Mose, Mose!“ Und </w:t>
      </w:r>
      <w:r>
        <w:rPr>
          <w:b/>
          <w:color w:val="808080"/>
        </w:rPr>
        <w:t>[</w:t>
      </w:r>
      <w:r>
        <w:rPr/>
        <w:t>dieser</w:t>
      </w:r>
      <w:r>
        <w:rPr>
          <w:b/>
          <w:color w:val="808080"/>
        </w:rPr>
        <w:t>]</w:t>
      </w:r>
      <w:r>
        <w:rPr/>
        <w:t xml:space="preserve"> sagte: „Hier bin ich!</w:t>
      </w:r>
      <w:r>
        <w:rPr>
          <w:rStyle w:val="Funotenanker"/>
        </w:rPr>
        <w:footnoteReference w:customMarkFollows="1" w:id="15"/>
        <w:t>m</w:t>
      </w:r>
      <w:r>
        <w:rPr/>
        <w:t xml:space="preserve">“{{field-off:bible}} </w:t>
        <w:br/>
        <w:t>[[@BibleTOBIBLE:Ex 3:5]]</w:t>
      </w:r>
      <w:r>
        <w:rPr>
          <w:b/>
        </w:rPr>
        <w:t>5</w:t>
      </w:r>
      <w:r>
        <w:rPr/>
        <w:t xml:space="preserve"> {{field-on:bible}} </w:t>
      </w:r>
      <w:r>
        <w:rPr>
          <w:strike/>
          <w:color w:val="808080"/>
        </w:rPr>
        <w:t>{und}</w:t>
      </w:r>
      <w:r>
        <w:rPr/>
        <w:t xml:space="preserve"> Er sagte: „Komm nicht näher heran </w:t>
      </w:r>
      <w:r>
        <w:rPr>
          <w:color w:val="808080"/>
        </w:rPr>
        <w:t>(hierher)</w:t>
      </w:r>
      <w:r>
        <w:rPr/>
        <w:t xml:space="preserve">! Zieh deine Sandalen </w:t>
      </w:r>
      <w:r>
        <w:rPr>
          <w:color w:val="808080"/>
        </w:rPr>
        <w:t>(Schuhe)</w:t>
      </w:r>
      <w:r>
        <w:rPr/>
        <w:t xml:space="preserve"> von deinen Füßen, denn die Stelle, auf der du stehst, ist heiliger Boden </w:t>
      </w:r>
      <w:r>
        <w:rPr>
          <w:color w:val="808080"/>
        </w:rPr>
        <w:t>(Erde)</w:t>
      </w:r>
      <w:r>
        <w:rPr/>
        <w:t xml:space="preserve"> </w:t>
      </w:r>
      <w:r>
        <w:rPr>
          <w:rStyle w:val="Funotenanker"/>
        </w:rPr>
        <w:footnoteReference w:customMarkFollows="1" w:id="16"/>
        <w:t>n</w:t>
      </w:r>
      <w:r>
        <w:rPr/>
        <w:t xml:space="preserve">!“{{field-off:bible}} </w:t>
        <w:br/>
        <w:t>[[@BibleTOBIBLE:Ex 3:6]]</w:t>
      </w:r>
      <w:r>
        <w:rPr>
          <w:b/>
        </w:rPr>
        <w:t>6</w:t>
      </w:r>
      <w:r>
        <w:rPr/>
        <w:t xml:space="preserve"> {{field-on:bible}}Weiter </w:t>
      </w:r>
      <w:r>
        <w:rPr>
          <w:color w:val="808080"/>
        </w:rPr>
        <w:t>(und)</w:t>
      </w:r>
      <w:r>
        <w:rPr/>
        <w:t xml:space="preserve"> sagte er: „Ich </w:t>
      </w:r>
      <w:r>
        <w:rPr>
          <w:b/>
          <w:color w:val="808080"/>
        </w:rPr>
        <w:t>[</w:t>
      </w:r>
      <w:r>
        <w:rPr/>
        <w:t>bin</w:t>
      </w:r>
      <w:r>
        <w:rPr>
          <w:b/>
          <w:color w:val="808080"/>
        </w:rPr>
        <w:t>]</w:t>
      </w:r>
      <w:r>
        <w:rPr/>
        <w:t xml:space="preserve"> der Gott deines Vaters, der Gott Abrahams, der Gott Isaaks und der Gott Jakobs.“ Da bedeckte </w:t>
      </w:r>
      <w:r>
        <w:rPr>
          <w:color w:val="808080"/>
        </w:rPr>
        <w:t>(verbarg)</w:t>
      </w:r>
      <w:r>
        <w:rPr/>
        <w:t xml:space="preserve"> Mose sein Gesicht, weil er sich </w:t>
      </w:r>
      <w:r>
        <w:rPr>
          <w:b/>
          <w:color w:val="808080"/>
        </w:rPr>
        <w:t>[</w:t>
      </w:r>
      <w:r>
        <w:rPr/>
        <w:t>davor</w:t>
      </w:r>
      <w:r>
        <w:rPr>
          <w:b/>
          <w:color w:val="808080"/>
        </w:rPr>
        <w:t>]</w:t>
      </w:r>
      <w:r>
        <w:rPr/>
        <w:t xml:space="preserve"> fürchtete, Gott anzuschauen.{{field-off:bible}} </w:t>
        <w:br/>
        <w:t>[[@BibleTOBIBLE:Ex 3:7]]</w:t>
      </w:r>
      <w:r>
        <w:rPr>
          <w:b/>
        </w:rPr>
        <w:t>7</w:t>
      </w:r>
      <w:r>
        <w:rPr/>
        <w:t xml:space="preserve"> {{field-on:bible}}Da </w:t>
      </w:r>
      <w:r>
        <w:rPr>
          <w:color w:val="808080"/>
        </w:rPr>
        <w:t>(und)</w:t>
      </w:r>
      <w:r>
        <w:rPr/>
        <w:t xml:space="preserve"> sagte </w:t>
      </w:r>
      <w:r>
        <w:rPr>
          <w:smallCaps/>
          <w:color w:val="FF0000"/>
        </w:rPr>
        <w:t>JHWH</w:t>
      </w:r>
      <w:r>
        <w:rPr/>
        <w:t>: „</w:t>
      </w:r>
      <w:r>
        <w:rPr>
          <w:b/>
          <w:color w:val="808080"/>
        </w:rPr>
        <w:t>[</w:t>
      </w:r>
      <w:r>
        <w:rPr/>
        <w:t>Sei versichert</w:t>
      </w:r>
      <w:r>
        <w:rPr>
          <w:b/>
          <w:color w:val="808080"/>
        </w:rPr>
        <w:t>]</w:t>
      </w:r>
      <w:r>
        <w:rPr/>
        <w:t>,</w:t>
      </w:r>
      <w:r>
        <w:rPr>
          <w:rStyle w:val="Funotenanker"/>
        </w:rPr>
        <w:footnoteReference w:customMarkFollows="1" w:id="17"/>
        <w:t>o</w:t>
      </w:r>
      <w:r>
        <w:rPr/>
        <w:t xml:space="preserve"> ich habe das Elend meines Volkes, das in Ägypten </w:t>
      </w:r>
      <w:r>
        <w:rPr>
          <w:b/>
          <w:color w:val="808080"/>
        </w:rPr>
        <w:t>[</w:t>
      </w:r>
      <w:r>
        <w:rPr/>
        <w:t>ist</w:t>
      </w:r>
      <w:r>
        <w:rPr>
          <w:b/>
          <w:color w:val="808080"/>
        </w:rPr>
        <w:t>]</w:t>
      </w:r>
      <w:r>
        <w:rPr/>
        <w:t>, gesehen und sein</w:t>
      </w:r>
      <w:r>
        <w:rPr>
          <w:rStyle w:val="Funotenanker"/>
        </w:rPr>
        <w:footnoteReference w:customMarkFollows="1" w:id="18"/>
        <w:t>p</w:t>
      </w:r>
      <w:r>
        <w:rPr/>
        <w:t xml:space="preserve"> Schreien wegen </w:t>
      </w:r>
      <w:r>
        <w:rPr>
          <w:color w:val="808080"/>
        </w:rPr>
        <w:t>(gegen)</w:t>
      </w:r>
      <w:r>
        <w:rPr/>
        <w:t xml:space="preserve"> seiner Unterdrücker gehört. Ja </w:t>
      </w:r>
      <w:r>
        <w:rPr>
          <w:color w:val="808080"/>
        </w:rPr>
        <w:t>(denn)</w:t>
      </w:r>
      <w:r>
        <w:rPr/>
        <w:t>, ich kenne</w:t>
      </w:r>
      <w:r>
        <w:rPr>
          <w:rStyle w:val="Funotenanker"/>
        </w:rPr>
        <w:footnoteReference w:customMarkFollows="1" w:id="19"/>
        <w:t>q</w:t>
      </w:r>
      <w:r>
        <w:rPr/>
        <w:t xml:space="preserve"> seine Schmerzen.{{field-off:bible}} </w:t>
        <w:br/>
        <w:t>[[@BibleTOBIBLE:Ex 3:8]]</w:t>
      </w:r>
      <w:r>
        <w:rPr>
          <w:b/>
        </w:rPr>
        <w:t>8</w:t>
      </w:r>
      <w:r>
        <w:rPr/>
        <w:t xml:space="preserve"> {{field-on:bible}}Und ich bin herabgekommen, um es aus der Gewalt </w:t>
      </w:r>
      <w:r>
        <w:rPr>
          <w:color w:val="808080"/>
        </w:rPr>
        <w:t>(Hand)</w:t>
      </w:r>
      <w:r>
        <w:rPr/>
        <w:t xml:space="preserve"> Ägyptens </w:t>
      </w:r>
      <w:r>
        <w:rPr>
          <w:color w:val="808080"/>
        </w:rPr>
        <w:t>(der Ägypter)</w:t>
      </w:r>
      <w:r>
        <w:rPr/>
        <w:t xml:space="preserve"> zu erretten und es hinaufzuführen aus jenem Land in ein schönes </w:t>
      </w:r>
      <w:r>
        <w:rPr>
          <w:color w:val="808080"/>
        </w:rPr>
        <w:t>(gutes)</w:t>
      </w:r>
      <w:r>
        <w:rPr/>
        <w:t xml:space="preserve"> und weites Land, in ein Land, </w:t>
      </w:r>
      <w:r>
        <w:rPr>
          <w:b/>
          <w:color w:val="808080"/>
        </w:rPr>
        <w:t>[</w:t>
      </w:r>
      <w:r>
        <w:rPr/>
        <w:t>das von</w:t>
      </w:r>
      <w:r>
        <w:rPr>
          <w:b/>
          <w:color w:val="808080"/>
        </w:rPr>
        <w:t>]</w:t>
      </w:r>
      <w:r>
        <w:rPr/>
        <w:t xml:space="preserve"> </w:t>
      </w:r>
      <w:r>
        <w:rPr>
          <w:rStyle w:val="Funotenanker"/>
        </w:rPr>
        <w:footnoteReference w:customMarkFollows="1" w:id="20"/>
        <w:t>r</w:t>
      </w:r>
      <w:r>
        <w:rPr/>
        <w:t xml:space="preserve"> Milch und Honig fließt</w:t>
      </w:r>
      <w:r>
        <w:rPr>
          <w:rStyle w:val="Funotenanker"/>
        </w:rPr>
        <w:footnoteReference w:customMarkFollows="1" w:id="21"/>
        <w:t>s</w:t>
      </w:r>
      <w:r>
        <w:rPr/>
        <w:t xml:space="preserve">, in das Gebiet </w:t>
      </w:r>
      <w:r>
        <w:rPr>
          <w:color w:val="808080"/>
        </w:rPr>
        <w:t>(Land; Ort)</w:t>
      </w:r>
      <w:r>
        <w:rPr/>
        <w:t xml:space="preserve">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Jebusiter.{{field-off:bible}} </w:t>
        <w:br/>
        <w:t>[[@BibleTOBIBLE:Ex 3:9]]</w:t>
      </w:r>
      <w:r>
        <w:rPr>
          <w:b/>
        </w:rPr>
        <w:t>9</w:t>
      </w:r>
      <w:r>
        <w:rPr/>
        <w:t xml:space="preserve"> {{field-on:bible}}Doch </w:t>
      </w:r>
      <w:r>
        <w:rPr>
          <w:color w:val="808080"/>
        </w:rPr>
        <w:t>(und; weil)</w:t>
      </w:r>
      <w:r>
        <w:rPr/>
        <w:t xml:space="preserve"> jetzt </w:t>
      </w:r>
      <w:r>
        <w:rPr>
          <w:strike/>
          <w:color w:val="808080"/>
        </w:rPr>
        <w:t>{siehe}</w:t>
      </w:r>
      <w:r>
        <w:rPr/>
        <w:t xml:space="preserve"> </w:t>
      </w:r>
      <w:r>
        <w:rPr>
          <w:rStyle w:val="Funotenanker"/>
        </w:rPr>
        <w:footnoteReference w:customMarkFollows="1" w:id="22"/>
        <w:t>t</w:t>
      </w:r>
      <w:r>
        <w:rPr/>
        <w:t xml:space="preserve"> ist das Schreien der Kinder </w:t>
      </w:r>
      <w:r>
        <w:rPr>
          <w:color w:val="808080"/>
        </w:rPr>
        <w:t>(Söhne)</w:t>
      </w:r>
      <w:r>
        <w:rPr/>
        <w:t xml:space="preserve"> Israels zu mir gekommen, und ich habe auch die Unterdrückung gesehen, </w:t>
      </w:r>
      <w:r>
        <w:rPr>
          <w:b/>
          <w:color w:val="808080"/>
        </w:rPr>
        <w:t>[</w:t>
      </w:r>
      <w:r>
        <w:rPr/>
        <w:t>mit</w:t>
      </w:r>
      <w:r>
        <w:rPr>
          <w:b/>
          <w:color w:val="808080"/>
        </w:rPr>
        <w:t>]</w:t>
      </w:r>
      <w:r>
        <w:rPr/>
        <w:t xml:space="preserve"> der Ägypten sie unterdrückt</w:t>
      </w:r>
      <w:r>
        <w:rPr>
          <w:rStyle w:val="Funotenanker"/>
        </w:rPr>
        <w:footnoteReference w:customMarkFollows="1" w:id="23"/>
        <w:t>u</w:t>
      </w:r>
      <w:r>
        <w:rPr/>
        <w:t>.</w:t>
      </w:r>
      <w:r>
        <w:rPr>
          <w:rStyle w:val="Funotenanker"/>
        </w:rPr>
        <w:footnoteReference w:customMarkFollows="1" w:id="24"/>
        <w:t>v</w:t>
      </w:r>
      <w:r>
        <w:rPr/>
        <w:t xml:space="preserve"> {{field-off:bible}} </w:t>
        <w:br/>
        <w:t>[[@BibleTOBIBLE:Ex 3:10]]</w:t>
      </w:r>
      <w:r>
        <w:rPr>
          <w:b/>
        </w:rPr>
        <w:t>10</w:t>
      </w:r>
      <w:r>
        <w:rPr/>
        <w:t xml:space="preserve"> {{field-on:bible}}Deshalb </w:t>
      </w:r>
      <w:r>
        <w:rPr>
          <w:color w:val="808080"/>
        </w:rPr>
        <w:t>(und; also)</w:t>
      </w:r>
      <w:r>
        <w:rPr/>
        <w:t xml:space="preserve"> geh</w:t>
      </w:r>
      <w:r>
        <w:rPr>
          <w:rStyle w:val="Funotenanker"/>
        </w:rPr>
        <w:footnoteReference w:customMarkFollows="1" w:id="25"/>
        <w:t>w</w:t>
      </w:r>
      <w:r>
        <w:rPr/>
        <w:t xml:space="preserve"> nun! Ich will dich zum Pharao senden, so dass du mein Volk, die Kinder </w:t>
      </w:r>
      <w:r>
        <w:rPr>
          <w:color w:val="808080"/>
        </w:rPr>
        <w:t>(Söhne)</w:t>
      </w:r>
      <w:r>
        <w:rPr/>
        <w:t xml:space="preserve"> Israels, aus Ägypten herausführen wirst</w:t>
      </w:r>
      <w:r>
        <w:rPr>
          <w:rStyle w:val="Funotenanker"/>
        </w:rPr>
        <w:footnoteReference w:customMarkFollows="1" w:id="26"/>
        <w:t>x</w:t>
      </w:r>
      <w:r>
        <w:rPr/>
        <w:t xml:space="preserve">.“{{field-off:bible}} </w:t>
        <w:br/>
        <w:t>[[@BibleTOBIBLE:Ex 3:11]]</w:t>
      </w:r>
      <w:r>
        <w:rPr>
          <w:b/>
        </w:rPr>
        <w:t>11</w:t>
      </w:r>
      <w:r>
        <w:rPr/>
        <w:t xml:space="preserve"> {{field-on:bible}}Da </w:t>
      </w:r>
      <w:r>
        <w:rPr>
          <w:color w:val="808080"/>
        </w:rPr>
        <w:t>(und)</w:t>
      </w:r>
      <w:r>
        <w:rPr/>
        <w:t xml:space="preserve"> sagte Mose zu Gott: „Wer </w:t>
      </w:r>
      <w:r>
        <w:rPr>
          <w:b/>
          <w:color w:val="808080"/>
        </w:rPr>
        <w:t>[</w:t>
      </w:r>
      <w:r>
        <w:rPr/>
        <w:t>bin</w:t>
      </w:r>
      <w:r>
        <w:rPr>
          <w:b/>
          <w:color w:val="808080"/>
        </w:rPr>
        <w:t>]</w:t>
      </w:r>
      <w:r>
        <w:rPr/>
        <w:t xml:space="preserve"> ich, dass ich zum Pharao gehen und die Kinder </w:t>
      </w:r>
      <w:r>
        <w:rPr>
          <w:color w:val="808080"/>
        </w:rPr>
        <w:t>(Söhne)</w:t>
      </w:r>
      <w:r>
        <w:rPr/>
        <w:t xml:space="preserve"> Israels </w:t>
      </w:r>
      <w:r>
        <w:rPr>
          <w:color w:val="808080"/>
        </w:rPr>
        <w:t>(Israeliten)</w:t>
      </w:r>
      <w:r>
        <w:rPr/>
        <w:t xml:space="preserve"> aus Ägypten herausführen könnte</w:t>
      </w:r>
      <w:r>
        <w:rPr>
          <w:rStyle w:val="Funotenanker"/>
        </w:rPr>
        <w:footnoteReference w:customMarkFollows="1" w:id="27"/>
        <w:t>y</w:t>
      </w:r>
      <w:r>
        <w:rPr/>
        <w:t xml:space="preserve">?“{{field-off:bible}} </w:t>
        <w:br/>
        <w:t>[[@BibleTOBIBLE:Ex 3:12]]</w:t>
      </w:r>
      <w:r>
        <w:rPr>
          <w:b/>
        </w:rPr>
        <w:t>12</w:t>
      </w:r>
      <w:r>
        <w:rPr/>
        <w:t xml:space="preserve"> {{field-on:bible}}Da </w:t>
      </w:r>
      <w:r>
        <w:rPr>
          <w:color w:val="808080"/>
        </w:rPr>
        <w:t>(und)</w:t>
      </w:r>
      <w:r>
        <w:rPr/>
        <w:t xml:space="preserve"> sagte </w:t>
      </w:r>
      <w:r>
        <w:rPr>
          <w:b/>
          <w:color w:val="808080"/>
        </w:rPr>
        <w:t>[</w:t>
      </w:r>
      <w:r>
        <w:rPr/>
        <w:t>Gott</w:t>
      </w:r>
      <w:r>
        <w:rPr>
          <w:b/>
          <w:color w:val="808080"/>
        </w:rPr>
        <w:t>]</w:t>
      </w:r>
      <w:r>
        <w:rPr/>
        <w:t>: „</w:t>
      </w:r>
      <w:r>
        <w:rPr>
          <w:strike/>
          <w:color w:val="808080"/>
        </w:rPr>
        <w:t>{denn}</w:t>
      </w:r>
      <w:r>
        <w:rPr/>
        <w:t xml:space="preserve"> </w:t>
      </w:r>
      <w:r>
        <w:rPr>
          <w:rStyle w:val="Funotenanker"/>
        </w:rPr>
        <w:footnoteReference w:customMarkFollows="1" w:id="28"/>
        <w:t>z</w:t>
      </w:r>
      <w:r>
        <w:rPr/>
        <w:t xml:space="preserve"> Ich werde bei dir sein </w:t>
      </w:r>
      <w:r>
        <w:rPr>
          <w:color w:val="808080"/>
        </w:rPr>
        <w:t>(bin bei dir)</w:t>
      </w:r>
      <w:r>
        <w:rPr/>
        <w:t xml:space="preserve"> </w:t>
      </w:r>
      <w:r>
        <w:rPr>
          <w:rStyle w:val="Funotenanker"/>
        </w:rPr>
        <w:footnoteReference w:customMarkFollows="1" w:id="29"/>
        <w:t>aa</w:t>
      </w:r>
      <w:r>
        <w:rPr/>
        <w:t xml:space="preserve">. Und dies </w:t>
      </w:r>
      <w:r>
        <w:rPr>
          <w:b/>
          <w:color w:val="808080"/>
        </w:rPr>
        <w:t>[</w:t>
      </w:r>
      <w:r>
        <w:rPr/>
        <w:t>soll</w:t>
      </w:r>
      <w:r>
        <w:rPr>
          <w:b/>
          <w:color w:val="808080"/>
        </w:rPr>
        <w:t>]</w:t>
      </w:r>
      <w:r>
        <w:rPr/>
        <w:t xml:space="preserve"> dein</w:t>
      </w:r>
      <w:r>
        <w:rPr>
          <w:rStyle w:val="Funotenanker"/>
        </w:rPr>
        <w:footnoteReference w:customMarkFollows="1" w:id="30"/>
        <w:t>ab</w:t>
      </w:r>
      <w:r>
        <w:rPr/>
        <w:t xml:space="preserve"> Zeichen </w:t>
      </w:r>
      <w:r>
        <w:rPr>
          <w:b/>
          <w:color w:val="808080"/>
        </w:rPr>
        <w:t>[</w:t>
      </w:r>
      <w:r>
        <w:rPr/>
        <w:t>sein</w:t>
      </w:r>
      <w:r>
        <w:rPr>
          <w:b/>
          <w:color w:val="808080"/>
        </w:rPr>
        <w:t>]</w:t>
      </w:r>
      <w:r>
        <w:rPr/>
        <w:t>, dass ich ich dich gesandt habe: Wenn du das Volk aus Ägypten herausgeführt hast</w:t>
      </w:r>
      <w:r>
        <w:rPr>
          <w:rStyle w:val="Funotenanker"/>
        </w:rPr>
        <w:footnoteReference w:customMarkFollows="1" w:id="31"/>
        <w:t>ac</w:t>
      </w:r>
      <w:r>
        <w:rPr/>
        <w:t xml:space="preserve">, werdet ihr Gott auf diesem Berg dienen.“{{field-off:bible}} </w:t>
        <w:br/>
        <w:t>[[@BibleTOBIBLE:Ex 3:13]]</w:t>
      </w:r>
      <w:r>
        <w:rPr>
          <w:b/>
        </w:rPr>
        <w:t>13</w:t>
      </w:r>
      <w:r>
        <w:rPr/>
        <w:t xml:space="preserve"> {{field-on:bible}}Da </w:t>
      </w:r>
      <w:r>
        <w:rPr>
          <w:color w:val="808080"/>
        </w:rPr>
        <w:t>(und)</w:t>
      </w:r>
      <w:r>
        <w:rPr/>
        <w:t xml:space="preserve"> sagte Mose zu Gott: „Wenn</w:t>
      </w:r>
      <w:r>
        <w:rPr>
          <w:rStyle w:val="Funotenanker"/>
        </w:rPr>
        <w:footnoteReference w:customMarkFollows="1" w:id="32"/>
        <w:t>ad</w:t>
      </w:r>
      <w:r>
        <w:rPr/>
        <w:t xml:space="preserve"> ich zu den Kindern </w:t>
      </w:r>
      <w:r>
        <w:rPr>
          <w:color w:val="808080"/>
        </w:rPr>
        <w:t>(Söhnen)</w:t>
      </w:r>
      <w:r>
        <w:rPr/>
        <w:t xml:space="preserve"> Israels </w:t>
      </w:r>
      <w:r>
        <w:rPr>
          <w:color w:val="808080"/>
        </w:rPr>
        <w:t>(Israeliten)</w:t>
      </w:r>
      <w:r>
        <w:rPr/>
        <w:t xml:space="preserve"> komme und zu ihnen sage</w:t>
      </w:r>
      <w:r>
        <w:rPr>
          <w:rStyle w:val="Funotenanker"/>
        </w:rPr>
        <w:footnoteReference w:customMarkFollows="1" w:id="33"/>
        <w:t>ae</w:t>
      </w:r>
      <w:r>
        <w:rPr/>
        <w:t xml:space="preserve">: Der Gott eurer Vorfahren </w:t>
      </w:r>
      <w:r>
        <w:rPr>
          <w:color w:val="808080"/>
        </w:rPr>
        <w:t>(Väter)</w:t>
      </w:r>
      <w:r>
        <w:rPr/>
        <w:t xml:space="preserve"> hat mich zu euch geschickt. Dann </w:t>
      </w:r>
      <w:r>
        <w:rPr>
          <w:color w:val="808080"/>
        </w:rPr>
        <w:t>(und)</w:t>
      </w:r>
      <w:r>
        <w:rPr/>
        <w:t xml:space="preserve"> werden sie zu mir sagen: Was </w:t>
      </w:r>
      <w:r>
        <w:rPr>
          <w:b/>
          <w:color w:val="808080"/>
        </w:rPr>
        <w:t>[</w:t>
      </w:r>
      <w:r>
        <w:rPr/>
        <w:t>ist</w:t>
      </w:r>
      <w:r>
        <w:rPr>
          <w:b/>
          <w:color w:val="808080"/>
        </w:rPr>
        <w:t>]</w:t>
      </w:r>
      <w:r>
        <w:rPr/>
        <w:t xml:space="preserve"> sein Name? Was sage </w:t>
      </w:r>
      <w:r>
        <w:rPr>
          <w:color w:val="808080"/>
        </w:rPr>
        <w:t>(antworte)</w:t>
      </w:r>
      <w:r>
        <w:rPr/>
        <w:t xml:space="preserve"> ich </w:t>
      </w:r>
      <w:r>
        <w:rPr>
          <w:b/>
          <w:color w:val="808080"/>
        </w:rPr>
        <w:t>[</w:t>
      </w:r>
      <w:r>
        <w:rPr/>
        <w:t>dann</w:t>
      </w:r>
      <w:r>
        <w:rPr>
          <w:b/>
          <w:color w:val="808080"/>
        </w:rPr>
        <w:t>]</w:t>
      </w:r>
      <w:r>
        <w:rPr/>
        <w:t xml:space="preserve"> zu ihnen?“{{field-off:bible}} </w:t>
        <w:br/>
        <w:t>[[@BibleTOBIBLE:Ex 3:14]]</w:t>
      </w:r>
      <w:r>
        <w:rPr>
          <w:b/>
        </w:rPr>
        <w:t>14</w:t>
      </w:r>
      <w:r>
        <w:rPr/>
        <w:t xml:space="preserve"> {{field-on:bible}}Da </w:t>
      </w:r>
      <w:r>
        <w:rPr>
          <w:color w:val="808080"/>
        </w:rPr>
        <w:t>(und)</w:t>
      </w:r>
      <w:r>
        <w:rPr/>
        <w:t xml:space="preserve"> sagte Gott zu Mose: „Ich bin, der ich bin.</w:t>
      </w:r>
      <w:r>
        <w:rPr>
          <w:rStyle w:val="Funotenanker"/>
        </w:rPr>
        <w:footnoteReference w:customMarkFollows="1" w:id="34"/>
        <w:t>af</w:t>
      </w:r>
      <w:r>
        <w:rPr/>
        <w:t xml:space="preserve"> </w:t>
      </w:r>
      <w:r>
        <w:rPr>
          <w:strike/>
          <w:color w:val="808080"/>
        </w:rPr>
        <w:t>{Und}</w:t>
      </w:r>
      <w:r>
        <w:rPr/>
        <w:t xml:space="preserve"> Er sagte: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 »Ich bin« hat mich zu euch gesandt.« “{{field-off:bible}} </w:t>
        <w:br/>
        <w:t>[[@BibleTOBIBLE:Ex 3:15]]</w:t>
      </w:r>
      <w:r>
        <w:rPr>
          <w:b/>
        </w:rPr>
        <w:t>15</w:t>
      </w:r>
      <w:r>
        <w:rPr/>
        <w:t xml:space="preserve"> {{field-on:bible}}Und Gott sagte weiter </w:t>
      </w:r>
      <w:r>
        <w:rPr>
          <w:color w:val="808080"/>
        </w:rPr>
        <w:t>(wieder)</w:t>
      </w:r>
      <w:r>
        <w:rPr/>
        <w:t xml:space="preserve"> zu Mose: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w:t>
      </w:r>
      <w:r>
        <w:rPr>
          <w:smallCaps/>
          <w:color w:val="FF0000"/>
        </w:rPr>
        <w:t>JHWH</w:t>
      </w:r>
      <w:r>
        <w:rPr/>
        <w:t xml:space="preserve">, der Gott eurer Vorfahren </w:t>
      </w:r>
      <w:r>
        <w:rPr>
          <w:color w:val="808080"/>
        </w:rPr>
        <w:t>(Väter)</w:t>
      </w:r>
      <w:r>
        <w:rPr/>
        <w:t xml:space="preserve">, der Gott Abrahams, der Gott Isaaks und der Gott Jakobs, hat mich zu euch gesandt. Dies </w:t>
      </w:r>
      <w:r>
        <w:rPr>
          <w:b/>
          <w:color w:val="808080"/>
        </w:rPr>
        <w:t>[</w:t>
      </w:r>
      <w:r>
        <w:rPr/>
        <w:t>ist</w:t>
      </w:r>
      <w:r>
        <w:rPr>
          <w:b/>
          <w:color w:val="808080"/>
        </w:rPr>
        <w:t>]</w:t>
      </w:r>
      <w:r>
        <w:rPr/>
        <w:t xml:space="preserve"> mein Name für immer </w:t>
      </w:r>
      <w:r>
        <w:rPr>
          <w:color w:val="808080"/>
        </w:rPr>
        <w:t>(auf ewig)</w:t>
      </w:r>
      <w:r>
        <w:rPr/>
        <w:t xml:space="preserve">, </w:t>
      </w:r>
      <w:r>
        <w:rPr>
          <w:strike/>
          <w:color w:val="808080"/>
        </w:rPr>
        <w:t>{und}</w:t>
      </w:r>
      <w:r>
        <w:rPr/>
        <w:t xml:space="preserve"> dies </w:t>
      </w:r>
      <w:r>
        <w:rPr>
          <w:b/>
          <w:color w:val="808080"/>
        </w:rPr>
        <w:t>[</w:t>
      </w:r>
      <w:r>
        <w:rPr/>
        <w:t>ist</w:t>
      </w:r>
      <w:r>
        <w:rPr>
          <w:b/>
          <w:color w:val="808080"/>
        </w:rPr>
        <w:t>]</w:t>
      </w:r>
      <w:r>
        <w:rPr/>
        <w:t xml:space="preserve"> mein Name</w:t>
      </w:r>
      <w:r>
        <w:rPr>
          <w:rStyle w:val="Funotenanker"/>
        </w:rPr>
        <w:footnoteReference w:customMarkFollows="1" w:id="35"/>
        <w:t>ag</w:t>
      </w:r>
      <w:r>
        <w:rPr/>
        <w:t xml:space="preserve"> von Generation </w:t>
      </w:r>
      <w:r>
        <w:rPr>
          <w:color w:val="808080"/>
        </w:rPr>
        <w:t>(Geschlecht)</w:t>
      </w:r>
      <w:r>
        <w:rPr/>
        <w:t xml:space="preserve"> zu Generation.{{field-off:bible}} </w:t>
        <w:br/>
        <w:t>[[@BibleTOBIBLE:Ex 3:16]]</w:t>
      </w:r>
      <w:r>
        <w:rPr>
          <w:b/>
        </w:rPr>
        <w:t>16</w:t>
      </w:r>
      <w:r>
        <w:rPr/>
        <w:t xml:space="preserve"> {{field-on:bible}}Geh und versammle</w:t>
      </w:r>
      <w:r>
        <w:rPr>
          <w:rStyle w:val="Funotenanker"/>
        </w:rPr>
        <w:footnoteReference w:customMarkFollows="1" w:id="36"/>
        <w:t>ah</w:t>
      </w:r>
      <w:r>
        <w:rPr/>
        <w:t xml:space="preserve"> die Ältesten Israels und sage zu ihnen: </w:t>
      </w:r>
      <w:r>
        <w:rPr>
          <w:smallCaps/>
          <w:color w:val="FF0000"/>
        </w:rPr>
        <w:t>JHWH</w:t>
      </w:r>
      <w:r>
        <w:rPr/>
        <w:t xml:space="preserve">, der Gott eurer Vorfahren </w:t>
      </w:r>
      <w:r>
        <w:rPr>
          <w:color w:val="808080"/>
        </w:rPr>
        <w:t>(Väter)</w:t>
      </w:r>
      <w:r>
        <w:rPr/>
        <w:t xml:space="preserve">, ist mir erschienen </w:t>
      </w:r>
      <w:r>
        <w:rPr>
          <w:color w:val="808080"/>
        </w:rPr>
        <w:t>(hat sich mir gezeigt)</w:t>
      </w:r>
      <w:r>
        <w:rPr/>
        <w:t xml:space="preserve"> </w:t>
      </w:r>
      <w:r>
        <w:rPr>
          <w:rStyle w:val="Funotenanker"/>
        </w:rPr>
        <w:footnoteReference w:customMarkFollows="1" w:id="37"/>
        <w:t>ai</w:t>
      </w:r>
      <w:r>
        <w:rPr/>
        <w:t xml:space="preserve">, der Gott Abrahams, Isaaks und Jakobs </w:t>
      </w:r>
      <w:r>
        <w:rPr>
          <w:rStyle w:val="Funotenanker"/>
        </w:rPr>
        <w:footnoteReference w:customMarkFollows="1" w:id="38"/>
        <w:t>aj</w:t>
      </w:r>
      <w:r>
        <w:rPr/>
        <w:t xml:space="preserve"> und sprach: Ich habe mich eurer und dessen, was euch in Ägypten angetan wird </w:t>
      </w:r>
      <w:r>
        <w:rPr>
          <w:color w:val="808080"/>
        </w:rPr>
        <w:t>(wurde)</w:t>
      </w:r>
      <w:r>
        <w:rPr/>
        <w:t xml:space="preserve">, </w:t>
      </w:r>
      <w:r>
        <w:rPr>
          <w:b/>
          <w:color w:val="808080"/>
        </w:rPr>
        <w:t>[</w:t>
      </w:r>
      <w:r>
        <w:rPr/>
        <w:t>genau</w:t>
      </w:r>
      <w:r>
        <w:rPr>
          <w:b/>
          <w:color w:val="808080"/>
        </w:rPr>
        <w:t>]</w:t>
      </w:r>
      <w:r>
        <w:rPr/>
        <w:t xml:space="preserve"> </w:t>
      </w:r>
      <w:r>
        <w:rPr>
          <w:rStyle w:val="Funotenanker"/>
        </w:rPr>
        <w:footnoteReference w:customMarkFollows="1" w:id="39"/>
        <w:t>ak</w:t>
      </w:r>
      <w:r>
        <w:rPr/>
        <w:t xml:space="preserve"> angenommen </w:t>
      </w:r>
      <w:r>
        <w:rPr>
          <w:color w:val="808080"/>
        </w:rPr>
        <w:t>(beobachtet, mich gekümmert, eingegriffen)</w:t>
      </w:r>
      <w:r>
        <w:rPr/>
        <w:t xml:space="preserve"> </w:t>
      </w:r>
      <w:r>
        <w:rPr>
          <w:rStyle w:val="Funotenanker"/>
        </w:rPr>
        <w:footnoteReference w:customMarkFollows="1" w:id="40"/>
        <w:t>al</w:t>
      </w:r>
      <w:r>
        <w:rPr/>
        <w:t xml:space="preserve">.{{field-off:bible}} </w:t>
        <w:br/>
        <w:t>[[@BibleTOBIBLE:Ex 3:17]]</w:t>
      </w:r>
      <w:r>
        <w:rPr>
          <w:b/>
        </w:rPr>
        <w:t>17</w:t>
      </w:r>
      <w:r>
        <w:rPr/>
        <w:t xml:space="preserve"> {{field-on:bible}}Da </w:t>
      </w:r>
      <w:r>
        <w:rPr>
          <w:color w:val="808080"/>
        </w:rPr>
        <w:t>(und)</w:t>
      </w:r>
      <w:r>
        <w:rPr/>
        <w:t xml:space="preserve"> sagte </w:t>
      </w:r>
      <w:r>
        <w:rPr>
          <w:color w:val="808080"/>
        </w:rPr>
        <w:t>(dachte)</w:t>
      </w:r>
      <w:r>
        <w:rPr/>
        <w:t xml:space="preserve"> ich</w:t>
      </w:r>
      <w:r>
        <w:rPr>
          <w:rStyle w:val="Funotenanker"/>
        </w:rPr>
        <w:footnoteReference w:customMarkFollows="1" w:id="41"/>
        <w:t>am</w:t>
      </w:r>
      <w:r>
        <w:rPr/>
        <w:t xml:space="preserve">: Ich will </w:t>
      </w:r>
      <w:r>
        <w:rPr>
          <w:color w:val="808080"/>
        </w:rPr>
        <w:t>(werde)</w:t>
      </w:r>
      <w:r>
        <w:rPr/>
        <w:t xml:space="preserve"> euch aus dem Elend </w:t>
      </w:r>
      <w:r>
        <w:rPr>
          <w:b/>
          <w:color w:val="808080"/>
        </w:rPr>
        <w:t>[</w:t>
      </w:r>
      <w:r>
        <w:rPr/>
        <w:t>von</w:t>
      </w:r>
      <w:r>
        <w:rPr>
          <w:b/>
          <w:color w:val="808080"/>
        </w:rPr>
        <w:t>]</w:t>
      </w:r>
      <w:r>
        <w:rPr/>
        <w:t xml:space="preserve"> Ägypten hinaufführen in das Land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 ein Land, </w:t>
      </w:r>
      <w:r>
        <w:rPr>
          <w:b/>
          <w:color w:val="808080"/>
        </w:rPr>
        <w:t>[</w:t>
      </w:r>
      <w:r>
        <w:rPr/>
        <w:t>das von</w:t>
      </w:r>
      <w:r>
        <w:rPr>
          <w:b/>
          <w:color w:val="808080"/>
        </w:rPr>
        <w:t>]</w:t>
      </w:r>
      <w:r>
        <w:rPr/>
        <w:t xml:space="preserve"> Milch und Honig </w:t>
      </w:r>
      <w:r>
        <w:rPr>
          <w:b/>
          <w:color w:val="808080"/>
        </w:rPr>
        <w:t>[</w:t>
      </w:r>
      <w:r>
        <w:rPr/>
        <w:t>über</w:t>
      </w:r>
      <w:r>
        <w:rPr>
          <w:b/>
          <w:color w:val="808080"/>
        </w:rPr>
        <w:t>]</w:t>
      </w:r>
      <w:r>
        <w:rPr/>
        <w:t>fließt</w:t>
      </w:r>
      <w:r>
        <w:rPr>
          <w:rStyle w:val="Funotenanker"/>
        </w:rPr>
        <w:footnoteReference w:customMarkFollows="1" w:id="42"/>
        <w:t>an</w:t>
      </w:r>
      <w:r>
        <w:rPr/>
        <w:t xml:space="preserve">.{{field-off:bible}} </w:t>
        <w:br/>
        <w:t>[[@BibleTOBIBLE:Ex 3:18]]</w:t>
      </w:r>
      <w:r>
        <w:rPr>
          <w:b/>
        </w:rPr>
        <w:t>18</w:t>
      </w:r>
      <w:r>
        <w:rPr/>
        <w:t xml:space="preserve"> {{field-on:bible}}Wenn </w:t>
      </w:r>
      <w:r>
        <w:rPr>
          <w:color w:val="808080"/>
        </w:rPr>
        <w:t>(und)</w:t>
      </w:r>
      <w:r>
        <w:rPr/>
        <w:t xml:space="preserve"> sie auf dich </w:t>
      </w:r>
      <w:r>
        <w:rPr>
          <w:color w:val="808080"/>
        </w:rPr>
        <w:t>(deine Stimme)</w:t>
      </w:r>
      <w:r>
        <w:rPr/>
        <w:t xml:space="preserve"> hören </w:t>
      </w:r>
      <w:r>
        <w:rPr>
          <w:strike/>
          <w:color w:val="808080"/>
        </w:rPr>
        <w:t>{werden}</w:t>
      </w:r>
      <w:r>
        <w:rPr/>
        <w:t xml:space="preserve">, dann </w:t>
      </w:r>
      <w:r>
        <w:rPr>
          <w:color w:val="808080"/>
        </w:rPr>
        <w:t>(und)</w:t>
      </w:r>
      <w:r>
        <w:rPr/>
        <w:t xml:space="preserve"> sollst </w:t>
      </w:r>
      <w:r>
        <w:rPr>
          <w:color w:val="808080"/>
        </w:rPr>
        <w:t>(wirst)</w:t>
      </w:r>
      <w:r>
        <w:rPr/>
        <w:t xml:space="preserve"> du mit </w:t>
      </w:r>
      <w:r>
        <w:rPr>
          <w:color w:val="808080"/>
        </w:rPr>
        <w:t>(und)</w:t>
      </w:r>
      <w:r>
        <w:rPr/>
        <w:t xml:space="preserve"> den Ältesten Israels zum König </w:t>
      </w:r>
      <w:r>
        <w:rPr>
          <w:b/>
          <w:color w:val="808080"/>
        </w:rPr>
        <w:t>[</w:t>
      </w:r>
      <w:r>
        <w:rPr/>
        <w:t>von</w:t>
      </w:r>
      <w:r>
        <w:rPr>
          <w:b/>
          <w:color w:val="808080"/>
        </w:rPr>
        <w:t>]</w:t>
      </w:r>
      <w:r>
        <w:rPr/>
        <w:t xml:space="preserve"> Ägypten gehen und ihr sollt </w:t>
      </w:r>
      <w:r>
        <w:rPr>
          <w:color w:val="808080"/>
        </w:rPr>
        <w:t>(werdet)</w:t>
      </w:r>
      <w:r>
        <w:rPr/>
        <w:t xml:space="preserve"> </w:t>
      </w:r>
      <w:r>
        <w:rPr>
          <w:rStyle w:val="Funotenanker"/>
        </w:rPr>
        <w:footnoteReference w:customMarkFollows="1" w:id="43"/>
        <w:t>ao</w:t>
      </w:r>
      <w:r>
        <w:rPr/>
        <w:t xml:space="preserve"> zu ihm sagen: </w:t>
      </w:r>
      <w:r>
        <w:rPr>
          <w:smallCaps/>
          <w:color w:val="FF0000"/>
        </w:rPr>
        <w:t>JHWH</w:t>
      </w:r>
      <w:r>
        <w:rPr/>
        <w:t xml:space="preserve">, der Gott der Hebräer, begegnete </w:t>
      </w:r>
      <w:r>
        <w:rPr>
          <w:color w:val="808080"/>
        </w:rPr>
        <w:t>(traf)</w:t>
      </w:r>
      <w:r>
        <w:rPr/>
        <w:t xml:space="preserve"> uns. Deshalb </w:t>
      </w:r>
      <w:r>
        <w:rPr>
          <w:color w:val="808080"/>
        </w:rPr>
        <w:t>(und)</w:t>
      </w:r>
      <w:r>
        <w:rPr/>
        <w:t xml:space="preserve"> lass uns </w:t>
      </w:r>
      <w:r>
        <w:rPr>
          <w:color w:val="808080"/>
        </w:rPr>
        <w:t>(wollen wir)</w:t>
      </w:r>
      <w:r>
        <w:rPr/>
        <w:t xml:space="preserve"> </w:t>
      </w:r>
      <w:r>
        <w:rPr>
          <w:rStyle w:val="Funotenanker"/>
        </w:rPr>
        <w:footnoteReference w:customMarkFollows="1" w:id="44"/>
        <w:t>ap</w:t>
      </w:r>
      <w:r>
        <w:rPr/>
        <w:t xml:space="preserve"> doch jetzt drei Tagesreisen </w:t>
      </w:r>
      <w:r>
        <w:rPr>
          <w:b/>
          <w:color w:val="808080"/>
        </w:rPr>
        <w:t>[</w:t>
      </w:r>
      <w:r>
        <w:rPr/>
        <w:t>weit</w:t>
      </w:r>
      <w:r>
        <w:rPr>
          <w:b/>
          <w:color w:val="808080"/>
        </w:rPr>
        <w:t>]</w:t>
      </w:r>
      <w:r>
        <w:rPr/>
        <w:t xml:space="preserve"> </w:t>
      </w:r>
      <w:r>
        <w:rPr>
          <w:rStyle w:val="Funotenanker"/>
        </w:rPr>
        <w:footnoteReference w:customMarkFollows="1" w:id="45"/>
        <w:t>aq</w:t>
      </w:r>
      <w:r>
        <w:rPr/>
        <w:t xml:space="preserve"> in die Wüste ziehen und </w:t>
      </w:r>
      <w:r>
        <w:rPr>
          <w:color w:val="808080"/>
        </w:rPr>
        <w:t>(damit)</w:t>
      </w:r>
      <w:r>
        <w:rPr/>
        <w:t xml:space="preserve"> </w:t>
      </w:r>
      <w:r>
        <w:rPr>
          <w:smallCaps/>
          <w:color w:val="FF0000"/>
        </w:rPr>
        <w:t>JHWH</w:t>
      </w:r>
      <w:r>
        <w:rPr/>
        <w:t xml:space="preserve">, unserem Gott, ein Opfer darbringen.{{field-off:bible}} </w:t>
        <w:br/>
        <w:t>[[@BibleTOBIBLE:Ex 3:19]]</w:t>
      </w:r>
      <w:r>
        <w:rPr>
          <w:b/>
        </w:rPr>
        <w:t>19</w:t>
      </w:r>
      <w:r>
        <w:rPr/>
        <w:t xml:space="preserve"> {{field-on:bible}}Aber </w:t>
      </w:r>
      <w:r>
        <w:rPr>
          <w:color w:val="808080"/>
        </w:rPr>
        <w:t>(und)</w:t>
      </w:r>
      <w:r>
        <w:rPr/>
        <w:t xml:space="preserve"> ich weiß, dass der König </w:t>
      </w:r>
      <w:r>
        <w:rPr>
          <w:b/>
          <w:color w:val="808080"/>
        </w:rPr>
        <w:t>[</w:t>
      </w:r>
      <w:r>
        <w:rPr/>
        <w:t>von</w:t>
      </w:r>
      <w:r>
        <w:rPr>
          <w:b/>
          <w:color w:val="808080"/>
        </w:rPr>
        <w:t>]</w:t>
      </w:r>
      <w:r>
        <w:rPr/>
        <w:t xml:space="preserve"> Ägypten euch nicht zu gehen erlauben wird, und </w:t>
      </w:r>
      <w:r>
        <w:rPr>
          <w:color w:val="808080"/>
        </w:rPr>
        <w:t>(wenn, auch)</w:t>
      </w:r>
      <w:r>
        <w:rPr/>
        <w:t xml:space="preserve"> nicht mit starker Hand.</w:t>
      </w:r>
      <w:r>
        <w:rPr>
          <w:rStyle w:val="Funotenanker"/>
        </w:rPr>
        <w:footnoteReference w:customMarkFollows="1" w:id="46"/>
        <w:t>ar</w:t>
      </w:r>
      <w:r>
        <w:rPr/>
        <w:t xml:space="preserve"> {{field-off:bible}} </w:t>
        <w:br/>
        <w:t>[[@BibleTOBIBLE:Ex 3:20]]</w:t>
      </w:r>
      <w:r>
        <w:rPr>
          <w:b/>
        </w:rPr>
        <w:t>20</w:t>
      </w:r>
      <w:r>
        <w:rPr/>
        <w:t xml:space="preserve"> {{field-on:bible}}Deshalb </w:t>
      </w:r>
      <w:r>
        <w:rPr>
          <w:color w:val="808080"/>
        </w:rPr>
        <w:t>(und)</w:t>
      </w:r>
      <w:r>
        <w:rPr/>
        <w:t xml:space="preserve"> werde ich meine Hand ausstrecken und Ägypten </w:t>
      </w:r>
      <w:r>
        <w:rPr>
          <w:color w:val="808080"/>
        </w:rPr>
        <w:t>(die Ägypter)</w:t>
      </w:r>
      <w:r>
        <w:rPr/>
        <w:t xml:space="preserve"> mit all meinen Wundern schlagen, die ich in ihrer Mitte tun werde. </w:t>
      </w:r>
      <w:r>
        <w:rPr>
          <w:strike/>
          <w:color w:val="808080"/>
        </w:rPr>
        <w:t>{und}</w:t>
      </w:r>
      <w:r>
        <w:rPr/>
        <w:t xml:space="preserve"> Danach wird er euch gehen lassen </w:t>
      </w:r>
      <w:r>
        <w:rPr>
          <w:color w:val="808080"/>
        </w:rPr>
        <w:t>(wegschicken)</w:t>
      </w:r>
      <w:r>
        <w:rPr/>
        <w:t xml:space="preserve">.{{field-off:bible}} </w:t>
        <w:br/>
        <w:t>[[@BibleTOBIBLE:Ex 3:21]]</w:t>
      </w:r>
      <w:r>
        <w:rPr>
          <w:b/>
        </w:rPr>
        <w:t>21</w:t>
      </w:r>
      <w:r>
        <w:rPr/>
        <w:t xml:space="preserve"> {{field-on:bible}}Doch </w:t>
      </w:r>
      <w:r>
        <w:rPr>
          <w:color w:val="808080"/>
        </w:rPr>
        <w:t>(und)</w:t>
      </w:r>
      <w:r>
        <w:rPr/>
        <w:t xml:space="preserve"> ich werde die Gunst </w:t>
      </w:r>
      <w:r>
        <w:rPr>
          <w:color w:val="808080"/>
        </w:rPr>
        <w:t>(Gnade)</w:t>
      </w:r>
      <w:r>
        <w:rPr/>
        <w:t xml:space="preserve"> </w:t>
      </w:r>
      <w:r>
        <w:rPr>
          <w:b/>
          <w:color w:val="808080"/>
        </w:rPr>
        <w:t>[</w:t>
      </w:r>
      <w:r>
        <w:rPr/>
        <w:t>für</w:t>
      </w:r>
      <w:r>
        <w:rPr>
          <w:b/>
          <w:color w:val="808080"/>
        </w:rPr>
        <w:t>]</w:t>
      </w:r>
      <w:r>
        <w:rPr/>
        <w:t xml:space="preserve"> dieses Volk in den Augen der Ägypter </w:t>
      </w:r>
      <w:r>
        <w:rPr>
          <w:color w:val="808080"/>
        </w:rPr>
        <w:t>(Ägyptens)</w:t>
      </w:r>
      <w:r>
        <w:rPr/>
        <w:t xml:space="preserve"> geben</w:t>
      </w:r>
      <w:r>
        <w:rPr>
          <w:rStyle w:val="Funotenanker"/>
        </w:rPr>
        <w:footnoteReference w:customMarkFollows="1" w:id="47"/>
        <w:t>as</w:t>
      </w:r>
      <w:r>
        <w:rPr/>
        <w:t xml:space="preserve"> und </w:t>
      </w:r>
      <w:r>
        <w:rPr>
          <w:strike/>
          <w:color w:val="808080"/>
        </w:rPr>
        <w:t>{es wird geschehen}</w:t>
      </w:r>
      <w:r>
        <w:rPr/>
        <w:t xml:space="preserve"> wenn ihr </w:t>
      </w:r>
      <w:r>
        <w:rPr>
          <w:b/>
          <w:color w:val="808080"/>
        </w:rPr>
        <w:t>[</w:t>
      </w:r>
      <w:r>
        <w:rPr/>
        <w:t>weg</w:t>
      </w:r>
      <w:r>
        <w:rPr>
          <w:b/>
          <w:color w:val="808080"/>
        </w:rPr>
        <w:t>]</w:t>
      </w:r>
      <w:r>
        <w:rPr/>
        <w:t xml:space="preserve">zieht, werdet ihr nicht </w:t>
      </w:r>
      <w:r>
        <w:rPr>
          <w:b/>
          <w:color w:val="808080"/>
        </w:rPr>
        <w:t>[</w:t>
      </w:r>
      <w:r>
        <w:rPr/>
        <w:t>mit</w:t>
      </w:r>
      <w:r>
        <w:rPr>
          <w:b/>
          <w:color w:val="808080"/>
        </w:rPr>
        <w:t>]</w:t>
      </w:r>
      <w:r>
        <w:rPr/>
        <w:t xml:space="preserve"> leeren </w:t>
      </w:r>
      <w:r>
        <w:rPr>
          <w:b/>
          <w:color w:val="808080"/>
        </w:rPr>
        <w:t>[</w:t>
      </w:r>
      <w:r>
        <w:rPr/>
        <w:t>Händen</w:t>
      </w:r>
      <w:r>
        <w:rPr>
          <w:b/>
          <w:color w:val="808080"/>
        </w:rPr>
        <w:t>]</w:t>
      </w:r>
      <w:r>
        <w:rPr/>
        <w:t xml:space="preserve"> </w:t>
      </w:r>
      <w:r>
        <w:rPr>
          <w:rStyle w:val="Funotenanker"/>
        </w:rPr>
        <w:footnoteReference w:customMarkFollows="1" w:id="48"/>
        <w:t>at</w:t>
      </w:r>
      <w:r>
        <w:rPr/>
        <w:t xml:space="preserve"> </w:t>
      </w:r>
      <w:r>
        <w:rPr>
          <w:b/>
          <w:color w:val="808080"/>
        </w:rPr>
        <w:t>[</w:t>
      </w:r>
      <w:r>
        <w:rPr/>
        <w:t>weg</w:t>
      </w:r>
      <w:r>
        <w:rPr>
          <w:b/>
          <w:color w:val="808080"/>
        </w:rPr>
        <w:t>]</w:t>
      </w:r>
      <w:r>
        <w:rPr/>
        <w:t xml:space="preserve">ziehen.{{field-off:bible}} </w:t>
        <w:br/>
        <w:t>[[@BibleTOBIBLE:Ex 3:22]]</w:t>
      </w:r>
      <w:r>
        <w:rPr>
          <w:b/>
        </w:rPr>
        <w:t>22</w:t>
      </w:r>
      <w:r>
        <w:rPr/>
        <w:t xml:space="preserve"> {{field-on:bible}}Und eine Frau soll </w:t>
      </w:r>
      <w:r>
        <w:rPr>
          <w:color w:val="808080"/>
        </w:rPr>
        <w:t>(kann; wird)</w:t>
      </w:r>
      <w:r>
        <w:rPr/>
        <w:t xml:space="preserve"> von ihrer Nachbarin und der Besucherin </w:t>
      </w:r>
      <w:r>
        <w:rPr>
          <w:color w:val="808080"/>
        </w:rPr>
        <w:t>(Fremden)</w:t>
      </w:r>
      <w:r>
        <w:rPr/>
        <w:t xml:space="preserve"> in ihrem Haus Silber- </w:t>
      </w:r>
      <w:r>
        <w:rPr>
          <w:strike/>
          <w:color w:val="808080"/>
        </w:rPr>
        <w:t>{Gefäße}</w:t>
      </w:r>
      <w:r>
        <w:rPr/>
        <w:t xml:space="preserve"> und Goldgefäße </w:t>
      </w:r>
      <w:r>
        <w:rPr>
          <w:color w:val="808080"/>
        </w:rPr>
        <w:t>(-schmuck, -gegenstände)</w:t>
      </w:r>
      <w:r>
        <w:rPr/>
        <w:t xml:space="preserve"> und Kleidung </w:t>
      </w:r>
      <w:r>
        <w:rPr>
          <w:color w:val="808080"/>
        </w:rPr>
        <w:t>(Mäntel)</w:t>
      </w:r>
      <w:r>
        <w:rPr/>
        <w:t xml:space="preserve"> erbitten, </w:t>
      </w:r>
      <w:r>
        <w:rPr>
          <w:b/>
          <w:color w:val="808080"/>
        </w:rPr>
        <w:t>[</w:t>
      </w:r>
      <w:r>
        <w:rPr/>
        <w:t>die</w:t>
      </w:r>
      <w:r>
        <w:rPr>
          <w:b/>
          <w:color w:val="808080"/>
        </w:rPr>
        <w:t>]</w:t>
      </w:r>
      <w:r>
        <w:rPr/>
        <w:t xml:space="preserve"> ihr dann </w:t>
      </w:r>
      <w:r>
        <w:rPr>
          <w:color w:val="808080"/>
        </w:rPr>
        <w:t>(und)</w:t>
      </w:r>
      <w:r>
        <w:rPr/>
        <w:t xml:space="preserve"> euren Söhnen und Töchtern gebt</w:t>
      </w:r>
      <w:r>
        <w:rPr>
          <w:rStyle w:val="Funotenanker"/>
        </w:rPr>
        <w:footnoteReference w:customMarkFollows="1" w:id="49"/>
        <w:t>au</w:t>
      </w:r>
      <w:r>
        <w:rPr/>
        <w:t xml:space="preserve">. So </w:t>
      </w:r>
      <w:r>
        <w:rPr>
          <w:color w:val="808080"/>
        </w:rPr>
        <w:t>(und)</w:t>
      </w:r>
      <w:r>
        <w:rPr/>
        <w:t xml:space="preserve"> werdet ihr die Ägypter </w:t>
      </w:r>
      <w:r>
        <w:rPr>
          <w:color w:val="808080"/>
        </w:rPr>
        <w:t>(Ägypten)</w:t>
      </w:r>
      <w:r>
        <w:rPr/>
        <w:t xml:space="preserve"> ausplündern </w:t>
      </w:r>
      <w:r>
        <w:rPr>
          <w:color w:val="808080"/>
        </w:rPr>
        <w:t>(berauben)</w:t>
      </w:r>
      <w:r>
        <w:rPr/>
        <w:t xml:space="preserve">.“{{field-off:bible}} </w:t>
      </w:r>
    </w:p>
    <w:p>
      <w:pPr>
        <w:pStyle w:val="Berschrift2"/>
        <w:rPr/>
      </w:pPr>
      <w:r>
        <w:rPr/>
        <w:t>[[@BibleTOBIBLE:Le]]Levitikus</w:t>
      </w:r>
    </w:p>
    <w:p>
      <w:pPr>
        <w:pStyle w:val="Berschrift3"/>
        <w:rPr/>
      </w:pPr>
      <w:r>
        <w:rPr/>
        <w:t>[[@BibleTOBIBLE:Le 18]]Kapitel 18</w:t>
      </w:r>
    </w:p>
    <w:p>
      <w:pPr>
        <w:pStyle w:val="Textkrper"/>
        <w:rPr/>
      </w:pPr>
      <w:r>
        <w:rPr/>
        <w:br/>
        <w:t>[[@BibleTOBIBLE:Le 18:1]]</w:t>
      </w:r>
      <w:r>
        <w:rPr>
          <w:b/>
        </w:rPr>
        <w:t>1</w:t>
      </w:r>
      <w:r>
        <w:rPr/>
        <w:t xml:space="preserve"> {{field-on:bible}} </w:t>
      </w:r>
      <w:r>
        <w:rPr>
          <w:rStyle w:val="Funotenanker"/>
        </w:rPr>
        <w:footnoteReference w:customMarkFollows="1" w:id="50"/>
        <w:t>Status</w:t>
      </w:r>
      <w:r>
        <w:rPr/>
        <w:t xml:space="preserve"> Und </w:t>
      </w:r>
      <w:r>
        <w:rPr>
          <w:smallCaps/>
          <w:color w:val="FF0000"/>
        </w:rPr>
        <w:t>JHWH</w:t>
      </w:r>
      <w:r>
        <w:rPr/>
        <w:t xml:space="preserve"> sprach zu Mose </w:t>
      </w:r>
      <w:r>
        <w:rPr>
          <w:strike/>
          <w:color w:val="808080"/>
        </w:rPr>
        <w:t>{und sagte}</w:t>
      </w:r>
      <w:r>
        <w:rPr/>
        <w:t xml:space="preserve">:{{field-off:bible}} </w:t>
        <w:br/>
        <w:t>[[@BibleTOBIBLE:Le 18:2]]</w:t>
      </w:r>
      <w:r>
        <w:rPr>
          <w:b/>
        </w:rPr>
        <w:t>2</w:t>
      </w:r>
      <w:r>
        <w:rPr/>
        <w:t xml:space="preserve"> {{field-on:bible}}Sprich zu den Söhnen </w:t>
      </w:r>
      <w:r>
        <w:rPr>
          <w:color w:val="808080"/>
        </w:rPr>
        <w:t>(Kindern)</w:t>
      </w:r>
      <w:r>
        <w:rPr/>
        <w:t xml:space="preserve"> Israels und sage zu ihnen: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18:3]]</w:t>
      </w:r>
      <w:r>
        <w:rPr>
          <w:b/>
        </w:rPr>
        <w:t>3</w:t>
      </w:r>
      <w:r>
        <w:rPr/>
        <w:t xml:space="preserve"> {{field-on:bible}}Ihr sollt nicht so handeln </w:t>
      </w:r>
      <w:r>
        <w:rPr>
          <w:color w:val="808080"/>
        </w:rPr>
        <w:t>(handelt nicht)</w:t>
      </w:r>
      <w:r>
        <w:rPr/>
        <w:t xml:space="preserve"> wie </w:t>
      </w:r>
      <w:r>
        <w:rPr>
          <w:strike/>
          <w:color w:val="808080"/>
        </w:rPr>
        <w:t>{die Praktiken (die Taten)}</w:t>
      </w:r>
      <w:r>
        <w:rPr/>
        <w:t xml:space="preserve"> </w:t>
      </w:r>
      <w:r>
        <w:rPr>
          <w:rStyle w:val="Funotenanker"/>
        </w:rPr>
        <w:footnoteReference w:customMarkFollows="1" w:id="51"/>
        <w:t>a</w:t>
      </w:r>
      <w:r>
        <w:rPr/>
        <w:t xml:space="preserve"> </w:t>
      </w:r>
      <w:r>
        <w:rPr>
          <w:b/>
          <w:color w:val="808080"/>
        </w:rPr>
        <w:t>[</w:t>
      </w:r>
      <w:r>
        <w:rPr/>
        <w:t>die Bewohner</w:t>
      </w:r>
      <w:r>
        <w:rPr>
          <w:b/>
          <w:color w:val="808080"/>
        </w:rPr>
        <w:t>]</w:t>
      </w:r>
      <w:r>
        <w:rPr/>
        <w:t xml:space="preserve"> des Landes Ägypten</w:t>
      </w:r>
      <w:r>
        <w:rPr>
          <w:rStyle w:val="Funotenanker"/>
        </w:rPr>
        <w:footnoteReference w:customMarkFollows="1" w:id="52"/>
        <w:t>b</w:t>
      </w:r>
      <w:r>
        <w:rPr/>
        <w:t xml:space="preserve">, in dem ihr lebtet, und ihr sollt nicht so handeln </w:t>
      </w:r>
      <w:r>
        <w:rPr>
          <w:color w:val="808080"/>
        </w:rPr>
        <w:t>(handelt nicht)</w:t>
      </w:r>
      <w:r>
        <w:rPr/>
        <w:t xml:space="preserve"> wie </w:t>
      </w:r>
      <w:r>
        <w:rPr>
          <w:strike/>
          <w:color w:val="808080"/>
        </w:rPr>
        <w:t>{die Praktiken (die Taten)}</w:t>
      </w:r>
      <w:r>
        <w:rPr/>
        <w:t xml:space="preserve"> </w:t>
      </w:r>
      <w:r>
        <w:rPr>
          <w:b/>
          <w:color w:val="808080"/>
        </w:rPr>
        <w:t>[</w:t>
      </w:r>
      <w:r>
        <w:rPr/>
        <w:t>die Bewohner</w:t>
      </w:r>
      <w:r>
        <w:rPr>
          <w:b/>
          <w:color w:val="808080"/>
        </w:rPr>
        <w:t>]</w:t>
      </w:r>
      <w:r>
        <w:rPr/>
        <w:t xml:space="preserve"> des Landes Kanaan, in das ich euch </w:t>
      </w:r>
      <w:r>
        <w:rPr>
          <w:b/>
          <w:color w:val="808080"/>
        </w:rPr>
        <w:t>[</w:t>
      </w:r>
      <w:r>
        <w:rPr/>
        <w:t>bald</w:t>
      </w:r>
      <w:r>
        <w:rPr>
          <w:b/>
          <w:color w:val="808080"/>
        </w:rPr>
        <w:t>]</w:t>
      </w:r>
      <w:r>
        <w:rPr/>
        <w:t xml:space="preserve"> führe </w:t>
      </w:r>
      <w:r>
        <w:rPr>
          <w:color w:val="808080"/>
        </w:rPr>
        <w:t>(bringe)</w:t>
      </w:r>
      <w:r>
        <w:rPr/>
        <w:t>,</w:t>
      </w:r>
      <w:r>
        <w:rPr>
          <w:rStyle w:val="Funotenanker"/>
        </w:rPr>
        <w:footnoteReference w:customMarkFollows="1" w:id="53"/>
        <w:t>c</w:t>
      </w:r>
      <w:r>
        <w:rPr/>
        <w:t xml:space="preserve"> und ihr sollt nicht nach ihren Bräuchen </w:t>
      </w:r>
      <w:r>
        <w:rPr>
          <w:color w:val="808080"/>
        </w:rPr>
        <w:t>(Vorschriften)</w:t>
      </w:r>
      <w:r>
        <w:rPr/>
        <w:t xml:space="preserve"> leben </w:t>
      </w:r>
      <w:r>
        <w:rPr>
          <w:color w:val="808080"/>
        </w:rPr>
        <w:t>(lebt nicht)</w:t>
      </w:r>
      <w:r>
        <w:rPr/>
        <w:t xml:space="preserve"> </w:t>
      </w:r>
      <w:r>
        <w:rPr>
          <w:rStyle w:val="Funotenanker"/>
        </w:rPr>
        <w:footnoteReference w:customMarkFollows="1" w:id="54"/>
        <w:t>d</w:t>
      </w:r>
      <w:r>
        <w:rPr/>
        <w:t xml:space="preserve">!{{field-off:bible}} </w:t>
        <w:br/>
        <w:t>[[@BibleTOBIBLE:Le 18:4]]</w:t>
      </w:r>
      <w:r>
        <w:rPr>
          <w:b/>
        </w:rPr>
        <w:t>4</w:t>
      </w:r>
      <w:r>
        <w:rPr/>
        <w:t xml:space="preserve"> {{field-on:bible}}''Meine'' Verordnungen</w:t>
      </w:r>
      <w:r>
        <w:rPr>
          <w:rStyle w:val="Funotenanker"/>
        </w:rPr>
        <w:footnoteReference w:customMarkFollows="1" w:id="55"/>
        <w:t>e</w:t>
      </w:r>
      <w:r>
        <w:rPr/>
        <w:t xml:space="preserve"> sollt </w:t>
      </w:r>
      <w:r>
        <w:rPr>
          <w:color w:val="808080"/>
        </w:rPr>
        <w:t>(werdet; tut)</w:t>
      </w:r>
      <w:r>
        <w:rPr/>
        <w:t xml:space="preserve"> ihr tun </w:t>
      </w:r>
      <w:r>
        <w:rPr>
          <w:color w:val="808080"/>
        </w:rPr>
        <w:t>(handeln)</w:t>
      </w:r>
      <w:r>
        <w:rPr/>
        <w:t xml:space="preserve"> </w:t>
      </w:r>
      <w:r>
        <w:rPr>
          <w:rStyle w:val="Funotenanker"/>
        </w:rPr>
        <w:footnoteReference w:customMarkFollows="1" w:id="56"/>
        <w:t>f</w:t>
      </w:r>
      <w:r>
        <w:rPr/>
        <w:t xml:space="preserve"> und ''meine'' Vorschriften</w:t>
      </w:r>
      <w:r>
        <w:rPr>
          <w:rStyle w:val="Funotenanker"/>
        </w:rPr>
        <w:footnoteReference w:customMarkFollows="1" w:id="57"/>
        <w:t>g</w:t>
      </w:r>
      <w:r>
        <w:rPr/>
        <w:t xml:space="preserve"> einhalten </w:t>
      </w:r>
      <w:r>
        <w:rPr>
          <w:color w:val="808080"/>
        </w:rPr>
        <w:t>(befolgen; haltet ein)</w:t>
      </w:r>
      <w:r>
        <w:rPr/>
        <w:t>, indem ihr nach ihnen lebt!</w:t>
      </w:r>
      <w:r>
        <w:rPr>
          <w:rStyle w:val="Funotenanker"/>
        </w:rPr>
        <w:footnoteReference w:customMarkFollows="1" w:id="58"/>
        <w:t>h</w:t>
      </w:r>
      <w:r>
        <w:rPr/>
        <w:t xml:space="preserve">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18:5]]</w:t>
      </w:r>
      <w:r>
        <w:rPr>
          <w:b/>
        </w:rPr>
        <w:t>5</w:t>
      </w:r>
      <w:r>
        <w:rPr/>
        <w:t xml:space="preserve"> {{field-on:bible}}Und ihr sollt meine Vorschriften und Verordnungen einhalten </w:t>
      </w:r>
      <w:r>
        <w:rPr>
          <w:color w:val="808080"/>
        </w:rPr>
        <w:t>(befolgen; haltet ein)</w:t>
      </w:r>
      <w:r>
        <w:rPr/>
        <w:t xml:space="preserve">, denn </w:t>
      </w:r>
      <w:r>
        <w:rPr>
          <w:color w:val="808080"/>
        </w:rPr>
        <w:t>(von denen gilt:)</w:t>
      </w:r>
      <w:r>
        <w:rPr/>
        <w:t xml:space="preserve"> der Mensch, </w:t>
      </w:r>
      <w:r>
        <w:rPr>
          <w:b/>
          <w:color w:val="808080"/>
        </w:rPr>
        <w:t>[</w:t>
      </w:r>
      <w:r>
        <w:rPr/>
        <w:t>der</w:t>
      </w:r>
      <w:r>
        <w:rPr>
          <w:b/>
          <w:color w:val="808080"/>
        </w:rPr>
        <w:t>]</w:t>
      </w:r>
      <w:r>
        <w:rPr/>
        <w:t xml:space="preserve"> sie tut </w:t>
      </w:r>
      <w:r>
        <w:rPr>
          <w:color w:val="808080"/>
        </w:rPr>
        <w:t>(tun wird)</w:t>
      </w:r>
      <w:r>
        <w:rPr/>
        <w:t xml:space="preserve">, </w:t>
      </w:r>
      <w:r>
        <w:rPr>
          <w:strike/>
          <w:color w:val="808080"/>
        </w:rPr>
        <w:t>{und}</w:t>
      </w:r>
      <w:r>
        <w:rPr/>
        <w:t xml:space="preserve"> wird durch sie </w:t>
      </w:r>
      <w:r>
        <w:rPr>
          <w:color w:val="808080"/>
        </w:rPr>
        <w:t>(nach/in ihnen)</w:t>
      </w:r>
      <w:r>
        <w:rPr/>
        <w:t xml:space="preserve"> leben</w:t>
      </w:r>
      <w:r>
        <w:rPr>
          <w:rStyle w:val="Funotenanker"/>
        </w:rPr>
        <w:footnoteReference w:customMarkFollows="1" w:id="59"/>
        <w:t>i</w:t>
      </w:r>
      <w:r>
        <w:rPr/>
        <w:t xml:space="preserve">. </w:t>
      </w:r>
      <w:r>
        <w:rPr>
          <w:rStyle w:val="Funotenanker"/>
        </w:rPr>
        <w:footnoteReference w:customMarkFollows="1" w:id="60"/>
        <w:t>j</w:t>
      </w:r>
      <w:r>
        <w:rPr/>
        <w:t xml:space="preserve"> </w:t>
      </w:r>
      <w:r>
        <w:rPr>
          <w:position w:val="8"/>
          <w:sz w:val="19"/>
        </w:rPr>
        <w:t>[[ ℘ &gt;&gt; BibleTOBIBLE:Dt 6:1]][[ ℘ &gt;&gt; BibleTOBIBLE:Eze 20:11]][[ ℘ &gt;&gt; BibleTOBIBLE:Eze 20:13]][[ ℘ &gt;&gt; BibleTOBIBLE:Eze 20:21]][[ ℘ &gt;&gt; BibleTOBIBLE:Eze 20:25]][[ ℘ &gt;&gt; BibleTOBIBLE:Ne 9:29]][[ ℘ &gt;&gt; BibleTOBIBLE:Ro 10:8]][[ ℘ &gt;&gt; BibleTOBIBLE:Ga 3:12]][[ ℘ &gt;&gt; BibleTOBIBLE:Lk 10:28]]</w:t>
      </w:r>
      <w:r>
        <w:rPr/>
        <w:t xml:space="preserve"> Ich </w:t>
      </w:r>
      <w:r>
        <w:rPr>
          <w:b/>
          <w:color w:val="808080"/>
        </w:rPr>
        <w:t>[</w:t>
      </w:r>
      <w:r>
        <w:rPr/>
        <w:t>bin</w:t>
      </w:r>
      <w:r>
        <w:rPr>
          <w:b/>
          <w:color w:val="808080"/>
        </w:rPr>
        <w:t>]</w:t>
      </w:r>
      <w:r>
        <w:rPr/>
        <w:t xml:space="preserve"> </w:t>
      </w:r>
      <w:r>
        <w:rPr>
          <w:smallCaps/>
          <w:color w:val="FF0000"/>
        </w:rPr>
        <w:t>JHWH</w:t>
      </w:r>
      <w:r>
        <w:rPr/>
        <w:t xml:space="preserve">.{{field-off:bible}} </w:t>
        <w:br/>
        <w:t>[[@BibleTOBIBLE:Le 18:24]]</w:t>
      </w:r>
      <w:r>
        <w:rPr>
          <w:b/>
        </w:rPr>
        <w:t>24</w:t>
      </w:r>
      <w:r>
        <w:rPr/>
        <w:t xml:space="preserve"> {{field-on:bible}}Verunreinigt </w:t>
      </w:r>
      <w:r>
        <w:rPr>
          <w:color w:val="808080"/>
        </w:rPr>
        <w:t>(Ihr sollt)</w:t>
      </w:r>
      <w:r>
        <w:rPr/>
        <w:t xml:space="preserve"> euch nicht mit all diesen </w:t>
      </w:r>
      <w:r>
        <w:rPr>
          <w:b/>
          <w:color w:val="808080"/>
        </w:rPr>
        <w:t>[</w:t>
      </w:r>
      <w:r>
        <w:rPr/>
        <w:t>Praktiken</w:t>
      </w:r>
      <w:r>
        <w:rPr>
          <w:b/>
          <w:color w:val="808080"/>
        </w:rPr>
        <w:t>]</w:t>
      </w:r>
      <w:r>
        <w:rPr/>
        <w:t xml:space="preserve">, denn durch all diese </w:t>
      </w:r>
      <w:r>
        <w:rPr>
          <w:b/>
          <w:color w:val="808080"/>
        </w:rPr>
        <w:t>[</w:t>
      </w:r>
      <w:r>
        <w:rPr/>
        <w:t>Praktiken</w:t>
      </w:r>
      <w:r>
        <w:rPr>
          <w:b/>
          <w:color w:val="808080"/>
        </w:rPr>
        <w:t>]</w:t>
      </w:r>
      <w:r>
        <w:rPr/>
        <w:t xml:space="preserve"> wurden die </w:t>
      </w:r>
      <w:r>
        <w:rPr>
          <w:color w:val="808080"/>
        </w:rPr>
        <w:t>(heidnischen)</w:t>
      </w:r>
      <w:r>
        <w:rPr/>
        <w:t xml:space="preserve"> Völker unrein,</w:t>
      </w:r>
      <w:r>
        <w:rPr>
          <w:rStyle w:val="Funotenanker"/>
        </w:rPr>
        <w:footnoteReference w:customMarkFollows="1" w:id="61"/>
        <w:t>k</w:t>
      </w:r>
      <w:r>
        <w:rPr/>
        <w:t>, die ich vor euch vertreibe</w:t>
      </w:r>
      <w:r>
        <w:rPr>
          <w:rStyle w:val="Funotenanker"/>
        </w:rPr>
        <w:footnoteReference w:customMarkFollows="1" w:id="62"/>
        <w:t>l</w:t>
      </w:r>
      <w:r>
        <w:rPr/>
        <w:t xml:space="preserve">,{{field-off:bible}} </w:t>
        <w:br/>
        <w:t>[[@BibleTOBIBLE:Le 18:25]]</w:t>
      </w:r>
      <w:r>
        <w:rPr>
          <w:b/>
        </w:rPr>
        <w:t>25</w:t>
      </w:r>
      <w:r>
        <w:rPr/>
        <w:t xml:space="preserve"> {{field-on:bible}}und </w:t>
      </w:r>
      <w:r>
        <w:rPr>
          <w:b/>
          <w:color w:val="808080"/>
        </w:rPr>
        <w:t>[</w:t>
      </w:r>
      <w:r>
        <w:rPr/>
        <w:t>dadurch</w:t>
      </w:r>
      <w:r>
        <w:rPr>
          <w:b/>
          <w:color w:val="808080"/>
        </w:rPr>
        <w:t>]</w:t>
      </w:r>
      <w:r>
        <w:rPr/>
        <w:t xml:space="preserve"> war </w:t>
      </w:r>
      <w:r>
        <w:rPr>
          <w:color w:val="808080"/>
        </w:rPr>
        <w:t>(wurde)</w:t>
      </w:r>
      <w:r>
        <w:rPr/>
        <w:t xml:space="preserve"> das Land unrein, sodass </w:t>
      </w:r>
      <w:r>
        <w:rPr>
          <w:color w:val="808080"/>
        </w:rPr>
        <w:t>(und)</w:t>
      </w:r>
      <w:r>
        <w:rPr/>
        <w:t xml:space="preserve"> </w:t>
      </w:r>
      <w:r>
        <w:rPr>
          <w:rStyle w:val="Funotenanker"/>
        </w:rPr>
        <w:footnoteReference w:customMarkFollows="1" w:id="63"/>
        <w:t>m</w:t>
      </w:r>
      <w:r>
        <w:rPr/>
        <w:t xml:space="preserve"> ich seine Strafe über es brachte </w:t>
      </w:r>
      <w:r>
        <w:rPr>
          <w:color w:val="808080"/>
        </w:rPr>
        <w:t>(Schuld bestrafte)</w:t>
      </w:r>
      <w:r>
        <w:rPr/>
        <w:t xml:space="preserve"> und das Land seine Bewohner auswürgte </w:t>
      </w:r>
      <w:r>
        <w:rPr>
          <w:color w:val="808080"/>
        </w:rPr>
        <w:t>(erbrach)</w:t>
      </w:r>
      <w:r>
        <w:rPr/>
        <w:t xml:space="preserve">.{{field-off:bible}} </w:t>
        <w:br/>
        <w:t>[[@BibleTOBIBLE:Le 18:26]]</w:t>
      </w:r>
      <w:r>
        <w:rPr>
          <w:b/>
        </w:rPr>
        <w:t>26</w:t>
      </w:r>
      <w:r>
        <w:rPr/>
        <w:t xml:space="preserve"> {{field-on:bible}}Darum </w:t>
      </w:r>
      <w:r>
        <w:rPr>
          <w:color w:val="808080"/>
        </w:rPr>
        <w:t>(doch; und)</w:t>
      </w:r>
      <w:r>
        <w:rPr/>
        <w:t xml:space="preserve"> sollt ''ihr'' meine Vorschriften und Verordnungen einhalten und keine von diesen Abscheulichkeiten </w:t>
      </w:r>
      <w:r>
        <w:rPr>
          <w:color w:val="808080"/>
        </w:rPr>
        <w:t>(Gräueln)</w:t>
      </w:r>
      <w:r>
        <w:rPr/>
        <w:t xml:space="preserve"> begehen, </w:t>
      </w:r>
      <w:r>
        <w:rPr>
          <w:b/>
          <w:color w:val="808080"/>
        </w:rPr>
        <w:t>[</w:t>
      </w:r>
      <w:r>
        <w:rPr/>
        <w:t>weder</w:t>
      </w:r>
      <w:r>
        <w:rPr>
          <w:b/>
          <w:color w:val="808080"/>
        </w:rPr>
        <w:t>]</w:t>
      </w:r>
      <w:r>
        <w:rPr/>
        <w:t xml:space="preserve"> der Einheimische noch </w:t>
      </w:r>
      <w:r>
        <w:rPr>
          <w:color w:val="808080"/>
        </w:rPr>
        <w:t>(und)</w:t>
      </w:r>
      <w:r>
        <w:rPr/>
        <w:t xml:space="preserve"> der Ausländer, </w:t>
      </w:r>
      <w:r>
        <w:rPr>
          <w:b/>
          <w:color w:val="808080"/>
        </w:rPr>
        <w:t>[</w:t>
      </w:r>
      <w:r>
        <w:rPr/>
        <w:t>der</w:t>
      </w:r>
      <w:r>
        <w:rPr>
          <w:b/>
          <w:color w:val="808080"/>
        </w:rPr>
        <w:t>]</w:t>
      </w:r>
      <w:r>
        <w:rPr/>
        <w:t xml:space="preserve"> als Fremder unter euch lebt!{{field-off:bible}} </w:t>
        <w:br/>
        <w:t>[[@BibleTOBIBLE:Le 18:27]]</w:t>
      </w:r>
      <w:r>
        <w:rPr>
          <w:b/>
        </w:rPr>
        <w:t>27</w:t>
      </w:r>
      <w:r>
        <w:rPr/>
        <w:t xml:space="preserve"> {{field-on:bible}}Denn all diese Abscheulichkeiten </w:t>
      </w:r>
      <w:r>
        <w:rPr>
          <w:color w:val="808080"/>
        </w:rPr>
        <w:t>(Gräuel)</w:t>
      </w:r>
      <w:r>
        <w:rPr/>
        <w:t xml:space="preserve"> begingen die Männer des Landes, die vor euch </w:t>
      </w:r>
      <w:r>
        <w:rPr>
          <w:b/>
          <w:color w:val="808080"/>
        </w:rPr>
        <w:t>[</w:t>
      </w:r>
      <w:r>
        <w:rPr/>
        <w:t>dort waren</w:t>
      </w:r>
      <w:r>
        <w:rPr>
          <w:b/>
          <w:color w:val="808080"/>
        </w:rPr>
        <w:t>]</w:t>
      </w:r>
      <w:r>
        <w:rPr/>
        <w:t xml:space="preserve">, und </w:t>
      </w:r>
      <w:r>
        <w:rPr>
          <w:b/>
          <w:color w:val="808080"/>
        </w:rPr>
        <w:t>[</w:t>
      </w:r>
      <w:r>
        <w:rPr/>
        <w:t>dadurch</w:t>
      </w:r>
      <w:r>
        <w:rPr>
          <w:b/>
          <w:color w:val="808080"/>
        </w:rPr>
        <w:t>]</w:t>
      </w:r>
      <w:r>
        <w:rPr/>
        <w:t xml:space="preserve"> war </w:t>
      </w:r>
      <w:r>
        <w:rPr>
          <w:color w:val="808080"/>
        </w:rPr>
        <w:t>(wurde)</w:t>
      </w:r>
      <w:r>
        <w:rPr/>
        <w:t xml:space="preserve"> das Land unrein.{{field-off:bible}} </w:t>
        <w:br/>
        <w:t>[[@BibleTOBIBLE:Le 18:28]]</w:t>
      </w:r>
      <w:r>
        <w:rPr>
          <w:b/>
        </w:rPr>
        <w:t>28</w:t>
      </w:r>
      <w:r>
        <w:rPr/>
        <w:t xml:space="preserve"> {{field-on:bible}} </w:t>
      </w:r>
      <w:r>
        <w:rPr>
          <w:b/>
          <w:color w:val="808080"/>
        </w:rPr>
        <w:t>[</w:t>
      </w:r>
      <w:r>
        <w:rPr/>
        <w:t>Ihr sollt sie einhalten</w:t>
      </w:r>
      <w:r>
        <w:rPr>
          <w:b/>
          <w:color w:val="808080"/>
        </w:rPr>
        <w:t>]</w:t>
      </w:r>
      <w:r>
        <w:rPr/>
        <w:t>, damit</w:t>
      </w:r>
      <w:r>
        <w:rPr>
          <w:rStyle w:val="Funotenanker"/>
        </w:rPr>
        <w:footnoteReference w:customMarkFollows="1" w:id="64"/>
        <w:t>n</w:t>
      </w:r>
      <w:r>
        <w:rPr/>
        <w:t xml:space="preserve"> euch das Land nicht auswürgt </w:t>
      </w:r>
      <w:r>
        <w:rPr>
          <w:color w:val="808080"/>
        </w:rPr>
        <w:t>(erbricht)</w:t>
      </w:r>
      <w:r>
        <w:rPr/>
        <w:t xml:space="preserve">, wenn </w:t>
      </w:r>
      <w:r>
        <w:rPr>
          <w:color w:val="808080"/>
        </w:rPr>
        <w:t>(weil)</w:t>
      </w:r>
      <w:r>
        <w:rPr/>
        <w:t xml:space="preserve"> ihr es verunreinigt, genau wie es das Volk auswürgte </w:t>
      </w:r>
      <w:r>
        <w:rPr>
          <w:color w:val="808080"/>
        </w:rPr>
        <w:t>(erbrach)</w:t>
      </w:r>
      <w:r>
        <w:rPr/>
        <w:t xml:space="preserve">, das vor euch </w:t>
      </w:r>
      <w:r>
        <w:rPr>
          <w:b/>
          <w:color w:val="808080"/>
        </w:rPr>
        <w:t>[</w:t>
      </w:r>
      <w:r>
        <w:rPr/>
        <w:t>dort war</w:t>
      </w:r>
      <w:r>
        <w:rPr>
          <w:b/>
          <w:color w:val="808080"/>
        </w:rPr>
        <w:t>]</w:t>
      </w:r>
      <w:r>
        <w:rPr/>
        <w:t xml:space="preserve">.{{field-off:bible}} </w:t>
        <w:br/>
        <w:t>[[@BibleTOBIBLE:Le 18:29]]</w:t>
      </w:r>
      <w:r>
        <w:rPr>
          <w:b/>
        </w:rPr>
        <w:t>29</w:t>
      </w:r>
      <w:r>
        <w:rPr/>
        <w:t xml:space="preserve"> {{field-on:bible}}Denn jeder, der irgendeine von diesen Abscheulichkeiten </w:t>
      </w:r>
      <w:r>
        <w:rPr>
          <w:color w:val="808080"/>
        </w:rPr>
        <w:t>(Gräueln)</w:t>
      </w:r>
      <w:r>
        <w:rPr/>
        <w:t xml:space="preserve"> begeht, und die Personen </w:t>
      </w:r>
      <w:r>
        <w:rPr>
          <w:color w:val="808080"/>
        </w:rPr>
        <w:t>(Seelen)</w:t>
      </w:r>
      <w:r>
        <w:rPr/>
        <w:t xml:space="preserve"> </w:t>
      </w:r>
      <w:r>
        <w:rPr>
          <w:rStyle w:val="Funotenanker"/>
        </w:rPr>
        <w:footnoteReference w:customMarkFollows="1" w:id="65"/>
        <w:t>o</w:t>
      </w:r>
      <w:r>
        <w:rPr/>
        <w:t xml:space="preserve">, die </w:t>
      </w:r>
      <w:r>
        <w:rPr>
          <w:b/>
          <w:color w:val="808080"/>
        </w:rPr>
        <w:t>[</w:t>
      </w:r>
      <w:r>
        <w:rPr/>
        <w:t>sie</w:t>
      </w:r>
      <w:r>
        <w:rPr>
          <w:b/>
          <w:color w:val="808080"/>
        </w:rPr>
        <w:t>]</w:t>
      </w:r>
      <w:r>
        <w:rPr/>
        <w:t xml:space="preserve"> begehen, werden </w:t>
      </w:r>
      <w:r>
        <w:rPr>
          <w:color w:val="808080"/>
        </w:rPr>
        <w:t>(sollen)</w:t>
      </w:r>
      <w:r>
        <w:rPr/>
        <w:t xml:space="preserve"> aus dem Inneren ihres Volkes abgeschnitten werden.{{field-off:bible}} </w:t>
        <w:br/>
        <w:t>[[@BibleTOBIBLE:Le 18:30]]</w:t>
      </w:r>
      <w:r>
        <w:rPr>
          <w:b/>
        </w:rPr>
        <w:t>30</w:t>
      </w:r>
      <w:r>
        <w:rPr/>
        <w:t xml:space="preserve"> {{field-on:bible}}Darum </w:t>
      </w:r>
      <w:r>
        <w:rPr>
          <w:color w:val="808080"/>
        </w:rPr>
        <w:t>(doch; und)</w:t>
      </w:r>
      <w:r>
        <w:rPr/>
        <w:t xml:space="preserve"> sollt ihr </w:t>
      </w:r>
      <w:r>
        <w:rPr>
          <w:color w:val="808080"/>
        </w:rPr>
        <w:t>(haltet)</w:t>
      </w:r>
      <w:r>
        <w:rPr/>
        <w:t xml:space="preserve"> meine Anweisung </w:t>
      </w:r>
      <w:r>
        <w:rPr>
          <w:color w:val="808080"/>
        </w:rPr>
        <w:t>(Bedingung)</w:t>
      </w:r>
      <w:r>
        <w:rPr/>
        <w:t xml:space="preserve"> einhalten </w:t>
      </w:r>
      <w:r>
        <w:rPr>
          <w:color w:val="808080"/>
        </w:rPr>
        <w:t>(erfüllen)</w:t>
      </w:r>
      <w:r>
        <w:rPr/>
        <w:t xml:space="preserve">, niemals </w:t>
      </w:r>
      <w:r>
        <w:rPr>
          <w:b/>
          <w:color w:val="808080"/>
        </w:rPr>
        <w:t>[</w:t>
      </w:r>
      <w:r>
        <w:rPr/>
        <w:t>irgendeinen</w:t>
      </w:r>
      <w:r>
        <w:rPr>
          <w:b/>
          <w:color w:val="808080"/>
        </w:rPr>
        <w:t>]</w:t>
      </w:r>
      <w:r>
        <w:rPr/>
        <w:t xml:space="preserve"> von ihren abscheulichen Bräuchen </w:t>
      </w:r>
      <w:r>
        <w:rPr>
          <w:color w:val="808080"/>
        </w:rPr>
        <w:t>(Vorschriften)</w:t>
      </w:r>
      <w:r>
        <w:rPr/>
        <w:t xml:space="preserve"> zu übernehmen </w:t>
      </w:r>
      <w:r>
        <w:rPr>
          <w:color w:val="808080"/>
        </w:rPr>
        <w:t>(tun, verüben)</w:t>
      </w:r>
      <w:r>
        <w:rPr/>
        <w:t>,</w:t>
      </w:r>
      <w:r>
        <w:rPr>
          <w:rStyle w:val="Funotenanker"/>
        </w:rPr>
        <w:footnoteReference w:customMarkFollows="1" w:id="66"/>
        <w:t>p</w:t>
      </w:r>
      <w:r>
        <w:rPr/>
        <w:t xml:space="preserve"> denen sie vor euren Augen </w:t>
      </w:r>
      <w:r>
        <w:rPr>
          <w:color w:val="808080"/>
        </w:rPr>
        <w:t>(vor eurer Ankunft; vor euch)</w:t>
      </w:r>
      <w:r>
        <w:rPr/>
        <w:t xml:space="preserve"> </w:t>
      </w:r>
      <w:r>
        <w:rPr>
          <w:rStyle w:val="Funotenanker"/>
        </w:rPr>
        <w:footnoteReference w:customMarkFollows="1" w:id="67"/>
        <w:t>q</w:t>
      </w:r>
      <w:r>
        <w:rPr/>
        <w:t xml:space="preserve"> nachgegangen sind </w:t>
      </w:r>
      <w:r>
        <w:rPr>
          <w:color w:val="808080"/>
        </w:rPr>
        <w:t>(verübt/getan haben)</w:t>
      </w:r>
      <w:r>
        <w:rPr/>
        <w:t xml:space="preserve">, und euch nicht an ihnen </w:t>
      </w:r>
      <w:r>
        <w:rPr>
          <w:color w:val="808080"/>
        </w:rPr>
        <w:t>(wie sie)</w:t>
      </w:r>
      <w:r>
        <w:rPr/>
        <w:t xml:space="preserve"> </w:t>
      </w:r>
      <w:r>
        <w:rPr>
          <w:rStyle w:val="Funotenanker"/>
        </w:rPr>
        <w:footnoteReference w:customMarkFollows="1" w:id="68"/>
        <w:t>r</w:t>
      </w:r>
      <w:r>
        <w:rPr/>
        <w:t xml:space="preserve"> verunreinigen.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69"/>
        <w:t>Status</w:t>
      </w:r>
      <w:r>
        <w:rPr/>
        <w:t xml:space="preserve"> Und Josua, der Sohn Nuns, schickte von Schittim </w:t>
      </w:r>
      <w:r>
        <w:rPr>
          <w:b/>
          <w:color w:val="808080"/>
        </w:rPr>
        <w:t>[</w:t>
      </w:r>
      <w:r>
        <w:rPr/>
        <w:t>aus</w:t>
      </w:r>
      <w:r>
        <w:rPr>
          <w:b/>
          <w:color w:val="808080"/>
        </w:rPr>
        <w:t>]</w:t>
      </w:r>
      <w:r>
        <w:rPr/>
        <w:t xml:space="preserve"> zwei Männer </w:t>
      </w:r>
      <w:r>
        <w:rPr>
          <w:b/>
          <w:color w:val="808080"/>
        </w:rPr>
        <w:t>[</w:t>
      </w:r>
      <w:r>
        <w:rPr/>
        <w:t>als</w:t>
      </w:r>
      <w:r>
        <w:rPr>
          <w:b/>
          <w:color w:val="808080"/>
        </w:rPr>
        <w:t>]</w:t>
      </w:r>
      <w:r>
        <w:rPr/>
        <w:t xml:space="preserve"> Kundschafter heimlich</w:t>
      </w:r>
      <w:r>
        <w:rPr>
          <w:rStyle w:val="Funotenanker"/>
        </w:rPr>
        <w:footnoteReference w:customMarkFollows="1" w:id="70"/>
        <w:t>a</w:t>
      </w:r>
      <w:r>
        <w:rPr/>
        <w:t xml:space="preserve"> </w:t>
      </w:r>
      <w:r>
        <w:rPr>
          <w:b/>
          <w:color w:val="808080"/>
        </w:rPr>
        <w:t>[</w:t>
      </w:r>
      <w:r>
        <w:rPr/>
        <w:t>los</w:t>
      </w:r>
      <w:r>
        <w:rPr>
          <w:b/>
          <w:color w:val="808080"/>
        </w:rPr>
        <w:t>]</w:t>
      </w:r>
      <w:r>
        <w:rPr/>
        <w:t xml:space="preserve">, wobei er </w:t>
      </w:r>
      <w:r>
        <w:rPr>
          <w:b/>
          <w:color w:val="808080"/>
        </w:rPr>
        <w:t>[</w:t>
      </w:r>
      <w:r>
        <w:rPr/>
        <w:t>zu ihnen</w:t>
      </w:r>
      <w:r>
        <w:rPr>
          <w:b/>
          <w:color w:val="808080"/>
        </w:rPr>
        <w:t>]</w:t>
      </w:r>
      <w:r>
        <w:rPr/>
        <w:t xml:space="preserve"> sagte: „Geht, begutachtet </w:t>
      </w:r>
      <w:r>
        <w:rPr>
          <w:color w:val="808080"/>
        </w:rPr>
        <w:t>(seht)</w:t>
      </w:r>
      <w:r>
        <w:rPr/>
        <w:t xml:space="preserve"> das Land und Jericho!“ Also </w:t>
      </w:r>
      <w:r>
        <w:rPr>
          <w:color w:val="808080"/>
        </w:rPr>
        <w:t>(und, dann)</w:t>
      </w:r>
      <w:r>
        <w:rPr/>
        <w:t xml:space="preserve"> gingen sie </w:t>
      </w:r>
      <w:r>
        <w:rPr>
          <w:b/>
          <w:color w:val="808080"/>
        </w:rPr>
        <w:t>[</w:t>
      </w:r>
      <w:r>
        <w:rPr/>
        <w:t>los</w:t>
      </w:r>
      <w:r>
        <w:rPr>
          <w:b/>
          <w:color w:val="808080"/>
        </w:rPr>
        <w:t>]</w:t>
      </w:r>
      <w:r>
        <w:rPr/>
        <w:t xml:space="preserve"> und kamen </w:t>
      </w:r>
      <w:r>
        <w:rPr>
          <w:b/>
          <w:color w:val="808080"/>
        </w:rPr>
        <w:t>[</w:t>
      </w:r>
      <w:r>
        <w:rPr/>
        <w:t>in</w:t>
      </w:r>
      <w:r>
        <w:rPr>
          <w:b/>
          <w:color w:val="808080"/>
        </w:rPr>
        <w:t>]</w:t>
      </w:r>
      <w:r>
        <w:rPr/>
        <w:t xml:space="preserve"> </w:t>
      </w:r>
      <w:r>
        <w:rPr>
          <w:color w:val="808080"/>
        </w:rPr>
        <w:t>(betraten)</w:t>
      </w:r>
      <w:r>
        <w:rPr/>
        <w:t xml:space="preserve"> das Haus einer Prostituierten </w:t>
      </w:r>
      <w:r>
        <w:rPr>
          <w:color w:val="808080"/>
        </w:rPr>
        <w:t>(ehebrecherischen Frau)</w:t>
      </w:r>
      <w:r>
        <w:rPr/>
        <w:t xml:space="preserve"> - </w:t>
      </w:r>
      <w:r>
        <w:rPr>
          <w:strike/>
          <w:color w:val="808080"/>
        </w:rPr>
        <w:t>{und}</w:t>
      </w:r>
      <w:r>
        <w:rPr/>
        <w:t xml:space="preserve"> ihr Name war Rahab - und blieben </w:t>
      </w:r>
      <w:r>
        <w:rPr>
          <w:color w:val="808080"/>
        </w:rPr>
        <w:t>(schliefen, lagen)</w:t>
      </w:r>
      <w:r>
        <w:rPr/>
        <w:t xml:space="preserve"> dort </w:t>
      </w:r>
      <w:r>
        <w:rPr>
          <w:b/>
          <w:color w:val="808080"/>
        </w:rPr>
        <w:t>[</w:t>
      </w:r>
      <w:r>
        <w:rPr/>
        <w:t>über Nacht</w:t>
      </w:r>
      <w:r>
        <w:rPr>
          <w:b/>
          <w:color w:val="808080"/>
        </w:rPr>
        <w:t>]</w:t>
      </w:r>
      <w:r>
        <w:rPr/>
        <w:t xml:space="preserve">.{{field-off:bible}} </w:t>
        <w:br/>
        <w:t>[[@BibleTOBIBLE:Jos 2:2]]</w:t>
      </w:r>
      <w:r>
        <w:rPr>
          <w:b/>
        </w:rPr>
        <w:t>2</w:t>
      </w:r>
      <w:r>
        <w:rPr/>
        <w:t xml:space="preserve"> {{field-on:bible}}Daraufhin </w:t>
      </w:r>
      <w:r>
        <w:rPr>
          <w:color w:val="808080"/>
        </w:rPr>
        <w:t>(aber, und)</w:t>
      </w:r>
      <w:r>
        <w:rPr/>
        <w:t xml:space="preserve"> wurde dem König von Jericho Folgendes berichtet </w:t>
      </w:r>
      <w:r>
        <w:rPr>
          <w:color w:val="808080"/>
        </w:rPr>
        <w:t>(gesagt)</w:t>
      </w:r>
      <w:r>
        <w:rPr/>
        <w:t>: „</w:t>
      </w:r>
      <w:r>
        <w:rPr>
          <w:strike/>
          <w:color w:val="808080"/>
        </w:rPr>
        <w:t>{Siehe}</w:t>
      </w:r>
      <w:r>
        <w:rPr/>
        <w:t xml:space="preserve"> </w:t>
      </w:r>
      <w:r>
        <w:rPr>
          <w:rStyle w:val="Funotenanker"/>
        </w:rPr>
        <w:footnoteReference w:customMarkFollows="1" w:id="71"/>
        <w:t>b</w:t>
      </w:r>
      <w:r>
        <w:rPr/>
        <w:t xml:space="preserve"> In der Nacht sind Männer von den Söhnen Israels </w:t>
      </w:r>
      <w:r>
        <w:rPr>
          <w:color w:val="808080"/>
        </w:rPr>
        <w:t>(Israeliten)</w:t>
      </w:r>
      <w:r>
        <w:rPr/>
        <w:t xml:space="preserve"> gekommen, um das Land zu erkunden!“{{field-off:bible}} </w:t>
        <w:br/>
        <w:t>[[@BibleTOBIBLE:Jos 2:3]]</w:t>
      </w:r>
      <w:r>
        <w:rPr>
          <w:b/>
        </w:rPr>
        <w:t>3</w:t>
      </w:r>
      <w:r>
        <w:rPr/>
        <w:t xml:space="preserve"> {{field-on:bible}}Da </w:t>
      </w:r>
      <w:r>
        <w:rPr>
          <w:color w:val="808080"/>
        </w:rPr>
        <w:t>(dann, und)</w:t>
      </w:r>
      <w:r>
        <w:rPr/>
        <w:t xml:space="preserve"> schickte der König von Jericho </w:t>
      </w:r>
      <w:r>
        <w:rPr>
          <w:b/>
          <w:color w:val="808080"/>
        </w:rPr>
        <w:t>[</w:t>
      </w:r>
      <w:r>
        <w:rPr/>
        <w:t>Soldaten</w:t>
      </w:r>
      <w:r>
        <w:rPr>
          <w:b/>
          <w:color w:val="808080"/>
        </w:rPr>
        <w:t>]</w:t>
      </w:r>
      <w:r>
        <w:rPr/>
        <w:t xml:space="preserve"> </w:t>
      </w:r>
      <w:r>
        <w:rPr>
          <w:rStyle w:val="Funotenanker"/>
        </w:rPr>
        <w:footnoteReference w:customMarkFollows="1" w:id="72"/>
        <w:t>c</w:t>
      </w:r>
      <w:r>
        <w:rPr/>
        <w:t xml:space="preserve"> zu Rahab, um auszurichten </w:t>
      </w:r>
      <w:r>
        <w:rPr>
          <w:color w:val="808080"/>
        </w:rPr>
        <w:t>(zu sagen)</w:t>
      </w:r>
      <w:r>
        <w:rPr/>
        <w:t xml:space="preserve">: „Liefere uns </w:t>
      </w:r>
      <w:r>
        <w:rPr>
          <w:color w:val="808080"/>
        </w:rPr>
        <w:t>(bringe heraus)</w:t>
      </w:r>
      <w:r>
        <w:rPr/>
        <w:t xml:space="preserve"> die Männer aus, </w:t>
      </w:r>
      <w:r>
        <w:rPr>
          <w:b/>
          <w:color w:val="808080"/>
        </w:rPr>
        <w:t>[</w:t>
      </w:r>
      <w:r>
        <w:rPr/>
        <w:t>die</w:t>
      </w:r>
      <w:r>
        <w:rPr>
          <w:b/>
          <w:color w:val="808080"/>
        </w:rPr>
        <w:t>]</w:t>
      </w:r>
      <w:r>
        <w:rPr/>
        <w:t xml:space="preserve"> zu dir gekommen sind, die dein Haus betreten </w:t>
      </w:r>
      <w:r>
        <w:rPr>
          <w:color w:val="808080"/>
        </w:rPr>
        <w:t>(zu deinem Haus gekommen)</w:t>
      </w:r>
      <w:r>
        <w:rPr/>
        <w:t xml:space="preserve"> haben, denn sie sind gekommen, um das ganze Land zu erkunden.“{{field-off:bible}} </w:t>
        <w:br/>
        <w:t>[[@BibleTOBIBLE:Jos 2:4]]</w:t>
      </w:r>
      <w:r>
        <w:rPr>
          <w:b/>
        </w:rPr>
        <w:t>4</w:t>
      </w:r>
      <w:r>
        <w:rPr/>
        <w:t xml:space="preserve"> {{field-on:bible}}Aber </w:t>
      </w:r>
      <w:r>
        <w:rPr>
          <w:color w:val="808080"/>
        </w:rPr>
        <w:t>(und)</w:t>
      </w:r>
      <w:r>
        <w:rPr/>
        <w:t xml:space="preserve"> die Frau hatte die beiden Männer genommen </w:t>
      </w:r>
      <w:r>
        <w:rPr>
          <w:color w:val="808080"/>
        </w:rPr>
        <w:t>(nahm)</w:t>
      </w:r>
      <w:r>
        <w:rPr/>
        <w:t xml:space="preserve"> und sie versteckt </w:t>
      </w:r>
      <w:r>
        <w:rPr>
          <w:color w:val="808080"/>
        </w:rPr>
        <w:t>(versteckte)</w:t>
      </w:r>
      <w:r>
        <w:rPr/>
        <w:t xml:space="preserve"> </w:t>
      </w:r>
      <w:r>
        <w:rPr>
          <w:rStyle w:val="Funotenanker"/>
        </w:rPr>
        <w:footnoteReference w:customMarkFollows="1" w:id="73"/>
        <w:t>d</w:t>
      </w:r>
      <w:r>
        <w:rPr/>
        <w:t xml:space="preserve">. Deshalb </w:t>
      </w:r>
      <w:r>
        <w:rPr>
          <w:color w:val="808080"/>
        </w:rPr>
        <w:t>(und)</w:t>
      </w:r>
      <w:r>
        <w:rPr/>
        <w:t xml:space="preserve"> sagte sie: „Tatsächlich </w:t>
      </w:r>
      <w:r>
        <w:rPr>
          <w:color w:val="808080"/>
        </w:rPr>
        <w:t>(Ja)</w:t>
      </w:r>
      <w:r>
        <w:rPr/>
        <w:t xml:space="preserve"> sind die Männer zu mir gekommen, aber ich weiß </w:t>
      </w:r>
      <w:r>
        <w:rPr>
          <w:color w:val="808080"/>
        </w:rPr>
        <w:t>(wusste, habe nicht erkannt)</w:t>
      </w:r>
      <w:r>
        <w:rPr/>
        <w:t xml:space="preserve"> nicht, woher sie </w:t>
      </w:r>
      <w:r>
        <w:rPr>
          <w:b/>
          <w:color w:val="808080"/>
        </w:rPr>
        <w:t>[</w:t>
      </w:r>
      <w:r>
        <w:rPr/>
        <w:t>kamen</w:t>
      </w:r>
      <w:r>
        <w:rPr>
          <w:b/>
          <w:color w:val="808080"/>
        </w:rPr>
        <w:t>]</w:t>
      </w:r>
      <w:r>
        <w:rPr/>
        <w:t xml:space="preserve">.{{field-off:bible}} </w:t>
        <w:br/>
        <w:t>[[@BibleTOBIBLE:Jos 2:5]]</w:t>
      </w:r>
      <w:r>
        <w:rPr>
          <w:b/>
        </w:rPr>
        <w:t>5</w:t>
      </w:r>
      <w:r>
        <w:rPr/>
        <w:t xml:space="preserve"> {{field-on:bible}}Als </w:t>
      </w:r>
      <w:r>
        <w:rPr>
          <w:color w:val="808080"/>
        </w:rPr>
        <w:t>(und)</w:t>
      </w:r>
      <w:r>
        <w:rPr/>
        <w:t xml:space="preserve"> das Tor zu schließen war </w:t>
      </w:r>
      <w:r>
        <w:rPr>
          <w:color w:val="808080"/>
        </w:rPr>
        <w:t>(geschlossen werden musste)</w:t>
      </w:r>
      <w:r>
        <w:rPr/>
        <w:t xml:space="preserve"> bei Dunkelheit, </w:t>
      </w:r>
      <w:r>
        <w:rPr>
          <w:strike/>
          <w:color w:val="808080"/>
        </w:rPr>
        <w:t>{und}</w:t>
      </w:r>
      <w:r>
        <w:rPr/>
        <w:t xml:space="preserve"> gingen die Männer hinaus. Ich weiß nicht </w:t>
      </w:r>
      <w:r>
        <w:rPr>
          <w:color w:val="808080"/>
        </w:rPr>
        <w:t>(habe nicht erkannt)</w:t>
      </w:r>
      <w:r>
        <w:rPr/>
        <w:t xml:space="preserve">, wohin die Männer gegangen sind. Lauft </w:t>
      </w:r>
      <w:r>
        <w:rPr>
          <w:color w:val="808080"/>
        </w:rPr>
        <w:t>(setzt, verfolgt)</w:t>
      </w:r>
      <w:r>
        <w:rPr/>
        <w:t xml:space="preserve"> ihnen schnell nach, dann könnt </w:t>
      </w:r>
      <w:r>
        <w:rPr>
          <w:color w:val="808080"/>
        </w:rPr>
        <w:t>(werdet)</w:t>
      </w:r>
      <w:r>
        <w:rPr/>
        <w:t xml:space="preserve"> ihr sie einholen!“{{field-off:bible}} </w:t>
        <w:br/>
        <w:t>[[@BibleTOBIBLE:Jos 2:6]]</w:t>
      </w:r>
      <w:r>
        <w:rPr>
          <w:b/>
        </w:rPr>
        <w:t>6</w:t>
      </w:r>
      <w:r>
        <w:rPr/>
        <w:t xml:space="preserve"> {{field-on:bible}}Allerdings </w:t>
      </w:r>
      <w:r>
        <w:rPr>
          <w:color w:val="808080"/>
        </w:rPr>
        <w:t>(aber, und)</w:t>
      </w:r>
      <w:r>
        <w:rPr/>
        <w:t xml:space="preserve"> hatte sie sie hinauf auf das Dach gebracht </w:t>
      </w:r>
      <w:r>
        <w:rPr>
          <w:color w:val="808080"/>
        </w:rPr>
        <w:t>(brachte)</w:t>
      </w:r>
      <w:r>
        <w:rPr/>
        <w:t xml:space="preserve"> </w:t>
      </w:r>
      <w:r>
        <w:rPr>
          <w:rStyle w:val="Funotenanker"/>
        </w:rPr>
        <w:footnoteReference w:customMarkFollows="1" w:id="74"/>
        <w:t>e</w:t>
      </w:r>
      <w:r>
        <w:rPr/>
        <w:t xml:space="preserve"> und sie in dem Flachsstroh </w:t>
      </w:r>
      <w:r>
        <w:rPr>
          <w:color w:val="808080"/>
        </w:rPr>
        <w:t>(Flachsstängeln)</w:t>
      </w:r>
      <w:r>
        <w:rPr/>
        <w:t xml:space="preserve"> </w:t>
      </w:r>
      <w:r>
        <w:rPr>
          <w:rStyle w:val="Funotenanker"/>
        </w:rPr>
        <w:footnoteReference w:customMarkFollows="1" w:id="75"/>
        <w:t>f</w:t>
      </w:r>
      <w:r>
        <w:rPr/>
        <w:t xml:space="preserve"> versteckt, </w:t>
      </w:r>
      <w:r>
        <w:rPr>
          <w:color w:val="808080"/>
        </w:rPr>
        <w:t>(Flachs des Baumes)</w:t>
      </w:r>
      <w:r>
        <w:rPr/>
        <w:t xml:space="preserve"> </w:t>
      </w:r>
      <w:r>
        <w:rPr>
          <w:rStyle w:val="Funotenanker"/>
        </w:rPr>
        <w:footnoteReference w:customMarkFollows="1" w:id="76"/>
        <w:t>g</w:t>
      </w:r>
      <w:r>
        <w:rPr/>
        <w:t>, das von ihr auf dem Dach angeordnet worden war</w:t>
      </w:r>
      <w:r>
        <w:rPr>
          <w:rStyle w:val="Funotenanker"/>
        </w:rPr>
        <w:footnoteReference w:customMarkFollows="1" w:id="77"/>
        <w:t>h</w:t>
      </w:r>
      <w:r>
        <w:rPr/>
        <w:t xml:space="preserve"> </w:t>
      </w:r>
      <w:r>
        <w:rPr>
          <w:rStyle w:val="Funotenanker"/>
        </w:rPr>
        <w:footnoteReference w:customMarkFollows="1" w:id="78"/>
        <w:t>i</w:t>
      </w:r>
      <w:r>
        <w:rPr/>
        <w:t>.</w:t>
      </w:r>
      <w:r>
        <w:rPr>
          <w:rStyle w:val="Funotenanker"/>
        </w:rPr>
        <w:footnoteReference w:customMarkFollows="1" w:id="79"/>
        <w:t>j</w:t>
      </w:r>
      <w:r>
        <w:rPr/>
        <w:t xml:space="preserve"> {{field-off:bible}} </w:t>
        <w:br/>
        <w:t>[[@BibleTOBIBLE:Jos 2:7]]</w:t>
      </w:r>
      <w:r>
        <w:rPr>
          <w:b/>
        </w:rPr>
        <w:t>7</w:t>
      </w:r>
      <w:r>
        <w:rPr/>
        <w:t xml:space="preserve"> {{field-on:bible}}Da </w:t>
      </w:r>
      <w:r>
        <w:rPr>
          <w:color w:val="808080"/>
        </w:rPr>
        <w:t>(und)</w:t>
      </w:r>
      <w:r>
        <w:rPr/>
        <w:t xml:space="preserve"> </w:t>
      </w:r>
      <w:r>
        <w:rPr>
          <w:rStyle w:val="Funotenanker"/>
        </w:rPr>
        <w:footnoteReference w:customMarkFollows="1" w:id="80"/>
        <w:t>k</w:t>
      </w:r>
      <w:r>
        <w:rPr/>
        <w:t xml:space="preserve"> folgten die Männer ihnen die Straße </w:t>
      </w:r>
      <w:r>
        <w:rPr>
          <w:b/>
          <w:color w:val="808080"/>
        </w:rPr>
        <w:t>[</w:t>
      </w:r>
      <w:r>
        <w:rPr/>
        <w:t>entlang zum</w:t>
      </w:r>
      <w:r>
        <w:rPr>
          <w:b/>
          <w:color w:val="808080"/>
        </w:rPr>
        <w:t>]</w:t>
      </w:r>
      <w:r>
        <w:rPr/>
        <w:t xml:space="preserve"> Jordan bis zu den Furten.</w:t>
      </w:r>
      <w:r>
        <w:rPr>
          <w:rStyle w:val="Funotenanker"/>
        </w:rPr>
        <w:footnoteReference w:customMarkFollows="1" w:id="81"/>
        <w:t>l</w:t>
      </w:r>
      <w:r>
        <w:rPr/>
        <w:t xml:space="preserve"> Aber </w:t>
      </w:r>
      <w:r>
        <w:rPr>
          <w:color w:val="808080"/>
        </w:rPr>
        <w:t>(und)</w:t>
      </w:r>
      <w:r>
        <w:rPr/>
        <w:t xml:space="preserve"> sie </w:t>
      </w:r>
      <w:r>
        <w:rPr>
          <w:color w:val="808080"/>
        </w:rPr>
        <w:t>(man)</w:t>
      </w:r>
      <w:r>
        <w:rPr/>
        <w:t xml:space="preserve"> schlossen das Tor hinter sich </w:t>
      </w:r>
      <w:r>
        <w:rPr>
          <w:color w:val="808080"/>
        </w:rPr>
        <w:t>(ihnen)</w:t>
      </w:r>
      <w:r>
        <w:rPr/>
        <w:t xml:space="preserve">, als sie hinausgingen </w:t>
      </w:r>
      <w:r>
        <w:rPr>
          <w:color w:val="808080"/>
        </w:rPr>
        <w:t>(hinausgegangen waren)</w:t>
      </w:r>
      <w:r>
        <w:rPr/>
        <w:t xml:space="preserve"> </w:t>
      </w:r>
      <w:r>
        <w:rPr>
          <w:b/>
          <w:color w:val="808080"/>
        </w:rPr>
        <w:t>[</w:t>
      </w:r>
      <w:r>
        <w:rPr/>
        <w:t>und</w:t>
      </w:r>
      <w:r>
        <w:rPr>
          <w:b/>
          <w:color w:val="808080"/>
        </w:rPr>
        <w:t>]</w:t>
      </w:r>
      <w:r>
        <w:rPr/>
        <w:t xml:space="preserve"> hinter ihnen herliefen </w:t>
      </w:r>
      <w:r>
        <w:rPr>
          <w:color w:val="808080"/>
        </w:rPr>
        <w:t>(verfolgten, suchten)</w:t>
      </w:r>
      <w:r>
        <w:rPr/>
        <w:t xml:space="preserve"> </w:t>
      </w:r>
      <w:r>
        <w:rPr>
          <w:rStyle w:val="Funotenanker"/>
        </w:rPr>
        <w:footnoteReference w:customMarkFollows="1" w:id="82"/>
        <w:t>m</w:t>
      </w:r>
      <w:r>
        <w:rPr/>
        <w:t>.</w:t>
      </w:r>
      <w:r>
        <w:rPr>
          <w:rStyle w:val="Funotenanker"/>
        </w:rPr>
        <w:footnoteReference w:customMarkFollows="1" w:id="83"/>
        <w:t>n</w:t>
      </w:r>
      <w:r>
        <w:rPr/>
        <w:t xml:space="preserve"> {{field-off:bible}} </w:t>
        <w:br/>
        <w:t>[[@BibleTOBIBLE:Jos 2:8]]</w:t>
      </w:r>
      <w:r>
        <w:rPr>
          <w:b/>
        </w:rPr>
        <w:t>8</w:t>
      </w:r>
      <w:r>
        <w:rPr/>
        <w:t xml:space="preserve"> {{field-on:bible}}Aber </w:t>
      </w:r>
      <w:r>
        <w:rPr>
          <w:color w:val="808080"/>
        </w:rPr>
        <w:t>(und)</w:t>
      </w:r>
      <w:r>
        <w:rPr/>
        <w:t xml:space="preserve"> bevor sie sich schlafen legten, </w:t>
      </w:r>
      <w:r>
        <w:rPr>
          <w:strike/>
          <w:color w:val="808080"/>
        </w:rPr>
        <w:t>{und}</w:t>
      </w:r>
      <w:r>
        <w:rPr/>
        <w:t xml:space="preserve"> ging </w:t>
      </w:r>
      <w:r>
        <w:rPr>
          <w:b/>
          <w:color w:val="808080"/>
        </w:rPr>
        <w:t>[</w:t>
      </w:r>
      <w:r>
        <w:rPr/>
        <w:t>Rahab</w:t>
      </w:r>
      <w:r>
        <w:rPr>
          <w:b/>
          <w:color w:val="808080"/>
        </w:rPr>
        <w:t>]</w:t>
      </w:r>
      <w:r>
        <w:rPr/>
        <w:t xml:space="preserve">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dass Angst vor euch uns befallen</w:t>
      </w:r>
      <w:r>
        <w:rPr>
          <w:rStyle w:val="Funotenanker"/>
        </w:rPr>
        <w:footnoteReference w:customMarkFollows="1" w:id="84"/>
        <w:t>o</w:t>
      </w:r>
      <w:r>
        <w:rPr/>
        <w:t xml:space="preserve"> hat, und dass alle Bewohner des Landes vor eurem Anblick </w:t>
      </w:r>
      <w:r>
        <w:rPr>
          <w:color w:val="808080"/>
        </w:rPr>
        <w:t>(Gesicht)</w:t>
      </w:r>
      <w:r>
        <w:rPr/>
        <w:t xml:space="preserve"> vergehen </w:t>
      </w:r>
      <w:r>
        <w:rPr>
          <w:color w:val="808080"/>
        </w:rPr>
        <w:t>(erzittern; schmelzen)</w:t>
      </w:r>
      <w:r>
        <w:rPr/>
        <w:t xml:space="preserve"> </w:t>
      </w:r>
      <w:r>
        <w:rPr>
          <w:rStyle w:val="Funotenanker"/>
        </w:rPr>
        <w:footnoteReference w:customMarkFollows="1" w:id="85"/>
        <w:t>p</w:t>
      </w:r>
      <w:r>
        <w:rPr/>
        <w:t xml:space="preserve">.{{field-off:bible}}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w:t>
      </w:r>
      <w:r>
        <w:rPr>
          <w:b/>
          <w:color w:val="808080"/>
        </w:rPr>
        <w:t>[</w:t>
      </w:r>
      <w:r>
        <w:rPr/>
        <w:t>herrschten</w:t>
      </w:r>
      <w:r>
        <w:rPr>
          <w:b/>
          <w:color w:val="808080"/>
        </w:rPr>
        <w:t>]</w:t>
      </w:r>
      <w:r>
        <w:rPr/>
        <w:t xml:space="preserve">, Sihon und Og, an denen ihr den Bann vollstreckt </w:t>
      </w:r>
      <w:r>
        <w:rPr>
          <w:color w:val="808080"/>
        </w:rPr>
        <w:t>(die ihr völlig vernichtet)</w:t>
      </w:r>
      <w:r>
        <w:rPr/>
        <w:t xml:space="preserve"> </w:t>
      </w:r>
      <w:r>
        <w:rPr>
          <w:rStyle w:val="Funotenanker"/>
        </w:rPr>
        <w:footnoteReference w:customMarkFollows="1" w:id="86"/>
        <w:t>q</w:t>
      </w:r>
      <w:r>
        <w:rPr/>
        <w:t xml:space="preserve"> habt.{{field-off:bible}} </w:t>
        <w:br/>
        <w:t>[[@BibleTOBIBLE:Jos 2:11]]</w:t>
      </w:r>
      <w:r>
        <w:rPr>
          <w:b/>
        </w:rPr>
        <w:t>11</w:t>
      </w:r>
      <w:r>
        <w:rPr/>
        <w:t xml:space="preserve"> {{field-on:bible}}Als </w:t>
      </w:r>
      <w:r>
        <w:rPr>
          <w:color w:val="808080"/>
        </w:rPr>
        <w:t>(und)</w:t>
      </w:r>
      <w:r>
        <w:rPr/>
        <w:t xml:space="preserve"> wir </w:t>
      </w:r>
      <w:r>
        <w:rPr>
          <w:b/>
          <w:color w:val="808080"/>
        </w:rPr>
        <w:t>[</w:t>
      </w:r>
      <w:r>
        <w:rPr/>
        <w:t>das</w:t>
      </w:r>
      <w:r>
        <w:rPr>
          <w:b/>
          <w:color w:val="808080"/>
        </w:rPr>
        <w:t>]</w:t>
      </w:r>
      <w:r>
        <w:rPr/>
        <w:t xml:space="preserve"> hörten, </w:t>
      </w:r>
      <w:r>
        <w:rPr>
          <w:strike/>
          <w:color w:val="808080"/>
        </w:rPr>
        <w:t>{und}</w:t>
      </w:r>
      <w:r>
        <w:rPr/>
        <w:t xml:space="preserve"> zerfloss unser Herz und kein Atem </w:t>
      </w:r>
      <w:r>
        <w:rPr>
          <w:color w:val="808080"/>
        </w:rPr>
        <w:t>(Geist)</w:t>
      </w:r>
      <w:r>
        <w:rPr/>
        <w:t xml:space="preserve"> war mehr in irgendeinem</w:t>
      </w:r>
      <w:r>
        <w:rPr>
          <w:rStyle w:val="Funotenanker"/>
        </w:rPr>
        <w:footnoteReference w:customMarkFollows="1" w:id="87"/>
        <w:t>r</w:t>
      </w:r>
      <w:r>
        <w:rPr/>
        <w:t xml:space="preserve"> </w:t>
      </w:r>
      <w:r>
        <w:rPr>
          <w:b/>
          <w:color w:val="808080"/>
        </w:rPr>
        <w:t>[</w:t>
      </w:r>
      <w:r>
        <w:rPr/>
        <w:t>von uns</w:t>
      </w:r>
      <w:r>
        <w:rPr>
          <w:b/>
          <w:color w:val="808080"/>
        </w:rPr>
        <w:t>]</w:t>
      </w:r>
      <w:r>
        <w:rPr/>
        <w:t xml:space="preserve"> wegen euch. Denn </w:t>
      </w:r>
      <w:r>
        <w:rPr>
          <w:smallCaps/>
          <w:color w:val="FF0000"/>
        </w:rPr>
        <w:t>JHWH</w:t>
      </w:r>
      <w:r>
        <w:rPr/>
        <w:t xml:space="preserve">, euer Gott, ist Gott im Himmel oben und auf der Erde unten.{{field-off:bible}} </w:t>
        <w:br/>
        <w:t>[[@BibleTOBIBLE:Jos 2:12]]</w:t>
      </w:r>
      <w:r>
        <w:rPr>
          <w:b/>
        </w:rPr>
        <w:t>12</w:t>
      </w:r>
      <w:r>
        <w:rPr/>
        <w:t xml:space="preserve"> {{field-on:bible}}Und jetzt schwört mir doch bei </w:t>
      </w:r>
      <w:r>
        <w:rPr>
          <w:color w:val="808080"/>
        </w:rPr>
        <w:t>(auf)</w:t>
      </w:r>
      <w:r>
        <w:rPr/>
        <w:t xml:space="preserve"> </w:t>
      </w:r>
      <w:r>
        <w:rPr>
          <w:smallCaps/>
          <w:color w:val="FF0000"/>
        </w:rPr>
        <w:t>JHWH</w:t>
      </w:r>
      <w:r>
        <w:rPr/>
        <w:t xml:space="preserve">! Wie </w:t>
      </w:r>
      <w:r>
        <w:rPr>
          <w:color w:val="808080"/>
        </w:rPr>
        <w:t>(da)</w:t>
      </w:r>
      <w:r>
        <w:rPr/>
        <w:t xml:space="preserve"> ich an euch Güte </w:t>
      </w:r>
      <w:r>
        <w:rPr>
          <w:color w:val="808080"/>
        </w:rPr>
        <w:t>(Barmherzigkeit)</w:t>
      </w:r>
      <w:r>
        <w:rPr/>
        <w:t xml:space="preserve"> erwiesen </w:t>
      </w:r>
      <w:r>
        <w:rPr>
          <w:color w:val="808080"/>
        </w:rPr>
        <w:t>(getan)</w:t>
      </w:r>
      <w:r>
        <w:rPr/>
        <w:t xml:space="preserve"> habe, so </w:t>
      </w:r>
      <w:r>
        <w:rPr>
          <w:color w:val="808080"/>
        </w:rPr>
        <w:t>(und)</w:t>
      </w:r>
      <w:r>
        <w:rPr/>
        <w:t xml:space="preserve"> müsst </w:t>
      </w:r>
      <w:r>
        <w:rPr>
          <w:color w:val="808080"/>
        </w:rPr>
        <w:t>(sollt)</w:t>
      </w:r>
      <w:r>
        <w:rPr/>
        <w:t xml:space="preserve"> auch ihr am Haus meines Vater Güte erweisen </w:t>
      </w:r>
      <w:r>
        <w:rPr>
          <w:color w:val="808080"/>
        </w:rPr>
        <w:t>(tun)</w:t>
      </w:r>
      <w:r>
        <w:rPr/>
        <w:t xml:space="preserve"> und mir ein Zeichen der Ehrlichkeit </w:t>
      </w:r>
      <w:r>
        <w:rPr>
          <w:color w:val="808080"/>
        </w:rPr>
        <w:t>(Wahrheit, Treue)</w:t>
      </w:r>
      <w:r>
        <w:rPr/>
        <w:t xml:space="preserve"> geben:{{field-off:bible}} </w:t>
        <w:br/>
        <w:t>[[@BibleTOBIBLE:Jos 2:13]]</w:t>
      </w:r>
      <w:r>
        <w:rPr>
          <w:b/>
        </w:rPr>
        <w:t>13</w:t>
      </w:r>
      <w:r>
        <w:rPr/>
        <w:t xml:space="preserve"> {{field-on:bible}} </w:t>
      </w:r>
      <w:r>
        <w:rPr>
          <w:b/>
          <w:color w:val="808080"/>
        </w:rPr>
        <w:t>[</w:t>
      </w:r>
      <w:r>
        <w:rPr/>
        <w:t>Schwört mir,</w:t>
      </w:r>
      <w:r>
        <w:rPr>
          <w:b/>
          <w:color w:val="808080"/>
        </w:rPr>
        <w:t>]</w:t>
      </w:r>
      <w:r>
        <w:rPr/>
        <w:t xml:space="preserve"> dass </w:t>
      </w:r>
      <w:r>
        <w:rPr>
          <w:color w:val="808080"/>
        </w:rPr>
        <w:t>(und)</w:t>
      </w:r>
      <w:r>
        <w:rPr/>
        <w:t xml:space="preserve"> ihr meinen Vater und meine Mutter, </w:t>
      </w:r>
      <w:r>
        <w:rPr>
          <w:strike/>
          <w:color w:val="808080"/>
        </w:rPr>
        <w:t>{und}</w:t>
      </w:r>
      <w:r>
        <w:rPr/>
        <w:t xml:space="preserve"> Brüder, </w:t>
      </w:r>
      <w:r>
        <w:rPr>
          <w:strike/>
          <w:color w:val="808080"/>
        </w:rPr>
        <w:t>{und}</w:t>
      </w:r>
      <w:r>
        <w:rPr/>
        <w:t xml:space="preserve"> Schwestern und alles, was </w:t>
      </w:r>
      <w:r>
        <w:rPr>
          <w:color w:val="808080"/>
        </w:rPr>
        <w:t>(alle, die zu)</w:t>
      </w:r>
      <w:r>
        <w:rPr/>
        <w:t xml:space="preserve"> ihnen </w:t>
      </w:r>
      <w:r>
        <w:rPr>
          <w:b/>
          <w:color w:val="808080"/>
        </w:rPr>
        <w:t>[</w:t>
      </w:r>
      <w:r>
        <w:rPr/>
        <w:t>gehört</w:t>
      </w:r>
      <w:r>
        <w:rPr>
          <w:b/>
          <w:color w:val="808080"/>
        </w:rPr>
        <w:t>]</w:t>
      </w:r>
      <w:r>
        <w:rPr/>
        <w:t xml:space="preserve">, am Leben lasst und unsere Leben vor </w:t>
      </w:r>
      <w:r>
        <w:rPr>
          <w:color w:val="808080"/>
        </w:rPr>
        <w:t>(aus)</w:t>
      </w:r>
      <w:r>
        <w:rPr/>
        <w:t xml:space="preserve"> dem Tod rettet!“{{field-off:bible}} </w:t>
        <w:br/>
        <w:t>[[@BibleTOBIBLE:Jos 2:14]]</w:t>
      </w:r>
      <w:r>
        <w:rPr>
          <w:b/>
        </w:rPr>
        <w:t>14</w:t>
      </w:r>
      <w:r>
        <w:rPr/>
        <w:t xml:space="preserve"> {{field-on:bible}}Da sagten die Männer zu ihr: „Unser Leben für </w:t>
      </w:r>
      <w:r>
        <w:rPr>
          <w:color w:val="808080"/>
        </w:rPr>
        <w:t>(anstelle)</w:t>
      </w:r>
      <w:r>
        <w:rPr/>
        <w:t xml:space="preserve"> euch, </w:t>
      </w:r>
      <w:r>
        <w:rPr>
          <w:b/>
          <w:color w:val="808080"/>
        </w:rPr>
        <w:t>[</w:t>
      </w:r>
      <w:r>
        <w:rPr/>
        <w:t>wenn</w:t>
      </w:r>
      <w:r>
        <w:rPr>
          <w:b/>
          <w:color w:val="808080"/>
        </w:rPr>
        <w:t>]</w:t>
      </w:r>
      <w:r>
        <w:rPr/>
        <w:t xml:space="preserve"> ihr sterbt!</w:t>
      </w:r>
      <w:r>
        <w:rPr>
          <w:rStyle w:val="Funotenanker"/>
        </w:rPr>
        <w:footnoteReference w:customMarkFollows="1" w:id="88"/>
        <w:t>s</w:t>
      </w:r>
      <w:r>
        <w:rPr/>
        <w:t xml:space="preserve"> Wenn</w:t>
      </w:r>
      <w:r>
        <w:rPr>
          <w:rStyle w:val="Funotenanker"/>
        </w:rPr>
        <w:footnoteReference w:customMarkFollows="1" w:id="89"/>
        <w:t>t</w:t>
      </w:r>
      <w:r>
        <w:rPr/>
        <w:t xml:space="preserve"> ihr diese unsere Sache </w:t>
      </w:r>
      <w:r>
        <w:rPr>
          <w:color w:val="808080"/>
        </w:rPr>
        <w:t>(Angelegenheit)</w:t>
      </w:r>
      <w:r>
        <w:rPr/>
        <w:t xml:space="preserve"> nicht meldet, und </w:t>
      </w:r>
      <w:r>
        <w:rPr>
          <w:strike/>
          <w:color w:val="808080"/>
        </w:rPr>
        <w:t>{es wird geschehen}</w:t>
      </w:r>
      <w:r>
        <w:rPr/>
        <w:t xml:space="preserve"> sobald </w:t>
      </w:r>
      <w:r>
        <w:rPr>
          <w:color w:val="808080"/>
        </w:rPr>
        <w:t>(wenn)</w:t>
      </w:r>
      <w:r>
        <w:rPr/>
        <w:t xml:space="preserve"> </w:t>
      </w:r>
      <w:r>
        <w:rPr>
          <w:rStyle w:val="Funotenanker"/>
        </w:rPr>
        <w:footnoteReference w:customMarkFollows="1" w:id="90"/>
        <w:t>u</w:t>
      </w:r>
      <w:r>
        <w:rPr/>
        <w:t xml:space="preserve"> </w:t>
      </w:r>
      <w:r>
        <w:rPr>
          <w:smallCaps/>
          <w:color w:val="FF0000"/>
        </w:rPr>
        <w:t>JHWH</w:t>
      </w:r>
      <w:r>
        <w:rPr/>
        <w:t xml:space="preserve"> uns das Land gibt, dann </w:t>
      </w:r>
      <w:r>
        <w:rPr>
          <w:color w:val="808080"/>
        </w:rPr>
        <w:t>(und)</w:t>
      </w:r>
      <w:r>
        <w:rPr/>
        <w:t xml:space="preserve"> werden wir an dir Güte </w:t>
      </w:r>
      <w:r>
        <w:rPr>
          <w:color w:val="808080"/>
        </w:rPr>
        <w:t>(Barmherzigkeit)</w:t>
      </w:r>
      <w:r>
        <w:rPr/>
        <w:t xml:space="preserve"> und Ehrlichkeit </w:t>
      </w:r>
      <w:r>
        <w:rPr>
          <w:color w:val="808080"/>
        </w:rPr>
        <w:t>(Wahrheit)</w:t>
      </w:r>
      <w:r>
        <w:rPr/>
        <w:t xml:space="preserve"> erweisen </w:t>
      </w:r>
      <w:r>
        <w:rPr>
          <w:color w:val="808080"/>
        </w:rPr>
        <w:t>(tun)</w:t>
      </w:r>
      <w:r>
        <w:rPr/>
        <w:t xml:space="preserve">.“{{field-off:bible}} </w:t>
        <w:br/>
        <w:t>[[@BibleTOBIBLE:Jos 2:15]]</w:t>
      </w:r>
      <w:r>
        <w:rPr>
          <w:b/>
        </w:rPr>
        <w:t>15</w:t>
      </w:r>
      <w:r>
        <w:rPr/>
        <w:t xml:space="preserve"> {{field-on:bible}}Darauf </w:t>
      </w:r>
      <w:r>
        <w:rPr>
          <w:color w:val="808080"/>
        </w:rPr>
        <w:t>(und)</w:t>
      </w:r>
      <w:r>
        <w:rPr/>
        <w:t xml:space="preserve"> ließ sie sie an einem Seil hinab durch das Fenster, denn ihr Haus </w:t>
      </w:r>
      <w:r>
        <w:rPr>
          <w:b/>
          <w:color w:val="808080"/>
        </w:rPr>
        <w:t>[</w:t>
      </w:r>
      <w:r>
        <w:rPr/>
        <w:t>war</w:t>
      </w:r>
      <w:r>
        <w:rPr>
          <w:b/>
          <w:color w:val="808080"/>
        </w:rPr>
        <w:t>]</w:t>
      </w:r>
      <w:r>
        <w:rPr/>
        <w:t xml:space="preserve"> in der Wand der Stadtmauer, sie wohnte also </w:t>
      </w:r>
      <w:r>
        <w:rPr>
          <w:color w:val="808080"/>
        </w:rPr>
        <w:t>(so dass, und)</w:t>
      </w:r>
      <w:r>
        <w:rPr/>
        <w:t xml:space="preserve"> in der Stadtmauer.{{field-off:bible}} </w:t>
        <w:br/>
        <w:t>[[@BibleTOBIBLE:Jos 2:16]]</w:t>
      </w:r>
      <w:r>
        <w:rPr>
          <w:b/>
        </w:rPr>
        <w:t>16</w:t>
      </w:r>
      <w:r>
        <w:rPr/>
        <w:t xml:space="preserve"> {{field-on:bible}}Und </w:t>
      </w:r>
      <w:r>
        <w:rPr>
          <w:color w:val="808080"/>
        </w:rPr>
        <w:t>(da)</w:t>
      </w:r>
      <w:r>
        <w:rPr/>
        <w:t xml:space="preserve"> sie sagte zu ihnen: „Geht in das Hügelland </w:t>
      </w:r>
      <w:r>
        <w:rPr>
          <w:color w:val="808080"/>
        </w:rPr>
        <w:t>(Gebirge; zum Hügel/Berg)</w:t>
      </w:r>
      <w:r>
        <w:rPr/>
        <w:t xml:space="preserve">, damit </w:t>
      </w:r>
      <w:r>
        <w:rPr>
          <w:b/>
          <w:color w:val="808080"/>
        </w:rPr>
        <w:t>[</w:t>
      </w:r>
      <w:r>
        <w:rPr/>
        <w:t>eure</w:t>
      </w:r>
      <w:r>
        <w:rPr>
          <w:b/>
          <w:color w:val="808080"/>
        </w:rPr>
        <w:t>]</w:t>
      </w:r>
      <w:r>
        <w:rPr/>
        <w:t xml:space="preserve"> Verfolger nicht auf euch stoßen, und versteckt euch dort </w:t>
      </w:r>
      <w:r>
        <w:rPr>
          <w:b/>
          <w:color w:val="808080"/>
        </w:rPr>
        <w:t>[</w:t>
      </w:r>
      <w:r>
        <w:rPr/>
        <w:t>für</w:t>
      </w:r>
      <w:r>
        <w:rPr>
          <w:b/>
          <w:color w:val="808080"/>
        </w:rPr>
        <w:t>]</w:t>
      </w:r>
      <w:r>
        <w:rPr/>
        <w:t xml:space="preserve"> drei Tage, bis die Verfolger umkehren. </w:t>
      </w:r>
      <w:r>
        <w:rPr>
          <w:strike/>
          <w:color w:val="808080"/>
        </w:rPr>
        <w:t>{und}</w:t>
      </w:r>
      <w:r>
        <w:rPr/>
        <w:t xml:space="preserve"> Danach könnt ihr euren Weg gehen.“{{field-off:bible}} </w:t>
        <w:br/>
        <w:t>[[@BibleTOBIBLE:Jos 2:17]]</w:t>
      </w:r>
      <w:r>
        <w:rPr>
          <w:b/>
        </w:rPr>
        <w:t>17</w:t>
      </w:r>
      <w:r>
        <w:rPr/>
        <w:t xml:space="preserve"> {{field-on:bible}}Da sagten die Männer zu ihr: „Wir </w:t>
      </w:r>
      <w:r>
        <w:rPr>
          <w:b/>
          <w:color w:val="808080"/>
        </w:rPr>
        <w:t>[</w:t>
      </w:r>
      <w:r>
        <w:rPr/>
        <w:t>werden</w:t>
      </w:r>
      <w:r>
        <w:rPr>
          <w:b/>
          <w:color w:val="808080"/>
        </w:rPr>
        <w:t>]</w:t>
      </w:r>
      <w:r>
        <w:rPr/>
        <w:t xml:space="preserve"> unschuldig in Bezug auf </w:t>
      </w:r>
      <w:r>
        <w:rPr>
          <w:color w:val="808080"/>
        </w:rPr>
        <w:t>(von)</w:t>
      </w:r>
      <w:r>
        <w:rPr/>
        <w:t xml:space="preserve"> diesen Eid </w:t>
      </w:r>
      <w:r>
        <w:rPr>
          <w:b/>
          <w:color w:val="808080"/>
        </w:rPr>
        <w:t>[</w:t>
      </w:r>
      <w:r>
        <w:rPr/>
        <w:t>sein</w:t>
      </w:r>
      <w:r>
        <w:rPr>
          <w:b/>
          <w:color w:val="808080"/>
        </w:rPr>
        <w:t>]</w:t>
      </w:r>
      <w:r>
        <w:rPr/>
        <w:t>, den du uns hast schwören lassen.</w:t>
      </w:r>
      <w:r>
        <w:rPr>
          <w:rStyle w:val="Funotenanker"/>
        </w:rPr>
        <w:footnoteReference w:customMarkFollows="1" w:id="91"/>
        <w:t>v</w:t>
      </w:r>
      <w:r>
        <w:rPr/>
        <w:t xml:space="preserve"> {{field-off:bible}} </w:t>
        <w:br/>
        <w:t>[[@BibleTOBIBLE:Jos 2:18]]</w:t>
      </w:r>
      <w:r>
        <w:rPr>
          <w:b/>
        </w:rPr>
        <w:t>18</w:t>
      </w:r>
      <w:r>
        <w:rPr/>
        <w:t xml:space="preserve"> {{field-on:bible}}Wenn</w:t>
      </w:r>
      <w:r>
        <w:rPr>
          <w:rStyle w:val="Funotenanker"/>
        </w:rPr>
        <w:footnoteReference w:customMarkFollows="1" w:id="92"/>
        <w:t>w</w:t>
      </w:r>
      <w:r>
        <w:rPr/>
        <w:t xml:space="preserve"> wir in das Land kommen, musst </w:t>
      </w:r>
      <w:r>
        <w:rPr>
          <w:color w:val="808080"/>
        </w:rPr>
        <w:t>(sollst)</w:t>
      </w:r>
      <w:r>
        <w:rPr/>
        <w:t xml:space="preserve"> du diese Schnur </w:t>
      </w:r>
      <w:r>
        <w:rPr>
          <w:color w:val="808080"/>
        </w:rPr>
        <w:t>(Seil)</w:t>
      </w:r>
      <w:r>
        <w:rPr/>
        <w:t xml:space="preserve"> </w:t>
      </w:r>
      <w:r>
        <w:rPr>
          <w:b/>
          <w:color w:val="808080"/>
        </w:rPr>
        <w:t>[</w:t>
      </w:r>
      <w:r>
        <w:rPr/>
        <w:t>aus</w:t>
      </w:r>
      <w:r>
        <w:rPr>
          <w:b/>
          <w:color w:val="808080"/>
        </w:rPr>
        <w:t>]</w:t>
      </w:r>
      <w:r>
        <w:rPr/>
        <w:t xml:space="preserve"> scharlachrotem</w:t>
      </w:r>
      <w:r>
        <w:rPr>
          <w:rStyle w:val="Funotenanker"/>
        </w:rPr>
        <w:footnoteReference w:customMarkFollows="1" w:id="93"/>
        <w:t>x</w:t>
      </w:r>
      <w:r>
        <w:rPr/>
        <w:t xml:space="preserve"> Faden in das Fenster binden, </w:t>
      </w:r>
      <w:r>
        <w:rPr>
          <w:b/>
          <w:color w:val="808080"/>
        </w:rPr>
        <w:t>[</w:t>
      </w:r>
      <w:r>
        <w:rPr/>
        <w:t>durch</w:t>
      </w:r>
      <w:r>
        <w:rPr>
          <w:b/>
          <w:color w:val="808080"/>
        </w:rPr>
        <w:t>]</w:t>
      </w:r>
      <w:r>
        <w:rPr/>
        <w:t xml:space="preserve"> das du uns hinabgelassen hast, und deinen Vater, </w:t>
      </w:r>
      <w:r>
        <w:rPr>
          <w:strike/>
          <w:color w:val="808080"/>
        </w:rPr>
        <w:t>{und}</w:t>
      </w:r>
      <w:r>
        <w:rPr/>
        <w:t xml:space="preserve"> deine Mutter und deine Geschwister </w:t>
      </w:r>
      <w:r>
        <w:rPr>
          <w:color w:val="808080"/>
        </w:rPr>
        <w:t>(Brüder)</w:t>
      </w:r>
      <w:r>
        <w:rPr/>
        <w:t xml:space="preserve"> und die gesamte Hausgemeinschaft </w:t>
      </w:r>
      <w:r>
        <w:rPr>
          <w:color w:val="808080"/>
        </w:rPr>
        <w:t>(Haus)</w:t>
      </w:r>
      <w:r>
        <w:rPr/>
        <w:t xml:space="preserve"> deines Vaters zu dir in das Haus holen </w:t>
      </w:r>
      <w:r>
        <w:rPr>
          <w:color w:val="808080"/>
        </w:rPr>
        <w:t>(versammeln)</w:t>
      </w:r>
      <w:r>
        <w:rPr/>
        <w:t xml:space="preserve">.{{field-off:bible}} </w:t>
        <w:br/>
        <w:t>[[@BibleTOBIBLE:Jos 2:19]]</w:t>
      </w:r>
      <w:r>
        <w:rPr>
          <w:b/>
        </w:rPr>
        <w:t>19</w:t>
      </w:r>
      <w:r>
        <w:rPr/>
        <w:t xml:space="preserve"> {{field-on:bible}}Aber </w:t>
      </w:r>
      <w:r>
        <w:rPr>
          <w:color w:val="808080"/>
        </w:rPr>
        <w:t>(und)</w:t>
      </w:r>
      <w:r>
        <w:rPr/>
        <w:t xml:space="preserve"> </w:t>
      </w:r>
      <w:r>
        <w:rPr>
          <w:strike/>
          <w:color w:val="808080"/>
        </w:rPr>
        <w:t>{es wird geschehen}</w:t>
      </w:r>
      <w:r>
        <w:rPr/>
        <w:t xml:space="preserve"> jeder, der durch die Tür deines Hauses </w:t>
      </w:r>
      <w:r>
        <w:rPr>
          <w:strike/>
          <w:color w:val="808080"/>
        </w:rPr>
        <w:t>{hinaus}</w:t>
      </w:r>
      <w:r>
        <w:rPr/>
        <w:t xml:space="preserve"> nach draußen geht,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seinem Haupt sein</w:t>
      </w:r>
      <w:r>
        <w:rPr>
          <w:rStyle w:val="Funotenanker"/>
        </w:rPr>
        <w:footnoteReference w:customMarkFollows="1" w:id="94"/>
        <w:t>y</w:t>
      </w:r>
      <w:r>
        <w:rPr/>
        <w:t xml:space="preserve">, und </w:t>
      </w:r>
      <w:r>
        <w:rPr>
          <w:color w:val="808080"/>
        </w:rPr>
        <w:t>(dann, so dass)</w:t>
      </w:r>
      <w:r>
        <w:rPr/>
        <w:t xml:space="preserve"> wir werden unschuldig sein. Aber </w:t>
      </w:r>
      <w:r>
        <w:rPr>
          <w:color w:val="808080"/>
        </w:rPr>
        <w:t>(und)</w:t>
      </w:r>
      <w:r>
        <w:rPr/>
        <w:t xml:space="preserve"> jeder, der bei dir im Haus sein wird,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unserem Haupt sein, wenn Hand an ihn gelegt wird</w:t>
      </w:r>
      <w:r>
        <w:rPr>
          <w:rStyle w:val="Funotenanker"/>
        </w:rPr>
        <w:footnoteReference w:customMarkFollows="1" w:id="95"/>
        <w:t>z</w:t>
      </w:r>
      <w:r>
        <w:rPr/>
        <w:t xml:space="preserve">.{{field-off:bible}} </w:t>
        <w:br/>
        <w:t>[[@BibleTOBIBLE:Jos 2:20]]</w:t>
      </w:r>
      <w:r>
        <w:rPr>
          <w:b/>
        </w:rPr>
        <w:t>20</w:t>
      </w:r>
      <w:r>
        <w:rPr/>
        <w:t xml:space="preserve"> {{field-on:bible}}Doch </w:t>
      </w:r>
      <w:r>
        <w:rPr>
          <w:color w:val="808080"/>
        </w:rPr>
        <w:t>(und)</w:t>
      </w:r>
      <w:r>
        <w:rPr/>
        <w:t xml:space="preserve"> wenn du </w:t>
      </w:r>
      <w:r>
        <w:rPr>
          <w:strike/>
          <w:color w:val="808080"/>
        </w:rPr>
        <w:t>{diese}</w:t>
      </w:r>
      <w:r>
        <w:rPr/>
        <w:t xml:space="preserve"> unsere Angelegenheit </w:t>
      </w:r>
      <w:r>
        <w:rPr>
          <w:color w:val="808080"/>
        </w:rPr>
        <w:t>(Sache)</w:t>
      </w:r>
      <w:r>
        <w:rPr/>
        <w:t xml:space="preserve"> meldest, dann </w:t>
      </w:r>
      <w:r>
        <w:rPr>
          <w:color w:val="808080"/>
        </w:rPr>
        <w:t>(und)</w:t>
      </w:r>
      <w:r>
        <w:rPr/>
        <w:t xml:space="preserve"> werden wir unschuldig in Bezug auf deinen Eid sein, den du uns hast schwören lassen.“{{field-off:bible}} </w:t>
        <w:br/>
        <w:t>[[@BibleTOBIBLE:Jos 2:21]]</w:t>
      </w:r>
      <w:r>
        <w:rPr>
          <w:b/>
        </w:rPr>
        <w:t>21</w:t>
      </w:r>
      <w:r>
        <w:rPr/>
        <w:t xml:space="preserve"> {{field-on:bible}}Da </w:t>
      </w:r>
      <w:r>
        <w:rPr>
          <w:color w:val="808080"/>
        </w:rPr>
        <w:t>(und)</w:t>
      </w:r>
      <w:r>
        <w:rPr/>
        <w:t xml:space="preserve"> sagte sie: „Nach euren Worten, so </w:t>
      </w:r>
      <w:r>
        <w:rPr>
          <w:b/>
          <w:color w:val="808080"/>
        </w:rPr>
        <w:t>[</w:t>
      </w:r>
      <w:r>
        <w:rPr/>
        <w:t>sei</w:t>
      </w:r>
      <w:r>
        <w:rPr>
          <w:b/>
          <w:color w:val="808080"/>
        </w:rPr>
        <w:t>]</w:t>
      </w:r>
      <w:r>
        <w:rPr/>
        <w:t xml:space="preserve"> es </w:t>
      </w:r>
      <w:r>
        <w:rPr>
          <w:color w:val="808080"/>
        </w:rPr>
        <w:t>(soll es geschehen)</w:t>
      </w:r>
      <w:r>
        <w:rPr/>
        <w:t xml:space="preserve">.“ Dann </w:t>
      </w:r>
      <w:r>
        <w:rPr>
          <w:color w:val="808080"/>
        </w:rPr>
        <w:t>(und)</w:t>
      </w:r>
      <w:r>
        <w:rPr/>
        <w:t xml:space="preserve"> ließ sie sie gehen </w:t>
      </w:r>
      <w:r>
        <w:rPr>
          <w:color w:val="808080"/>
        </w:rPr>
        <w:t>(schickte sie fort)</w:t>
      </w:r>
      <w:r>
        <w:rPr/>
        <w:t xml:space="preserve">, und sie brachen auf </w:t>
      </w:r>
      <w:r>
        <w:rPr>
          <w:color w:val="808080"/>
        </w:rPr>
        <w:t>(gingen)</w:t>
      </w:r>
      <w:r>
        <w:rPr/>
        <w:t xml:space="preserve">, und sie band die rote Schnur in das Fenster.{{field-off:bible}} </w:t>
        <w:br/>
        <w:t>[[@BibleTOBIBLE:Jos 2:22]]</w:t>
      </w:r>
      <w:r>
        <w:rPr>
          <w:b/>
        </w:rPr>
        <w:t>22</w:t>
      </w:r>
      <w:r>
        <w:rPr/>
        <w:t xml:space="preserve"> {{field-on:bible}}Und sie brachen auf </w:t>
      </w:r>
      <w:r>
        <w:rPr>
          <w:color w:val="808080"/>
        </w:rPr>
        <w:t>(gingen)</w:t>
      </w:r>
      <w:r>
        <w:rPr/>
        <w:t xml:space="preserve"> und kamen in das Hügelland </w:t>
      </w:r>
      <w:r>
        <w:rPr>
          <w:color w:val="808080"/>
        </w:rPr>
        <w:t>(Gebirge; zum Hügel/Berg)</w:t>
      </w:r>
      <w:r>
        <w:rPr/>
        <w:t xml:space="preserve"> und blieben dort drei Tage </w:t>
      </w:r>
      <w:r>
        <w:rPr>
          <w:b/>
          <w:color w:val="808080"/>
        </w:rPr>
        <w:t>[</w:t>
      </w:r>
      <w:r>
        <w:rPr/>
        <w:t>lang</w:t>
      </w:r>
      <w:r>
        <w:rPr>
          <w:b/>
          <w:color w:val="808080"/>
        </w:rPr>
        <w:t>]</w:t>
      </w:r>
      <w:r>
        <w:rPr/>
        <w:t xml:space="preserve">, bis die Verfolger umgekehrt waren </w:t>
      </w:r>
      <w:r>
        <w:rPr>
          <w:color w:val="808080"/>
        </w:rPr>
        <w:t>(umkehrten)</w:t>
      </w:r>
      <w:r>
        <w:rPr/>
        <w:t xml:space="preserve"> und </w:t>
      </w:r>
      <w:r>
        <w:rPr>
          <w:b/>
          <w:color w:val="808080"/>
        </w:rPr>
        <w:t>[</w:t>
      </w:r>
      <w:r>
        <w:rPr/>
        <w:t>ihre</w:t>
      </w:r>
      <w:r>
        <w:rPr>
          <w:b/>
          <w:color w:val="808080"/>
        </w:rPr>
        <w:t>]</w:t>
      </w:r>
      <w:r>
        <w:rPr/>
        <w:t xml:space="preserve"> Verfolger sie auf der ganzen Strecke </w:t>
      </w:r>
      <w:r>
        <w:rPr>
          <w:color w:val="808080"/>
        </w:rPr>
        <w:t>(Straße)</w:t>
      </w:r>
      <w:r>
        <w:rPr/>
        <w:t xml:space="preserve"> gesucht und nicht gefunden hatten.{{field-off:bible}} </w:t>
        <w:br/>
        <w:t>[[@BibleTOBIBLE:Jos 2:23]]</w:t>
      </w:r>
      <w:r>
        <w:rPr>
          <w:b/>
        </w:rPr>
        <w:t>23</w:t>
      </w:r>
      <w:r>
        <w:rPr/>
        <w:t xml:space="preserve"> {{field-on:bible}}Daraufhin </w:t>
      </w:r>
      <w:r>
        <w:rPr>
          <w:color w:val="808080"/>
        </w:rPr>
        <w:t>(und)</w:t>
      </w:r>
      <w:r>
        <w:rPr/>
        <w:t xml:space="preserve"> kehrten die beiden Männer zurück und kamen aus dem Hügelland </w:t>
      </w:r>
      <w:r>
        <w:rPr>
          <w:color w:val="808080"/>
        </w:rPr>
        <w:t>(Gebirge; vom Hügel/Berg)</w:t>
      </w:r>
      <w:r>
        <w:rPr/>
        <w:t xml:space="preserve"> herab, </w:t>
      </w:r>
      <w:r>
        <w:rPr>
          <w:strike/>
          <w:color w:val="808080"/>
        </w:rPr>
        <w:t>{und}</w:t>
      </w:r>
      <w:r>
        <w:rPr/>
        <w:t xml:space="preserve"> überquerten und kamen zu Josua, dem Sohn Nuns. </w:t>
      </w:r>
      <w:r>
        <w:rPr>
          <w:strike/>
          <w:color w:val="808080"/>
        </w:rPr>
        <w:t>{und}</w:t>
      </w:r>
      <w:r>
        <w:rPr/>
        <w:t xml:space="preserve"> Sie erzählten ihm alles, </w:t>
      </w:r>
      <w:r>
        <w:rPr>
          <w:b/>
          <w:color w:val="808080"/>
        </w:rPr>
        <w:t>[</w:t>
      </w:r>
      <w:r>
        <w:rPr/>
        <w:t>was</w:t>
      </w:r>
      <w:r>
        <w:rPr>
          <w:b/>
          <w:color w:val="808080"/>
        </w:rPr>
        <w:t>]</w:t>
      </w:r>
      <w:r>
        <w:rPr/>
        <w:t xml:space="preserve"> sie dort gefunden hatten</w:t>
      </w:r>
      <w:r>
        <w:rPr>
          <w:rStyle w:val="Funotenanker"/>
        </w:rPr>
        <w:footnoteReference w:customMarkFollows="1" w:id="96"/>
        <w:t>aa</w:t>
      </w:r>
      <w:r>
        <w:rPr/>
        <w:t xml:space="preserve">.{{field-off:bible}} </w:t>
        <w:br/>
        <w:t>[[@BibleTOBIBLE:Jos 2:24]]</w:t>
      </w:r>
      <w:r>
        <w:rPr>
          <w:b/>
        </w:rPr>
        <w:t>24</w:t>
      </w:r>
      <w:r>
        <w:rPr/>
        <w:t xml:space="preserve"> {{field-on:bible}}Und sie sagten zu Josua: „Weil </w:t>
      </w:r>
      <w:r>
        <w:rPr>
          <w:smallCaps/>
          <w:color w:val="FF0000"/>
        </w:rPr>
        <w:t>JHWH</w:t>
      </w:r>
      <w:r>
        <w:rPr/>
        <w:t xml:space="preserve"> das ganze Land in unsere Gewalt </w:t>
      </w:r>
      <w:r>
        <w:rPr>
          <w:color w:val="808080"/>
        </w:rPr>
        <w:t>(Hand)</w:t>
      </w:r>
      <w:r>
        <w:rPr/>
        <w:t xml:space="preserve"> gegeben hat, </w:t>
      </w:r>
      <w:r>
        <w:rPr>
          <w:strike/>
          <w:color w:val="808080"/>
        </w:rPr>
        <w:t>{und}</w:t>
      </w:r>
      <w:r>
        <w:rPr/>
        <w:t xml:space="preserve"> sind </w:t>
      </w:r>
      <w:r>
        <w:rPr>
          <w:b/>
          <w:color w:val="808080"/>
        </w:rPr>
        <w:t>[</w:t>
      </w:r>
      <w:r>
        <w:rPr/>
        <w:t>jetzt</w:t>
      </w:r>
      <w:r>
        <w:rPr>
          <w:b/>
          <w:color w:val="808080"/>
        </w:rPr>
        <w:t>]</w:t>
      </w:r>
      <w:r>
        <w:rPr/>
        <w:t xml:space="preserve"> alle Bewohner des Landes verzagt </w:t>
      </w:r>
      <w:r>
        <w:rPr>
          <w:color w:val="808080"/>
        </w:rPr>
        <w:t>(erzittern; schmelzen)</w:t>
      </w:r>
      <w:r>
        <w:rPr/>
        <w:t xml:space="preserve"> </w:t>
      </w:r>
      <w:r>
        <w:rPr>
          <w:rStyle w:val="Funotenanker"/>
        </w:rPr>
        <w:footnoteReference w:customMarkFollows="1" w:id="97"/>
        <w:t>ab</w:t>
      </w:r>
      <w:r>
        <w:rPr/>
        <w:t xml:space="preserve"> vor uns </w:t>
      </w:r>
      <w:r>
        <w:rPr>
          <w:color w:val="808080"/>
        </w:rPr>
        <w:t>(unserem Anblick)</w:t>
      </w:r>
      <w:r>
        <w:rPr/>
        <w:t xml:space="preserve">.“{{field-off:bible}}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98"/>
        <w:t>Status</w:t>
      </w:r>
      <w:r>
        <w:rPr/>
        <w:t xml:space="preserve"> Und </w:t>
      </w:r>
      <w:r>
        <w:rPr>
          <w:color w:val="808080"/>
        </w:rPr>
        <w:t>(als, während)</w:t>
      </w:r>
      <w:r>
        <w:rPr/>
        <w:t xml:space="preserve"> Simson ging hinab nach Timna und sah eine Frau in Timna von den Töchtern der Philister.{{field-off:bible}} </w:t>
        <w:br/>
        <w:t>[[@BibleTOBIBLE:Jdg 14:2]]</w:t>
      </w:r>
      <w:r>
        <w:rPr>
          <w:b/>
        </w:rPr>
        <w:t>2</w:t>
      </w:r>
      <w:r>
        <w:rPr/>
        <w:t xml:space="preserve"> {{field-on:bible}}Da </w:t>
      </w:r>
      <w:r>
        <w:rPr>
          <w:color w:val="808080"/>
        </w:rPr>
        <w:t>(und)</w:t>
      </w:r>
      <w:r>
        <w:rPr/>
        <w:t xml:space="preserve"> ging er hinauf und erzählte seinem Vater und seiner Mutter </w:t>
      </w:r>
      <w:r>
        <w:rPr>
          <w:strike/>
          <w:color w:val="808080"/>
        </w:rPr>
        <w:t>{und sagte}</w:t>
      </w:r>
      <w:r>
        <w:rPr/>
        <w:t xml:space="preserve">: „Ich habe in Timna eine Frau von den Töchtern der Philister gesehen. Darum </w:t>
      </w:r>
      <w:r>
        <w:rPr>
          <w:color w:val="808080"/>
        </w:rPr>
        <w:t>(und)</w:t>
      </w:r>
      <w:r>
        <w:rPr/>
        <w:t xml:space="preserve"> nehmt sie mir jetzt zur Frau!“{{field-off:bible}} </w:t>
        <w:br/>
        <w:t>[[@BibleTOBIBLE:Jdg 14:3]]</w:t>
      </w:r>
      <w:r>
        <w:rPr>
          <w:b/>
        </w:rPr>
        <w:t>3</w:t>
      </w:r>
      <w:r>
        <w:rPr/>
        <w:t xml:space="preserve"> {{field-on:bible}}Da </w:t>
      </w:r>
      <w:r>
        <w:rPr>
          <w:color w:val="808080"/>
        </w:rPr>
        <w:t>(und)</w:t>
      </w:r>
      <w:r>
        <w:rPr/>
        <w:t xml:space="preserve"> sagten</w:t>
      </w:r>
      <w:r>
        <w:rPr>
          <w:rStyle w:val="Funotenanker"/>
        </w:rPr>
        <w:footnoteReference w:customMarkFollows="1" w:id="99"/>
        <w:t>a</w:t>
      </w:r>
      <w:r>
        <w:rPr/>
        <w:t xml:space="preserve"> sein Vater und seine Mutter zu ihm: „Gibt es </w:t>
      </w:r>
      <w:r>
        <w:rPr>
          <w:color w:val="808080"/>
        </w:rPr>
        <w:t>(ist)</w:t>
      </w:r>
      <w:r>
        <w:rPr/>
        <w:t xml:space="preserve"> unter den Töchtern deiner Brüder und im ganzen Volk keine Frau, dass du jetzt </w:t>
      </w:r>
      <w:r>
        <w:rPr>
          <w:b/>
          <w:color w:val="808080"/>
        </w:rPr>
        <w:t>[</w:t>
      </w:r>
      <w:r>
        <w:rPr/>
        <w:t>hin</w:t>
      </w:r>
      <w:r>
        <w:rPr>
          <w:b/>
          <w:color w:val="808080"/>
        </w:rPr>
        <w:t>]</w:t>
      </w:r>
      <w:r>
        <w:rPr/>
        <w:t xml:space="preserve">gehst, um </w:t>
      </w:r>
      <w:r>
        <w:rPr>
          <w:b/>
          <w:color w:val="808080"/>
        </w:rPr>
        <w:t>[</w:t>
      </w:r>
      <w:r>
        <w:rPr/>
        <w:t>dir</w:t>
      </w:r>
      <w:r>
        <w:rPr>
          <w:b/>
          <w:color w:val="808080"/>
        </w:rPr>
        <w:t>]</w:t>
      </w:r>
      <w:r>
        <w:rPr/>
        <w:t xml:space="preserve"> eine Frau von den Philistern, den Unbeschnittenen zu nehmen?“ Da </w:t>
      </w:r>
      <w:r>
        <w:rPr>
          <w:color w:val="808080"/>
        </w:rPr>
        <w:t>(und)</w:t>
      </w:r>
      <w:r>
        <w:rPr/>
        <w:t xml:space="preserve"> sagte Simson zu seinem Vater: „Nimm mir diese, denn sie ist schön </w:t>
      </w:r>
      <w:r>
        <w:rPr>
          <w:color w:val="808080"/>
        </w:rPr>
        <w:t>(richtig, gut)</w:t>
      </w:r>
      <w:r>
        <w:rPr/>
        <w:t xml:space="preserve"> in meinen Augen.“{{field-off:bible}} </w:t>
        <w:br/>
        <w:t>[[@BibleTOBIBLE:Jdg 14:4]]</w:t>
      </w:r>
      <w:r>
        <w:rPr>
          <w:b/>
        </w:rPr>
        <w:t>4</w:t>
      </w:r>
      <w:r>
        <w:rPr/>
        <w:t xml:space="preserve"> {{field-on:bible}}Allerdings </w:t>
      </w:r>
      <w:r>
        <w:rPr>
          <w:color w:val="808080"/>
        </w:rPr>
        <w:t>(ja; und)</w:t>
      </w:r>
      <w:r>
        <w:rPr/>
        <w:t xml:space="preserve"> </w:t>
      </w:r>
      <w:r>
        <w:rPr>
          <w:rStyle w:val="Funotenanker"/>
        </w:rPr>
        <w:footnoteReference w:customMarkFollows="1" w:id="100"/>
        <w:t>b</w:t>
      </w:r>
      <w:r>
        <w:rPr/>
        <w:t xml:space="preserve"> wussten </w:t>
      </w:r>
      <w:r>
        <w:rPr>
          <w:color w:val="808080"/>
        </w:rPr>
        <w:t>(verstanden, erkannten)</w:t>
      </w:r>
      <w:r>
        <w:rPr/>
        <w:t xml:space="preserve"> sein Vater und seine Mutter nicht, dass dies von </w:t>
      </w:r>
      <w:r>
        <w:rPr>
          <w:smallCaps/>
          <w:color w:val="FF0000"/>
        </w:rPr>
        <w:t>JHWH</w:t>
      </w:r>
      <w:r>
        <w:rPr/>
        <w:t xml:space="preserve"> </w:t>
      </w:r>
      <w:r>
        <w:rPr>
          <w:b/>
          <w:color w:val="808080"/>
        </w:rPr>
        <w:t>[</w:t>
      </w:r>
      <w:r>
        <w:rPr/>
        <w:t>kam</w:t>
      </w:r>
      <w:r>
        <w:rPr>
          <w:b/>
          <w:color w:val="808080"/>
        </w:rPr>
        <w:t>]</w:t>
      </w:r>
      <w:r>
        <w:rPr/>
        <w:t xml:space="preserve">, denn er suchte eine Gelegenheit </w:t>
      </w:r>
      <w:r>
        <w:rPr>
          <w:color w:val="808080"/>
        </w:rPr>
        <w:t>(Anlass)</w:t>
      </w:r>
      <w:r>
        <w:rPr/>
        <w:t xml:space="preserve"> gegen die Philister. In jener Zeit herrschten nämlich </w:t>
      </w:r>
      <w:r>
        <w:rPr>
          <w:color w:val="808080"/>
        </w:rPr>
        <w:t>(und)</w:t>
      </w:r>
      <w:r>
        <w:rPr/>
        <w:t xml:space="preserve"> </w:t>
      </w:r>
      <w:r>
        <w:rPr>
          <w:rStyle w:val="Funotenanker"/>
        </w:rPr>
        <w:footnoteReference w:customMarkFollows="1" w:id="101"/>
        <w:t>c</w:t>
      </w:r>
      <w:r>
        <w:rPr/>
        <w:t xml:space="preserve"> die Philister in Israel.{{field-off:bible}} </w:t>
        <w:br/>
        <w:t>[[@BibleTOBIBLE:Jdg 14:5]]</w:t>
      </w:r>
      <w:r>
        <w:rPr>
          <w:b/>
        </w:rPr>
        <w:t>5</w:t>
      </w:r>
      <w:r>
        <w:rPr/>
        <w:t xml:space="preserve"> {{field-on:bible}}Daraufhin </w:t>
      </w:r>
      <w:r>
        <w:rPr>
          <w:color w:val="808080"/>
        </w:rPr>
        <w:t>(also; und)</w:t>
      </w:r>
      <w:r>
        <w:rPr/>
        <w:t xml:space="preserve"> gingen</w:t>
      </w:r>
      <w:r>
        <w:rPr>
          <w:rStyle w:val="Funotenanker"/>
        </w:rPr>
        <w:footnoteReference w:customMarkFollows="1" w:id="102"/>
        <w:t>d</w:t>
      </w:r>
      <w:r>
        <w:rPr/>
        <w:t xml:space="preserve"> Simson und sein Vater und seine Mutter hinab nach Timna und kamen bis zu den Weinbergen </w:t>
      </w:r>
      <w:r>
        <w:rPr>
          <w:b/>
          <w:color w:val="808080"/>
        </w:rPr>
        <w:t>[</w:t>
      </w:r>
      <w:r>
        <w:rPr/>
        <w:t>von</w:t>
      </w:r>
      <w:r>
        <w:rPr>
          <w:b/>
          <w:color w:val="808080"/>
        </w:rPr>
        <w:t>]</w:t>
      </w:r>
      <w:r>
        <w:rPr/>
        <w:t xml:space="preserve"> Timna, als </w:t>
      </w:r>
      <w:r>
        <w:rPr>
          <w:color w:val="808080"/>
        </w:rPr>
        <w:t>(und)</w:t>
      </w:r>
      <w:r>
        <w:rPr/>
        <w:t xml:space="preserve"> plötzlich</w:t>
      </w:r>
      <w:r>
        <w:rPr>
          <w:rStyle w:val="Funotenanker"/>
        </w:rPr>
        <w:footnoteReference w:customMarkFollows="1" w:id="103"/>
        <w:t>e</w:t>
      </w:r>
      <w:r>
        <w:rPr/>
        <w:t xml:space="preserve"> ein junger Löwe </w:t>
      </w:r>
      <w:r>
        <w:rPr>
          <w:strike/>
          <w:color w:val="808080"/>
        </w:rPr>
        <w:t>{der Löwen}</w:t>
      </w:r>
      <w:r>
        <w:rPr/>
        <w:t xml:space="preserve"> </w:t>
      </w:r>
      <w:r>
        <w:rPr>
          <w:rStyle w:val="Funotenanker"/>
        </w:rPr>
        <w:footnoteReference w:customMarkFollows="1" w:id="104"/>
        <w:t>f</w:t>
      </w:r>
      <w:r>
        <w:rPr/>
        <w:t xml:space="preserve"> ihm brüllend entgegen</w:t>
      </w:r>
      <w:r>
        <w:rPr>
          <w:b/>
          <w:color w:val="808080"/>
        </w:rPr>
        <w:t>[</w:t>
      </w:r>
      <w:r>
        <w:rPr/>
        <w:t>kam</w:t>
      </w:r>
      <w:r>
        <w:rPr>
          <w:b/>
          <w:color w:val="808080"/>
        </w:rPr>
        <w:t>]</w:t>
      </w:r>
      <w:r>
        <w:rPr/>
        <w:t xml:space="preserve"> </w:t>
      </w:r>
      <w:r>
        <w:rPr>
          <w:color w:val="808080"/>
        </w:rPr>
        <w:t>(brüllte, um ihn zu treffen/ihm entgegen brüllte)</w:t>
      </w:r>
      <w:r>
        <w:rPr/>
        <w:t xml:space="preserve"> </w:t>
      </w:r>
      <w:r>
        <w:rPr>
          <w:rStyle w:val="Funotenanker"/>
        </w:rPr>
        <w:footnoteReference w:customMarkFollows="1" w:id="105"/>
        <w:t>g</w:t>
      </w:r>
      <w:r>
        <w:rPr/>
        <w:t xml:space="preserve">.{{field-off:bible}} </w:t>
        <w:br/>
        <w:t>[[@BibleTOBIBLE:Jdg 14:6]]</w:t>
      </w:r>
      <w:r>
        <w:rPr>
          <w:b/>
        </w:rPr>
        <w:t>6</w:t>
      </w:r>
      <w:r>
        <w:rPr/>
        <w:t xml:space="preserve"> {{field-on:bible}}Da </w:t>
      </w:r>
      <w:r>
        <w:rPr>
          <w:color w:val="808080"/>
        </w:rPr>
        <w:t>(und)</w:t>
      </w:r>
      <w:r>
        <w:rPr/>
        <w:t xml:space="preserve"> drang der Geist </w:t>
      </w:r>
      <w:r>
        <w:rPr>
          <w:smallCaps/>
          <w:color w:val="FF0000"/>
        </w:rPr>
        <w:t>JHWH</w:t>
      </w:r>
      <w:r>
        <w:rPr/>
        <w:t>s in ihn ein</w:t>
      </w:r>
      <w:r>
        <w:rPr>
          <w:rStyle w:val="Funotenanker"/>
        </w:rPr>
        <w:footnoteReference w:customMarkFollows="1" w:id="106"/>
        <w:t>h</w:t>
      </w:r>
      <w:r>
        <w:rPr/>
        <w:t>, und er zerriss ihn</w:t>
      </w:r>
      <w:r>
        <w:rPr>
          <w:rStyle w:val="Funotenanker"/>
        </w:rPr>
        <w:footnoteReference w:customMarkFollows="1" w:id="107"/>
        <w:t>i</w:t>
      </w:r>
      <w:r>
        <w:rPr/>
        <w:t xml:space="preserve">, wie </w:t>
      </w:r>
      <w:r>
        <w:rPr>
          <w:b/>
          <w:color w:val="808080"/>
        </w:rPr>
        <w:t>[</w:t>
      </w:r>
      <w:r>
        <w:rPr/>
        <w:t>man</w:t>
      </w:r>
      <w:r>
        <w:rPr>
          <w:b/>
          <w:color w:val="808080"/>
        </w:rPr>
        <w:t>]</w:t>
      </w:r>
      <w:r>
        <w:rPr/>
        <w:t xml:space="preserve"> ein Böckchen zerreißt</w:t>
      </w:r>
      <w:r>
        <w:rPr>
          <w:rStyle w:val="Funotenanker"/>
        </w:rPr>
        <w:footnoteReference w:customMarkFollows="1" w:id="108"/>
        <w:t>j</w:t>
      </w:r>
      <w:r>
        <w:rPr/>
        <w:t xml:space="preserve">, obwohl </w:t>
      </w:r>
      <w:r>
        <w:rPr>
          <w:color w:val="808080"/>
        </w:rPr>
        <w:t>(wobei; und)</w:t>
      </w:r>
      <w:r>
        <w:rPr/>
        <w:t xml:space="preserve"> er nichts in seiner Hand hatte. Aber </w:t>
      </w:r>
      <w:r>
        <w:rPr>
          <w:color w:val="808080"/>
        </w:rPr>
        <w:t>(und)</w:t>
      </w:r>
      <w:r>
        <w:rPr/>
        <w:t xml:space="preserve"> </w:t>
      </w:r>
      <w:r>
        <w:rPr>
          <w:rStyle w:val="Funotenanker"/>
        </w:rPr>
        <w:footnoteReference w:customMarkFollows="1" w:id="109"/>
        <w:t>k</w:t>
      </w:r>
      <w:r>
        <w:rPr/>
        <w:t xml:space="preserve"> er erzählte </w:t>
      </w:r>
      <w:r>
        <w:rPr>
          <w:color w:val="808080"/>
        </w:rPr>
        <w:t>(berichtete)</w:t>
      </w:r>
      <w:r>
        <w:rPr/>
        <w:t xml:space="preserve"> seinem Vater und seiner Mutter nicht, was er getan hatte </w:t>
      </w:r>
      <w:r>
        <w:rPr>
          <w:color w:val="808080"/>
        </w:rPr>
        <w:t>(tat)</w:t>
      </w:r>
      <w:r>
        <w:rPr/>
        <w:t xml:space="preserve">.{{field-off:bible}} </w:t>
        <w:br/>
        <w:t>[[@BibleTOBIBLE:Jdg 14:7]]</w:t>
      </w:r>
      <w:r>
        <w:rPr>
          <w:b/>
        </w:rPr>
        <w:t>7</w:t>
      </w:r>
      <w:r>
        <w:rPr/>
        <w:t xml:space="preserve"> {{field-on:bible}}Danach </w:t>
      </w:r>
      <w:r>
        <w:rPr>
          <w:color w:val="808080"/>
        </w:rPr>
        <w:t>(als; und)</w:t>
      </w:r>
      <w:r>
        <w:rPr/>
        <w:t xml:space="preserve"> ging er hinab und redete mit der Frau, und sie war schön </w:t>
      </w:r>
      <w:r>
        <w:rPr>
          <w:color w:val="808080"/>
        </w:rPr>
        <w:t>(richtig, gut)</w:t>
      </w:r>
      <w:r>
        <w:rPr/>
        <w:t xml:space="preserve"> in Simsons Augen.{{field-off:bible}} </w:t>
        <w:br/>
        <w:t>[[@BibleTOBIBLE:Jdg 14:8]]</w:t>
      </w:r>
      <w:r>
        <w:rPr>
          <w:b/>
        </w:rPr>
        <w:t>8</w:t>
      </w:r>
      <w:r>
        <w:rPr/>
        <w:t xml:space="preserve"> {{field-on:bible}}Als </w:t>
      </w:r>
      <w:r>
        <w:rPr>
          <w:color w:val="808080"/>
        </w:rPr>
        <w:t>(und)</w:t>
      </w:r>
      <w:r>
        <w:rPr/>
        <w:t xml:space="preserve"> er nach </w:t>
      </w:r>
      <w:r>
        <w:rPr>
          <w:b/>
          <w:color w:val="808080"/>
        </w:rPr>
        <w:t>[</w:t>
      </w:r>
      <w:r>
        <w:rPr/>
        <w:t>einigen</w:t>
      </w:r>
      <w:r>
        <w:rPr>
          <w:b/>
          <w:color w:val="808080"/>
        </w:rPr>
        <w:t>]</w:t>
      </w:r>
      <w:r>
        <w:rPr/>
        <w:t xml:space="preserve"> Tagen zurückkam, um sie zu heiraten </w:t>
      </w:r>
      <w:r>
        <w:rPr>
          <w:color w:val="808080"/>
        </w:rPr>
        <w:t>(</w:t>
      </w:r>
      <w:r>
        <w:rPr>
          <w:b/>
          <w:color w:val="808080"/>
        </w:rPr>
        <w:t>[</w:t>
      </w:r>
      <w:r>
        <w:rPr>
          <w:color w:val="808080"/>
        </w:rPr>
        <w:t>sich zur Frau</w:t>
      </w:r>
      <w:r>
        <w:rPr>
          <w:b/>
          <w:color w:val="808080"/>
        </w:rPr>
        <w:t>]</w:t>
      </w:r>
      <w:r>
        <w:rPr>
          <w:color w:val="808080"/>
        </w:rPr>
        <w:t xml:space="preserve"> zu nehmen)</w:t>
      </w:r>
      <w:r>
        <w:rPr/>
        <w:t xml:space="preserve">, </w:t>
      </w:r>
      <w:r>
        <w:rPr>
          <w:strike/>
          <w:color w:val="808080"/>
        </w:rPr>
        <w:t>{und}</w:t>
      </w:r>
      <w:r>
        <w:rPr/>
        <w:t xml:space="preserve"> wich er </w:t>
      </w:r>
      <w:r>
        <w:rPr>
          <w:b/>
          <w:color w:val="808080"/>
        </w:rPr>
        <w:t>[</w:t>
      </w:r>
      <w:r>
        <w:rPr/>
        <w:t>von seinem Weg</w:t>
      </w:r>
      <w:r>
        <w:rPr>
          <w:b/>
          <w:color w:val="808080"/>
        </w:rPr>
        <w:t>]</w:t>
      </w:r>
      <w:r>
        <w:rPr/>
        <w:t xml:space="preserve"> ab, um den Kadaver des Löwen zu sehen. Er erblickte</w:t>
      </w:r>
      <w:r>
        <w:rPr>
          <w:rStyle w:val="Funotenanker"/>
        </w:rPr>
        <w:footnoteReference w:customMarkFollows="1" w:id="110"/>
        <w:t>l</w:t>
      </w:r>
      <w:r>
        <w:rPr/>
        <w:t xml:space="preserve"> ein Bienenschwarm</w:t>
      </w:r>
      <w:r>
        <w:rPr>
          <w:rStyle w:val="Funotenanker"/>
        </w:rPr>
        <w:footnoteReference w:customMarkFollows="1" w:id="111"/>
        <w:t>m</w:t>
      </w:r>
      <w:r>
        <w:rPr/>
        <w:t xml:space="preserve"> im Körper </w:t>
      </w:r>
      <w:r>
        <w:rPr>
          <w:color w:val="808080"/>
        </w:rPr>
        <w:t>(Kadaver)</w:t>
      </w:r>
      <w:r>
        <w:rPr/>
        <w:t xml:space="preserve"> des Löwen und Honig.{{field-off:bible}} </w:t>
        <w:br/>
        <w:t>[[@BibleTOBIBLE:Jdg 14:9]]</w:t>
      </w:r>
      <w:r>
        <w:rPr>
          <w:b/>
        </w:rPr>
        <w:t>9</w:t>
      </w:r>
      <w:r>
        <w:rPr/>
        <w:t xml:space="preserve"> {{field-on:bible}} </w:t>
      </w:r>
      <w:r>
        <w:rPr>
          <w:strike/>
          <w:color w:val="808080"/>
        </w:rPr>
        <w:t>{Und}</w:t>
      </w:r>
      <w:r>
        <w:rPr/>
        <w:t xml:space="preserve"> Er löste ihn heraus auf seine Handflächen </w:t>
      </w:r>
      <w:r>
        <w:rPr>
          <w:color w:val="808080"/>
        </w:rPr>
        <w:t>(Hände)</w:t>
      </w:r>
      <w:r>
        <w:rPr/>
        <w:t xml:space="preserve"> und aß beim Weitergehen</w:t>
      </w:r>
      <w:r>
        <w:rPr>
          <w:rStyle w:val="Funotenanker"/>
        </w:rPr>
        <w:footnoteReference w:customMarkFollows="1" w:id="112"/>
        <w:t>n</w:t>
      </w:r>
      <w:r>
        <w:rPr/>
        <w:t xml:space="preserve">. Er ging zu seinem Vater und seiner Mutter und gab ihnen </w:t>
      </w:r>
      <w:r>
        <w:rPr>
          <w:b/>
          <w:color w:val="808080"/>
        </w:rPr>
        <w:t>[</w:t>
      </w:r>
      <w:r>
        <w:rPr/>
        <w:t>etwas Honig</w:t>
      </w:r>
      <w:r>
        <w:rPr>
          <w:b/>
          <w:color w:val="808080"/>
        </w:rPr>
        <w:t>]</w:t>
      </w:r>
      <w:r>
        <w:rPr/>
        <w:t xml:space="preserve">, und sie aßen </w:t>
      </w:r>
      <w:r>
        <w:rPr>
          <w:b/>
          <w:color w:val="808080"/>
        </w:rPr>
        <w:t>[</w:t>
      </w:r>
      <w:r>
        <w:rPr/>
        <w:t>ihn</w:t>
      </w:r>
      <w:r>
        <w:rPr>
          <w:b/>
          <w:color w:val="808080"/>
        </w:rPr>
        <w:t>]</w:t>
      </w:r>
      <w:r>
        <w:rPr/>
        <w:t xml:space="preserve">. Allerdings </w:t>
      </w:r>
      <w:r>
        <w:rPr>
          <w:color w:val="808080"/>
        </w:rPr>
        <w:t>(und)</w:t>
      </w:r>
      <w:r>
        <w:rPr/>
        <w:t xml:space="preserve"> erzählte </w:t>
      </w:r>
      <w:r>
        <w:rPr>
          <w:color w:val="808080"/>
        </w:rPr>
        <w:t>(berichtete)</w:t>
      </w:r>
      <w:r>
        <w:rPr/>
        <w:t xml:space="preserve"> er ihnen nicht, dass er den Honig aus dem Körper </w:t>
      </w:r>
      <w:r>
        <w:rPr>
          <w:color w:val="808080"/>
        </w:rPr>
        <w:t>(Kadaver)</w:t>
      </w:r>
      <w:r>
        <w:rPr/>
        <w:t xml:space="preserve"> des Löwen herausgelöst hatte </w:t>
      </w:r>
      <w:r>
        <w:rPr>
          <w:color w:val="808080"/>
        </w:rPr>
        <w:t>(herauslöste)</w:t>
      </w:r>
      <w:r>
        <w:rPr/>
        <w:t>.</w:t>
      </w:r>
      <w:r>
        <w:rPr>
          <w:rStyle w:val="Funotenanker"/>
        </w:rPr>
        <w:footnoteReference w:customMarkFollows="1" w:id="113"/>
        <w:t>o</w:t>
      </w:r>
      <w:r>
        <w:rPr/>
        <w:t xml:space="preserve"> {{field-off:bible}} </w:t>
        <w:br/>
        <w:t>[[@BibleTOBIBLE:Jdg 14:10]]</w:t>
      </w:r>
      <w:r>
        <w:rPr>
          <w:b/>
        </w:rPr>
        <w:t>10</w:t>
      </w:r>
      <w:r>
        <w:rPr/>
        <w:t xml:space="preserve"> {{field-on:bible}}Danach </w:t>
      </w:r>
      <w:r>
        <w:rPr>
          <w:color w:val="808080"/>
        </w:rPr>
        <w:t>(und)</w:t>
      </w:r>
      <w:r>
        <w:rPr/>
        <w:t xml:space="preserve"> ging sein Vater zu der Frau, und </w:t>
      </w:r>
      <w:r>
        <w:rPr>
          <w:color w:val="808080"/>
        </w:rPr>
        <w:t>(während)</w:t>
      </w:r>
      <w:r>
        <w:rPr/>
        <w:t xml:space="preserve"> Simson veranstaltete </w:t>
      </w:r>
      <w:r>
        <w:rPr>
          <w:color w:val="808080"/>
        </w:rPr>
        <w:t>(machte)</w:t>
      </w:r>
      <w:r>
        <w:rPr/>
        <w:t xml:space="preserve"> dort ein Fest, weil </w:t>
      </w:r>
      <w:r>
        <w:rPr>
          <w:color w:val="808080"/>
        </w:rPr>
        <w:t>(wie)</w:t>
      </w:r>
      <w:r>
        <w:rPr/>
        <w:t xml:space="preserve"> </w:t>
      </w:r>
      <w:r>
        <w:rPr>
          <w:b/>
          <w:color w:val="808080"/>
        </w:rPr>
        <w:t>[</w:t>
      </w:r>
      <w:r>
        <w:rPr/>
        <w:t>es</w:t>
      </w:r>
      <w:r>
        <w:rPr>
          <w:b/>
          <w:color w:val="808080"/>
        </w:rPr>
        <w:t>]</w:t>
      </w:r>
      <w:r>
        <w:rPr/>
        <w:t xml:space="preserve"> die jungen Männer so machten </w:t>
      </w:r>
      <w:r>
        <w:rPr>
          <w:color w:val="808080"/>
        </w:rPr>
        <w:t>(machen)</w:t>
      </w:r>
      <w:r>
        <w:rPr/>
        <w:t xml:space="preserve"> </w:t>
      </w:r>
      <w:r>
        <w:rPr>
          <w:rStyle w:val="Funotenanker"/>
        </w:rPr>
        <w:footnoteReference w:customMarkFollows="1" w:id="114"/>
        <w:t>p</w:t>
      </w:r>
      <w:r>
        <w:rPr/>
        <w:t xml:space="preserve">.{{field-off:bible}} </w:t>
        <w:br/>
        <w:t>[[@BibleTOBIBLE:Jdg 14:11]]</w:t>
      </w:r>
      <w:r>
        <w:rPr>
          <w:b/>
        </w:rPr>
        <w:t>11</w:t>
      </w:r>
      <w:r>
        <w:rPr/>
        <w:t xml:space="preserve"> {{field-on:bible}} </w:t>
      </w:r>
      <w:r>
        <w:rPr>
          <w:strike/>
          <w:color w:val="808080"/>
        </w:rPr>
        <w:t>{Und es geschah}</w:t>
      </w:r>
      <w:r>
        <w:rPr/>
        <w:t xml:space="preserve"> Als sie </w:t>
      </w:r>
      <w:r>
        <w:rPr>
          <w:color w:val="808080"/>
        </w:rPr>
        <w:t>(man)</w:t>
      </w:r>
      <w:r>
        <w:rPr/>
        <w:t xml:space="preserve"> </w:t>
      </w:r>
      <w:r>
        <w:rPr>
          <w:rStyle w:val="Funotenanker"/>
        </w:rPr>
        <w:footnoteReference w:customMarkFollows="1" w:id="115"/>
        <w:t>q</w:t>
      </w:r>
      <w:r>
        <w:rPr/>
        <w:t xml:space="preserve"> ihn sahen, da </w:t>
      </w:r>
      <w:r>
        <w:rPr>
          <w:color w:val="808080"/>
        </w:rPr>
        <w:t>(und)</w:t>
      </w:r>
      <w:r>
        <w:rPr/>
        <w:t xml:space="preserve"> holten </w:t>
      </w:r>
      <w:r>
        <w:rPr>
          <w:color w:val="808080"/>
        </w:rPr>
        <w:t>(nahmen)</w:t>
      </w:r>
      <w:r>
        <w:rPr/>
        <w:t xml:space="preserve"> sie </w:t>
      </w:r>
      <w:r>
        <w:rPr>
          <w:color w:val="808080"/>
        </w:rPr>
        <w:t>(man)</w:t>
      </w:r>
      <w:r>
        <w:rPr/>
        <w:t xml:space="preserve"> dreißig Gefährten, und </w:t>
      </w:r>
      <w:r>
        <w:rPr>
          <w:color w:val="808080"/>
        </w:rPr>
        <w:t>(damit)</w:t>
      </w:r>
      <w:r>
        <w:rPr/>
        <w:t xml:space="preserve"> sie waren bei ihm.</w:t>
      </w:r>
      <w:r>
        <w:rPr>
          <w:rStyle w:val="Funotenanker"/>
        </w:rPr>
        <w:footnoteReference w:customMarkFollows="1" w:id="116"/>
        <w:t>r</w:t>
      </w:r>
      <w:r>
        <w:rPr/>
        <w:t xml:space="preserve"> {{field-off:bible}} </w:t>
        <w:br/>
        <w:t>[[@BibleTOBIBLE:Jdg 14:12]]</w:t>
      </w:r>
      <w:r>
        <w:rPr>
          <w:b/>
        </w:rPr>
        <w:t>12</w:t>
      </w:r>
      <w:r>
        <w:rPr/>
        <w:t xml:space="preserve"> {{field-on:bible}}Und </w:t>
      </w:r>
      <w:r>
        <w:rPr>
          <w:color w:val="808080"/>
        </w:rPr>
        <w:t>(da)</w:t>
      </w:r>
      <w:r>
        <w:rPr/>
        <w:t xml:space="preserve"> Simson sagte zu ihnen: „Ich will </w:t>
      </w:r>
      <w:r>
        <w:rPr>
          <w:color w:val="808080"/>
        </w:rPr>
        <w:t>(möchte; lasst mich)</w:t>
      </w:r>
      <w:r>
        <w:rPr/>
        <w:t xml:space="preserve"> </w:t>
      </w:r>
      <w:r>
        <w:rPr>
          <w:rStyle w:val="Funotenanker"/>
        </w:rPr>
        <w:footnoteReference w:customMarkFollows="1" w:id="117"/>
        <w:t>s</w:t>
      </w:r>
      <w:r>
        <w:rPr/>
        <w:t xml:space="preserve"> euch ein Rätsel geben. Wenn ihr mir </w:t>
      </w:r>
      <w:r>
        <w:rPr>
          <w:b/>
          <w:color w:val="808080"/>
        </w:rPr>
        <w:t>[</w:t>
      </w:r>
      <w:r>
        <w:rPr/>
        <w:t>die Lösung</w:t>
      </w:r>
      <w:r>
        <w:rPr>
          <w:b/>
          <w:color w:val="808080"/>
        </w:rPr>
        <w:t>]</w:t>
      </w:r>
      <w:r>
        <w:rPr/>
        <w:t xml:space="preserve"> </w:t>
      </w:r>
      <w:r>
        <w:rPr>
          <w:rStyle w:val="Funotenanker"/>
        </w:rPr>
        <w:footnoteReference w:customMarkFollows="1" w:id="118"/>
        <w:t>t</w:t>
      </w:r>
      <w:r>
        <w:rPr/>
        <w:t xml:space="preserve"> </w:t>
      </w:r>
      <w:r>
        <w:rPr>
          <w:b/>
          <w:color w:val="808080"/>
        </w:rPr>
        <w:t>[</w:t>
      </w:r>
      <w:r>
        <w:rPr/>
        <w:t>innerhalb der</w:t>
      </w:r>
      <w:r>
        <w:rPr>
          <w:b/>
          <w:color w:val="808080"/>
        </w:rPr>
        <w:t>]</w:t>
      </w:r>
      <w:r>
        <w:rPr/>
        <w:t xml:space="preserve"> sieben Tage des Festes </w:t>
      </w:r>
      <w:r>
        <w:rPr>
          <w:color w:val="808080"/>
        </w:rPr>
        <w:t>(Festmahls)</w:t>
      </w:r>
      <w:r>
        <w:rPr/>
        <w:t xml:space="preserve"> tatsächlich</w:t>
      </w:r>
      <w:r>
        <w:rPr>
          <w:rStyle w:val="Funotenanker"/>
        </w:rPr>
        <w:footnoteReference w:customMarkFollows="1" w:id="119"/>
        <w:t>u</w:t>
      </w:r>
      <w:r>
        <w:rPr/>
        <w:t xml:space="preserve"> verraten könnt</w:t>
      </w:r>
      <w:r>
        <w:rPr>
          <w:rStyle w:val="Funotenanker"/>
        </w:rPr>
        <w:footnoteReference w:customMarkFollows="1" w:id="120"/>
        <w:t>v</w:t>
      </w:r>
      <w:r>
        <w:rPr/>
        <w:t xml:space="preserve"> und </w:t>
      </w:r>
      <w:r>
        <w:rPr>
          <w:b/>
          <w:color w:val="808080"/>
        </w:rPr>
        <w:t>[</w:t>
      </w:r>
      <w:r>
        <w:rPr/>
        <w:t>sie</w:t>
      </w:r>
      <w:r>
        <w:rPr>
          <w:b/>
          <w:color w:val="808080"/>
        </w:rPr>
        <w:t>]</w:t>
      </w:r>
      <w:r>
        <w:rPr/>
        <w:t xml:space="preserve"> findet, dann </w:t>
      </w:r>
      <w:r>
        <w:rPr>
          <w:color w:val="808080"/>
        </w:rPr>
        <w:t>(und)</w:t>
      </w:r>
      <w:r>
        <w:rPr/>
        <w:t xml:space="preserve"> werde ich euch dreißig Leinenhemden</w:t>
      </w:r>
      <w:r>
        <w:rPr>
          <w:rStyle w:val="Funotenanker"/>
        </w:rPr>
        <w:footnoteReference w:customMarkFollows="1" w:id="121"/>
        <w:t>w</w:t>
      </w:r>
      <w:r>
        <w:rPr/>
        <w:t xml:space="preserve"> und dreißig Wechselkleider</w:t>
      </w:r>
      <w:r>
        <w:rPr>
          <w:rStyle w:val="Funotenanker"/>
        </w:rPr>
        <w:footnoteReference w:customMarkFollows="1" w:id="122"/>
        <w:t>x</w:t>
      </w:r>
      <w:r>
        <w:rPr/>
        <w:t xml:space="preserve"> geben.{{field-off:bible}} </w:t>
        <w:br/>
        <w:t>[[@BibleTOBIBLE:Jdg 14:13]]</w:t>
      </w:r>
      <w:r>
        <w:rPr>
          <w:b/>
        </w:rPr>
        <w:t>13</w:t>
      </w:r>
      <w:r>
        <w:rPr/>
        <w:t xml:space="preserve"> {{field-on:bible}}Doch </w:t>
      </w:r>
      <w:r>
        <w:rPr>
          <w:color w:val="808080"/>
        </w:rPr>
        <w:t>(und)</w:t>
      </w:r>
      <w:r>
        <w:rPr/>
        <w:t xml:space="preserve"> wenn ihr mir </w:t>
      </w:r>
      <w:r>
        <w:rPr>
          <w:b/>
          <w:color w:val="808080"/>
        </w:rPr>
        <w:t>[</w:t>
      </w:r>
      <w:r>
        <w:rPr/>
        <w:t>die Lösung</w:t>
      </w:r>
      <w:r>
        <w:rPr>
          <w:b/>
          <w:color w:val="808080"/>
        </w:rPr>
        <w:t>]</w:t>
      </w:r>
      <w:r>
        <w:rPr/>
        <w:t xml:space="preserve"> nicht verraten</w:t>
      </w:r>
      <w:r>
        <w:rPr>
          <w:rStyle w:val="Funotenanker"/>
        </w:rPr>
        <w:footnoteReference w:customMarkFollows="1" w:id="123"/>
        <w:t>y</w:t>
      </w:r>
      <w:r>
        <w:rPr/>
        <w:t xml:space="preserve"> könnt, dann </w:t>
      </w:r>
      <w:r>
        <w:rPr>
          <w:color w:val="808080"/>
        </w:rPr>
        <w:t>(und)</w:t>
      </w:r>
      <w:r>
        <w:rPr/>
        <w:t xml:space="preserve"> müsst </w:t>
      </w:r>
      <w:r>
        <w:rPr>
          <w:color w:val="808080"/>
        </w:rPr>
        <w:t>(werdet)</w:t>
      </w:r>
      <w:r>
        <w:rPr/>
        <w:t xml:space="preserve"> </w:t>
      </w:r>
      <w:r>
        <w:rPr>
          <w:color w:val="808080"/>
        </w:rPr>
        <w:t>(gebt)</w:t>
      </w:r>
      <w:r>
        <w:rPr/>
        <w:t xml:space="preserve"> ihr mir dreißig Leinenhemden und dreißig Wechselkleider</w:t>
      </w:r>
      <w:r>
        <w:rPr>
          <w:rStyle w:val="Funotenanker"/>
        </w:rPr>
        <w:footnoteReference w:customMarkFollows="1" w:id="124"/>
        <w:t>z</w:t>
      </w:r>
      <w:r>
        <w:rPr/>
        <w:t xml:space="preserve"> geben.“ Darauf </w:t>
      </w:r>
      <w:r>
        <w:rPr>
          <w:color w:val="808080"/>
        </w:rPr>
        <w:t>(und)</w:t>
      </w:r>
      <w:r>
        <w:rPr/>
        <w:t xml:space="preserve"> antworteten </w:t>
      </w:r>
      <w:r>
        <w:rPr>
          <w:color w:val="808080"/>
        </w:rPr>
        <w:t>(sagten)</w:t>
      </w:r>
      <w:r>
        <w:rPr/>
        <w:t xml:space="preserve"> sie ihm: „Gib uns dein Rätsel, </w:t>
      </w:r>
      <w:r>
        <w:rPr>
          <w:strike/>
          <w:color w:val="808080"/>
        </w:rPr>
        <w:t>{und}</w:t>
      </w:r>
      <w:r>
        <w:rPr/>
        <w:t xml:space="preserve"> wir wollen es hören!“{{field-off:bible}} </w:t>
        <w:br/>
        <w:t>[[@BibleTOBIBLE:Jdg 14:14]]</w:t>
      </w:r>
      <w:r>
        <w:rPr>
          <w:b/>
        </w:rPr>
        <w:t>14</w:t>
      </w:r>
      <w:r>
        <w:rPr/>
        <w:t xml:space="preserve"> {{field-on:bible}} </w:t>
      </w:r>
      <w:r>
        <w:rPr>
          <w:strike/>
          <w:color w:val="808080"/>
        </w:rPr>
        <w:t>{und}</w:t>
      </w:r>
      <w:r>
        <w:rPr/>
        <w:t xml:space="preserve"> Er sagte zu ihnen: „Vom Fresser </w:t>
      </w:r>
      <w:r>
        <w:rPr>
          <w:color w:val="808080"/>
        </w:rPr>
        <w:t>(Essenden)</w:t>
      </w:r>
      <w:r>
        <w:rPr/>
        <w:t xml:space="preserve"> kam </w:t>
      </w:r>
      <w:r>
        <w:rPr>
          <w:color w:val="808080"/>
        </w:rPr>
        <w:t>(ging aus)</w:t>
      </w:r>
      <w:r>
        <w:rPr/>
        <w:t xml:space="preserve"> Nahrung und vom Starken kam </w:t>
      </w:r>
      <w:r>
        <w:rPr>
          <w:color w:val="808080"/>
        </w:rPr>
        <w:t>(ging aus)</w:t>
      </w:r>
      <w:r>
        <w:rPr/>
        <w:t xml:space="preserve"> Süßes.“ Aber </w:t>
      </w:r>
      <w:r>
        <w:rPr>
          <w:color w:val="808080"/>
        </w:rPr>
        <w:t>(und)</w:t>
      </w:r>
      <w:r>
        <w:rPr/>
        <w:t xml:space="preserve"> sie konnten das Rätsel drei Tage </w:t>
      </w:r>
      <w:r>
        <w:rPr>
          <w:b/>
          <w:color w:val="808080"/>
        </w:rPr>
        <w:t>[</w:t>
      </w:r>
      <w:r>
        <w:rPr/>
        <w:t>lang</w:t>
      </w:r>
      <w:r>
        <w:rPr>
          <w:b/>
          <w:color w:val="808080"/>
        </w:rPr>
        <w:t>]</w:t>
      </w:r>
      <w:r>
        <w:rPr/>
        <w:t xml:space="preserve"> </w:t>
      </w:r>
      <w:r>
        <w:rPr>
          <w:color w:val="808080"/>
        </w:rPr>
        <w:t>(</w:t>
      </w:r>
      <w:r>
        <w:rPr>
          <w:b/>
          <w:color w:val="808080"/>
        </w:rPr>
        <w:t>[</w:t>
      </w:r>
      <w:r>
        <w:rPr>
          <w:color w:val="808080"/>
        </w:rPr>
        <w:t>in</w:t>
      </w:r>
      <w:r>
        <w:rPr>
          <w:b/>
          <w:color w:val="808080"/>
        </w:rPr>
        <w:t>]</w:t>
      </w:r>
      <w:r>
        <w:rPr>
          <w:color w:val="808080"/>
        </w:rPr>
        <w:t>)</w:t>
      </w:r>
      <w:r>
        <w:rPr/>
        <w:t xml:space="preserve"> nicht lösen </w:t>
      </w:r>
      <w:r>
        <w:rPr>
          <w:color w:val="808080"/>
        </w:rPr>
        <w:t>(verraten)</w:t>
      </w:r>
      <w:r>
        <w:rPr/>
        <w:t xml:space="preserve"> </w:t>
      </w:r>
      <w:r>
        <w:rPr>
          <w:rStyle w:val="Funotenanker"/>
        </w:rPr>
        <w:footnoteReference w:customMarkFollows="1" w:id="125"/>
        <w:t>aa</w:t>
      </w:r>
      <w:r>
        <w:rPr/>
        <w:t xml:space="preserve">.{{field-off:bible}} </w:t>
        <w:br/>
        <w:t>[[@BibleTOBIBLE:Jdg 14:15]]</w:t>
      </w:r>
      <w:r>
        <w:rPr>
          <w:b/>
        </w:rPr>
        <w:t>15</w:t>
      </w:r>
      <w:r>
        <w:rPr/>
        <w:t xml:space="preserve"> {{field-on:bible}} </w:t>
      </w:r>
      <w:r>
        <w:rPr>
          <w:strike/>
          <w:color w:val="808080"/>
        </w:rPr>
        <w:t>{Und es geschah}</w:t>
      </w:r>
      <w:r>
        <w:rPr/>
        <w:t xml:space="preserve"> Am vierten</w:t>
      </w:r>
      <w:r>
        <w:rPr>
          <w:rStyle w:val="Funotenanker"/>
        </w:rPr>
        <w:footnoteReference w:customMarkFollows="1" w:id="126"/>
        <w:t>ab</w:t>
      </w:r>
      <w:r>
        <w:rPr/>
        <w:t xml:space="preserve"> Tag sagten sie zu Simsons Frau: „Verleite </w:t>
      </w:r>
      <w:r>
        <w:rPr>
          <w:color w:val="808080"/>
        </w:rPr>
        <w:t>(betöre)</w:t>
      </w:r>
      <w:r>
        <w:rPr/>
        <w:t xml:space="preserve"> deinen Mann, damit </w:t>
      </w:r>
      <w:r>
        <w:rPr>
          <w:color w:val="808080"/>
        </w:rPr>
        <w:t>(und)</w:t>
      </w:r>
      <w:r>
        <w:rPr/>
        <w:t xml:space="preserve"> er für uns das Rätsel löst </w:t>
      </w:r>
      <w:r>
        <w:rPr>
          <w:color w:val="808080"/>
        </w:rPr>
        <w:t>(verrät)</w:t>
      </w:r>
      <w:r>
        <w:rPr/>
        <w:t xml:space="preserve"> </w:t>
      </w:r>
      <w:r>
        <w:rPr>
          <w:rStyle w:val="Funotenanker"/>
        </w:rPr>
        <w:footnoteReference w:customMarkFollows="1" w:id="127"/>
        <w:t>ac</w:t>
      </w:r>
      <w:r>
        <w:rPr/>
        <w:t>, sonst verbrennen</w:t>
      </w:r>
      <w:r>
        <w:rPr>
          <w:rStyle w:val="Funotenanker"/>
        </w:rPr>
        <w:footnoteReference w:customMarkFollows="1" w:id="128"/>
        <w:t>ad</w:t>
      </w:r>
      <w:r>
        <w:rPr/>
        <w:t xml:space="preserve"> wir dich und das Haus </w:t>
      </w:r>
      <w:r>
        <w:rPr>
          <w:color w:val="808080"/>
        </w:rPr>
        <w:t>(Familie)</w:t>
      </w:r>
      <w:r>
        <w:rPr/>
        <w:t xml:space="preserve"> deines Vaters </w:t>
      </w:r>
      <w:r>
        <w:rPr>
          <w:strike/>
          <w:color w:val="808080"/>
        </w:rPr>
        <w:t>{im Feuer}</w:t>
      </w:r>
      <w:r>
        <w:rPr/>
        <w:t xml:space="preserve">! Habt ihr uns eingeladen, um uns arm zu machen </w:t>
      </w:r>
      <w:r>
        <w:rPr>
          <w:color w:val="808080"/>
        </w:rPr>
        <w:t>(zu vertreiben)</w:t>
      </w:r>
      <w:r>
        <w:rPr/>
        <w:t xml:space="preserve">? </w:t>
      </w:r>
      <w:r>
        <w:rPr>
          <w:b/>
          <w:color w:val="808080"/>
        </w:rPr>
        <w:t>[</w:t>
      </w:r>
      <w:r>
        <w:rPr/>
        <w:t>Oder etwa</w:t>
      </w:r>
      <w:r>
        <w:rPr>
          <w:b/>
          <w:color w:val="808080"/>
        </w:rPr>
        <w:t>]</w:t>
      </w:r>
      <w:r>
        <w:rPr/>
        <w:t xml:space="preserve"> nicht </w:t>
      </w:r>
      <w:r>
        <w:rPr>
          <w:color w:val="808080"/>
        </w:rPr>
        <w:t>(Nicht wahr)</w:t>
      </w:r>
      <w:r>
        <w:rPr/>
        <w:t>?</w:t>
      </w:r>
      <w:r>
        <w:rPr>
          <w:rStyle w:val="Funotenanker"/>
        </w:rPr>
        <w:footnoteReference w:customMarkFollows="1" w:id="129"/>
        <w:t>ae</w:t>
      </w:r>
      <w:r>
        <w:rPr/>
        <w:t xml:space="preserve">“{{field-off:bible}} </w:t>
        <w:br/>
        <w:t>[[@BibleTOBIBLE:Jdg 14:16]]</w:t>
      </w:r>
      <w:r>
        <w:rPr>
          <w:b/>
        </w:rPr>
        <w:t>16</w:t>
      </w:r>
      <w:r>
        <w:rPr/>
        <w:t xml:space="preserve"> {{field-on:bible}}Da </w:t>
      </w:r>
      <w:r>
        <w:rPr>
          <w:color w:val="808080"/>
        </w:rPr>
        <w:t>(und)</w:t>
      </w:r>
      <w:r>
        <w:rPr/>
        <w:t xml:space="preserve"> weinte Simsons Frau vor </w:t>
      </w:r>
      <w:r>
        <w:rPr>
          <w:color w:val="808080"/>
        </w:rPr>
        <w:t>(auf, über)</w:t>
      </w:r>
      <w:r>
        <w:rPr/>
        <w:t xml:space="preserve"> </w:t>
      </w:r>
      <w:r>
        <w:rPr>
          <w:rStyle w:val="Funotenanker"/>
        </w:rPr>
        <w:footnoteReference w:customMarkFollows="1" w:id="130"/>
        <w:t>af</w:t>
      </w:r>
      <w:r>
        <w:rPr/>
        <w:t xml:space="preserve"> ihm und sagte: „Du hasst</w:t>
      </w:r>
      <w:r>
        <w:rPr>
          <w:rStyle w:val="Funotenanker"/>
        </w:rPr>
        <w:footnoteReference w:customMarkFollows="1" w:id="131"/>
        <w:t>ag</w:t>
      </w:r>
      <w:r>
        <w:rPr/>
        <w:t xml:space="preserve"> mich nur, und du liebst mich nicht</w:t>
      </w:r>
      <w:r>
        <w:rPr>
          <w:rStyle w:val="Funotenanker"/>
        </w:rPr>
        <w:footnoteReference w:customMarkFollows="1" w:id="132"/>
        <w:t>ah</w:t>
      </w:r>
      <w:r>
        <w:rPr/>
        <w:t xml:space="preserve">! Du hast den Söhnen meines Volkes ein Rätsel aufgegeben, aber mir hast du </w:t>
      </w:r>
      <w:r>
        <w:rPr>
          <w:b/>
          <w:color w:val="808080"/>
        </w:rPr>
        <w:t>[</w:t>
      </w:r>
      <w:r>
        <w:rPr/>
        <w:t>die Lösung</w:t>
      </w:r>
      <w:r>
        <w:rPr>
          <w:b/>
          <w:color w:val="808080"/>
        </w:rPr>
        <w:t>]</w:t>
      </w:r>
      <w:r>
        <w:rPr/>
        <w:t xml:space="preserve"> </w:t>
      </w:r>
      <w:r>
        <w:rPr>
          <w:rStyle w:val="Funotenanker"/>
        </w:rPr>
        <w:footnoteReference w:customMarkFollows="1" w:id="133"/>
        <w:t>ai</w:t>
      </w:r>
      <w:r>
        <w:rPr/>
        <w:t xml:space="preserve"> nicht verraten!“ Da </w:t>
      </w:r>
      <w:r>
        <w:rPr>
          <w:color w:val="808080"/>
        </w:rPr>
        <w:t>(und)</w:t>
      </w:r>
      <w:r>
        <w:rPr/>
        <w:t xml:space="preserve"> sagte er zu ihr: „Nicht einmal</w:t>
      </w:r>
      <w:r>
        <w:rPr>
          <w:rStyle w:val="Funotenanker"/>
        </w:rPr>
        <w:footnoteReference w:customMarkFollows="1" w:id="134"/>
        <w:t>aj</w:t>
      </w:r>
      <w:r>
        <w:rPr/>
        <w:t xml:space="preserve"> meinem Vater und meiner Mutter habe ich </w:t>
      </w:r>
      <w:r>
        <w:rPr>
          <w:b/>
          <w:color w:val="808080"/>
        </w:rPr>
        <w:t>[</w:t>
      </w:r>
      <w:r>
        <w:rPr/>
        <w:t>sie</w:t>
      </w:r>
      <w:r>
        <w:rPr>
          <w:b/>
          <w:color w:val="808080"/>
        </w:rPr>
        <w:t>]</w:t>
      </w:r>
      <w:r>
        <w:rPr/>
        <w:t xml:space="preserve"> verraten. Sollte ich </w:t>
      </w:r>
      <w:r>
        <w:rPr>
          <w:b/>
          <w:color w:val="808080"/>
        </w:rPr>
        <w:t>[</w:t>
      </w:r>
      <w:r>
        <w:rPr/>
        <w:t>sie</w:t>
      </w:r>
      <w:r>
        <w:rPr>
          <w:b/>
          <w:color w:val="808080"/>
        </w:rPr>
        <w:t>]</w:t>
      </w:r>
      <w:r>
        <w:rPr/>
        <w:t xml:space="preserve"> da </w:t>
      </w:r>
      <w:r>
        <w:rPr>
          <w:color w:val="808080"/>
        </w:rPr>
        <w:t>(und)</w:t>
      </w:r>
      <w:r>
        <w:rPr/>
        <w:t xml:space="preserve"> dir verraten?“{{field-off:bible}} </w:t>
        <w:br/>
        <w:t>[[@BibleTOBIBLE:Jdg 14:17]]</w:t>
      </w:r>
      <w:r>
        <w:rPr>
          <w:b/>
        </w:rPr>
        <w:t>17</w:t>
      </w:r>
      <w:r>
        <w:rPr/>
        <w:t xml:space="preserve"> {{field-on:bible}}Da </w:t>
      </w:r>
      <w:r>
        <w:rPr>
          <w:color w:val="808080"/>
        </w:rPr>
        <w:t>(und)</w:t>
      </w:r>
      <w:r>
        <w:rPr/>
        <w:t xml:space="preserve"> weinte sie sieben Tage </w:t>
      </w:r>
      <w:r>
        <w:rPr>
          <w:b/>
          <w:color w:val="808080"/>
        </w:rPr>
        <w:t>[</w:t>
      </w:r>
      <w:r>
        <w:rPr/>
        <w:t>lang</w:t>
      </w:r>
      <w:r>
        <w:rPr>
          <w:b/>
          <w:color w:val="808080"/>
        </w:rPr>
        <w:t>]</w:t>
      </w:r>
      <w:r>
        <w:rPr/>
        <w:t xml:space="preserve"> vor </w:t>
      </w:r>
      <w:r>
        <w:rPr>
          <w:color w:val="808080"/>
        </w:rPr>
        <w:t>(auf, über)</w:t>
      </w:r>
      <w:r>
        <w:rPr/>
        <w:t xml:space="preserve"> </w:t>
      </w:r>
      <w:r>
        <w:rPr>
          <w:rStyle w:val="Funotenanker"/>
        </w:rPr>
        <w:footnoteReference w:customMarkFollows="1" w:id="135"/>
        <w:t>ak</w:t>
      </w:r>
      <w:r>
        <w:rPr/>
        <w:t xml:space="preserve"> ihm, während</w:t>
      </w:r>
      <w:r>
        <w:rPr>
          <w:rStyle w:val="Funotenanker"/>
        </w:rPr>
        <w:footnoteReference w:customMarkFollows="1" w:id="136"/>
        <w:t>al</w:t>
      </w:r>
      <w:r>
        <w:rPr/>
        <w:t xml:space="preserve"> sie das Fest veranstalteten. </w:t>
      </w:r>
      <w:r>
        <w:rPr>
          <w:strike/>
          <w:color w:val="808080"/>
        </w:rPr>
        <w:t>{da geschah es}</w:t>
      </w:r>
      <w:r>
        <w:rPr/>
        <w:t xml:space="preserve"> Am siebten Tag verriet er ihr </w:t>
      </w:r>
      <w:r>
        <w:rPr>
          <w:b/>
          <w:color w:val="808080"/>
        </w:rPr>
        <w:t>[</w:t>
      </w:r>
      <w:r>
        <w:rPr/>
        <w:t>die Lösung des Rätsels</w:t>
      </w:r>
      <w:r>
        <w:rPr>
          <w:b/>
          <w:color w:val="808080"/>
        </w:rPr>
        <w:t>]</w:t>
      </w:r>
      <w:r>
        <w:rPr/>
        <w:t xml:space="preserve">, weil sie ihn </w:t>
      </w:r>
      <w:r>
        <w:rPr>
          <w:b/>
          <w:color w:val="808080"/>
        </w:rPr>
        <w:t>[</w:t>
      </w:r>
      <w:r>
        <w:rPr/>
        <w:t>so</w:t>
      </w:r>
      <w:r>
        <w:rPr>
          <w:b/>
          <w:color w:val="808080"/>
        </w:rPr>
        <w:t>]</w:t>
      </w:r>
      <w:r>
        <w:rPr/>
        <w:t xml:space="preserve"> unter Druck setzte </w:t>
      </w:r>
      <w:r>
        <w:rPr>
          <w:color w:val="808080"/>
        </w:rPr>
        <w:t>(zwang, drängte)</w:t>
      </w:r>
      <w:r>
        <w:rPr/>
        <w:t xml:space="preserve">, und sie verriet </w:t>
      </w:r>
      <w:r>
        <w:rPr>
          <w:b/>
          <w:color w:val="808080"/>
        </w:rPr>
        <w:t>[</w:t>
      </w:r>
      <w:r>
        <w:rPr/>
        <w:t>die Lösung</w:t>
      </w:r>
      <w:r>
        <w:rPr>
          <w:b/>
          <w:color w:val="808080"/>
        </w:rPr>
        <w:t>]</w:t>
      </w:r>
      <w:r>
        <w:rPr/>
        <w:t xml:space="preserve"> des Rätsels</w:t>
      </w:r>
      <w:r>
        <w:rPr>
          <w:rStyle w:val="Funotenanker"/>
        </w:rPr>
        <w:footnoteReference w:customMarkFollows="1" w:id="137"/>
        <w:t>am</w:t>
      </w:r>
      <w:r>
        <w:rPr/>
        <w:t xml:space="preserve"> den Söhnen ihres Volkes.{{field-off:bible}} </w:t>
        <w:br/>
        <w:t>[[@BibleTOBIBLE:Jdg 14:18]]</w:t>
      </w:r>
      <w:r>
        <w:rPr>
          <w:b/>
        </w:rPr>
        <w:t>18</w:t>
      </w:r>
      <w:r>
        <w:rPr/>
        <w:t xml:space="preserve"> {{field-on:bible}}Da </w:t>
      </w:r>
      <w:r>
        <w:rPr>
          <w:color w:val="808080"/>
        </w:rPr>
        <w:t>(und)</w:t>
      </w:r>
      <w:r>
        <w:rPr/>
        <w:t xml:space="preserve"> sagten die Männer der Stadt zu ihm am siebten Tag, bevor die Sonne unterging</w:t>
      </w:r>
      <w:r>
        <w:rPr>
          <w:rStyle w:val="Funotenanker"/>
        </w:rPr>
        <w:footnoteReference w:customMarkFollows="1" w:id="138"/>
        <w:t>an</w:t>
      </w:r>
      <w:r>
        <w:rPr/>
        <w:t>:</w:t>
      </w:r>
      <w:r>
        <w:rPr>
          <w:rStyle w:val="Funotenanker"/>
        </w:rPr>
        <w:footnoteReference w:customMarkFollows="1" w:id="139"/>
        <w:t>ao</w:t>
      </w:r>
      <w:r>
        <w:rPr/>
        <w:t xml:space="preserve"> „Was </w:t>
      </w:r>
      <w:r>
        <w:rPr>
          <w:b/>
          <w:color w:val="808080"/>
        </w:rPr>
        <w:t>[</w:t>
      </w:r>
      <w:r>
        <w:rPr/>
        <w:t>ist</w:t>
      </w:r>
      <w:r>
        <w:rPr>
          <w:b/>
          <w:color w:val="808080"/>
        </w:rPr>
        <w:t>]</w:t>
      </w:r>
      <w:r>
        <w:rPr/>
        <w:t xml:space="preserve"> süßer als Honig? Und was </w:t>
      </w:r>
      <w:r>
        <w:rPr>
          <w:b/>
          <w:color w:val="808080"/>
        </w:rPr>
        <w:t>[</w:t>
      </w:r>
      <w:r>
        <w:rPr/>
        <w:t>ist</w:t>
      </w:r>
      <w:r>
        <w:rPr>
          <w:b/>
          <w:color w:val="808080"/>
        </w:rPr>
        <w:t>]</w:t>
      </w:r>
      <w:r>
        <w:rPr/>
        <w:t xml:space="preserve"> stärker als ein Löwe?“ Da </w:t>
      </w:r>
      <w:r>
        <w:rPr>
          <w:color w:val="808080"/>
        </w:rPr>
        <w:t>(und)</w:t>
      </w:r>
      <w:r>
        <w:rPr/>
        <w:t xml:space="preserve"> sagte er zu ihnen: „Wenn ihr nicht mit meinem Kalb</w:t>
      </w:r>
      <w:r>
        <w:rPr>
          <w:rStyle w:val="Funotenanker"/>
        </w:rPr>
        <w:footnoteReference w:customMarkFollows="1" w:id="140"/>
        <w:t>ap</w:t>
      </w:r>
      <w:r>
        <w:rPr/>
        <w:t xml:space="preserve"> gepflügt hättet, dann hättet ihr die </w:t>
      </w:r>
      <w:r>
        <w:rPr>
          <w:b/>
          <w:color w:val="808080"/>
        </w:rPr>
        <w:t>[</w:t>
      </w:r>
      <w:r>
        <w:rPr/>
        <w:t>die Lösung</w:t>
      </w:r>
      <w:r>
        <w:rPr>
          <w:b/>
          <w:color w:val="808080"/>
        </w:rPr>
        <w:t>]</w:t>
      </w:r>
      <w:r>
        <w:rPr/>
        <w:t xml:space="preserve"> des Rätsels</w:t>
      </w:r>
      <w:r>
        <w:rPr>
          <w:rStyle w:val="Funotenanker"/>
        </w:rPr>
        <w:footnoteReference w:customMarkFollows="1" w:id="141"/>
        <w:t>aq</w:t>
      </w:r>
      <w:r>
        <w:rPr/>
        <w:t xml:space="preserve"> nicht gefunden!</w:t>
      </w:r>
      <w:r>
        <w:rPr>
          <w:rStyle w:val="Funotenanker"/>
        </w:rPr>
        <w:footnoteReference w:customMarkFollows="1" w:id="142"/>
        <w:t>ar</w:t>
      </w:r>
      <w:r>
        <w:rPr/>
        <w:t xml:space="preserve">“{{field-off:bible}} </w:t>
        <w:br/>
        <w:t>[[@BibleTOBIBLE:Jdg 14:19]]</w:t>
      </w:r>
      <w:r>
        <w:rPr>
          <w:b/>
        </w:rPr>
        <w:t>19</w:t>
      </w:r>
      <w:r>
        <w:rPr/>
        <w:t xml:space="preserve"> {{field-on:bible}} </w:t>
      </w:r>
      <w:r>
        <w:rPr>
          <w:strike/>
          <w:color w:val="808080"/>
        </w:rPr>
        <w:t>{und}</w:t>
      </w:r>
      <w:r>
        <w:rPr/>
        <w:t xml:space="preserve"> Der Geist </w:t>
      </w:r>
      <w:r>
        <w:rPr>
          <w:smallCaps/>
          <w:color w:val="FF0000"/>
        </w:rPr>
        <w:t>JHWH</w:t>
      </w:r>
      <w:r>
        <w:rPr/>
        <w:t xml:space="preserve">s drang in </w:t>
      </w:r>
      <w:r>
        <w:rPr>
          <w:color w:val="808080"/>
        </w:rPr>
        <w:t>(auf)</w:t>
      </w:r>
      <w:r>
        <w:rPr/>
        <w:t xml:space="preserve"> ihn ein</w:t>
      </w:r>
      <w:r>
        <w:rPr>
          <w:rStyle w:val="Funotenanker"/>
        </w:rPr>
        <w:footnoteReference w:customMarkFollows="1" w:id="143"/>
        <w:t>as</w:t>
      </w:r>
      <w:r>
        <w:rPr/>
        <w:t xml:space="preserve">, </w:t>
      </w:r>
      <w:r>
        <w:rPr>
          <w:strike/>
          <w:color w:val="808080"/>
        </w:rPr>
        <w:t>{und}</w:t>
      </w:r>
      <w:r>
        <w:rPr/>
        <w:t xml:space="preserve"> er ging </w:t>
      </w:r>
      <w:r>
        <w:rPr>
          <w:strike/>
          <w:color w:val="808080"/>
        </w:rPr>
        <w:t>{hinab}</w:t>
      </w:r>
      <w:r>
        <w:rPr/>
        <w:t xml:space="preserve"> nach Aschkelon und tötete </w:t>
      </w:r>
      <w:r>
        <w:rPr>
          <w:color w:val="808080"/>
        </w:rPr>
        <w:t>(erschlug)</w:t>
      </w:r>
      <w:r>
        <w:rPr/>
        <w:t xml:space="preserve"> von ihnen</w:t>
      </w:r>
      <w:r>
        <w:rPr>
          <w:rStyle w:val="Funotenanker"/>
        </w:rPr>
        <w:footnoteReference w:customMarkFollows="1" w:id="144"/>
        <w:t>at</w:t>
      </w:r>
      <w:r>
        <w:rPr/>
        <w:t xml:space="preserve"> dreißig Mann</w:t>
      </w:r>
      <w:r>
        <w:rPr>
          <w:rStyle w:val="Funotenanker"/>
        </w:rPr>
        <w:footnoteReference w:customMarkFollows="1" w:id="145"/>
        <w:t>au</w:t>
      </w:r>
      <w:r>
        <w:rPr/>
        <w:t xml:space="preserve">. </w:t>
      </w:r>
      <w:r>
        <w:rPr>
          <w:strike/>
          <w:color w:val="808080"/>
        </w:rPr>
        <w:t>{und}</w:t>
      </w:r>
      <w:r>
        <w:rPr/>
        <w:t xml:space="preserve"> Er nahm ihre Ausrüstung </w:t>
      </w:r>
      <w:r>
        <w:rPr>
          <w:color w:val="808080"/>
        </w:rPr>
        <w:t>(das, was sie anhatten)</w:t>
      </w:r>
      <w:r>
        <w:rPr/>
        <w:t xml:space="preserve"> </w:t>
      </w:r>
      <w:r>
        <w:rPr>
          <w:rStyle w:val="Funotenanker"/>
        </w:rPr>
        <w:footnoteReference w:customMarkFollows="1" w:id="146"/>
        <w:t>av</w:t>
      </w:r>
      <w:r>
        <w:rPr/>
        <w:t xml:space="preserve"> und gab die Wechsel</w:t>
      </w:r>
      <w:r>
        <w:rPr>
          <w:b/>
          <w:color w:val="808080"/>
        </w:rPr>
        <w:t>[</w:t>
      </w:r>
      <w:r>
        <w:rPr/>
        <w:t>kleider</w:t>
      </w:r>
      <w:r>
        <w:rPr>
          <w:b/>
          <w:color w:val="808080"/>
        </w:rPr>
        <w:t>]</w:t>
      </w:r>
      <w:r>
        <w:rPr/>
        <w:t xml:space="preserve"> </w:t>
      </w:r>
      <w:r>
        <w:rPr>
          <w:rStyle w:val="Funotenanker"/>
        </w:rPr>
        <w:footnoteReference w:customMarkFollows="1" w:id="147"/>
        <w:t>aw</w:t>
      </w:r>
      <w:r>
        <w:rPr/>
        <w:t xml:space="preserve"> denen, die das Rätsel gelöst </w:t>
      </w:r>
      <w:r>
        <w:rPr>
          <w:color w:val="808080"/>
        </w:rPr>
        <w:t>(gesagt)</w:t>
      </w:r>
      <w:r>
        <w:rPr/>
        <w:t xml:space="preserve"> </w:t>
      </w:r>
      <w:r>
        <w:rPr>
          <w:rStyle w:val="Funotenanker"/>
        </w:rPr>
        <w:footnoteReference w:customMarkFollows="1" w:id="148"/>
        <w:t>ax</w:t>
      </w:r>
      <w:r>
        <w:rPr/>
        <w:t xml:space="preserve"> hatten</w:t>
      </w:r>
      <w:r>
        <w:rPr>
          <w:rStyle w:val="Funotenanker"/>
        </w:rPr>
        <w:footnoteReference w:customMarkFollows="1" w:id="149"/>
        <w:t>ay</w:t>
      </w:r>
      <w:r>
        <w:rPr/>
        <w:t xml:space="preserve">. </w:t>
      </w:r>
      <w:r>
        <w:rPr>
          <w:strike/>
          <w:color w:val="808080"/>
        </w:rPr>
        <w:t>{und}</w:t>
      </w:r>
      <w:r>
        <w:rPr/>
        <w:t xml:space="preserve"> Sein Zorn </w:t>
      </w:r>
      <w:r>
        <w:rPr>
          <w:color w:val="808080"/>
        </w:rPr>
        <w:t>(Gesicht)</w:t>
      </w:r>
      <w:r>
        <w:rPr/>
        <w:t xml:space="preserve"> brannte</w:t>
      </w:r>
      <w:r>
        <w:rPr>
          <w:rStyle w:val="Funotenanker"/>
        </w:rPr>
        <w:footnoteReference w:customMarkFollows="1" w:id="150"/>
        <w:t>az</w:t>
      </w:r>
      <w:r>
        <w:rPr/>
        <w:t xml:space="preserve"> und er ging </w:t>
      </w:r>
      <w:r>
        <w:rPr>
          <w:strike/>
          <w:color w:val="808080"/>
        </w:rPr>
        <w:t>{hinauf}</w:t>
      </w:r>
      <w:r>
        <w:rPr/>
        <w:t xml:space="preserve"> zum Haus seines Vaters.{{field-off:bible}} </w:t>
        <w:br/>
        <w:t>[[@BibleTOBIBLE:Jdg 14:20]]</w:t>
      </w:r>
      <w:r>
        <w:rPr>
          <w:b/>
        </w:rPr>
        <w:t>20</w:t>
      </w:r>
      <w:r>
        <w:rPr/>
        <w:t xml:space="preserve"> {{field-on:bible}}Daraufhin </w:t>
      </w:r>
      <w:r>
        <w:rPr>
          <w:color w:val="808080"/>
        </w:rPr>
        <w:t>(und)</w:t>
      </w:r>
      <w:r>
        <w:rPr/>
        <w:t xml:space="preserve"> wurde Simsons Frau </w:t>
      </w:r>
      <w:r>
        <w:rPr>
          <w:b/>
          <w:color w:val="808080"/>
        </w:rPr>
        <w:t>[</w:t>
      </w:r>
      <w:r>
        <w:rPr/>
        <w:t>die Frau</w:t>
      </w:r>
      <w:r>
        <w:rPr>
          <w:b/>
          <w:color w:val="808080"/>
        </w:rPr>
        <w:t>]</w:t>
      </w:r>
      <w:r>
        <w:rPr/>
        <w:t xml:space="preserve"> seines Begleiters </w:t>
      </w:r>
      <w:r>
        <w:rPr>
          <w:color w:val="808080"/>
        </w:rPr>
        <w:t>(Freundes)</w:t>
      </w:r>
      <w:r>
        <w:rPr/>
        <w:t xml:space="preserve">, der für ihn Brautführer </w:t>
      </w:r>
      <w:r>
        <w:rPr>
          <w:color w:val="808080"/>
        </w:rPr>
        <w:t>(Gefährte)</w:t>
      </w:r>
      <w:r>
        <w:rPr/>
        <w:t xml:space="preserve"> </w:t>
      </w:r>
      <w:r>
        <w:rPr>
          <w:b/>
          <w:color w:val="808080"/>
        </w:rPr>
        <w:t>[</w:t>
      </w:r>
      <w:r>
        <w:rPr/>
        <w:t>gewesen war</w:t>
      </w:r>
      <w:r>
        <w:rPr>
          <w:b/>
          <w:color w:val="808080"/>
        </w:rPr>
        <w:t>]</w:t>
      </w:r>
      <w:r>
        <w:rPr/>
        <w:t xml:space="preserve">.{{field-off:bible}} </w:t>
      </w:r>
    </w:p>
    <w:p>
      <w:pPr>
        <w:pStyle w:val="Berschrift2"/>
        <w:rPr/>
      </w:pPr>
      <w:r>
        <w:rPr/>
        <w:t>[[@BibleTOBIBLE:Ru]]Rut</w:t>
      </w:r>
    </w:p>
    <w:p>
      <w:pPr>
        <w:pStyle w:val="Berschrift3"/>
        <w:rPr/>
      </w:pPr>
      <w:r>
        <w:rPr/>
        <w:t>[[@BibleTOBIBLE:Ru 1]]Kapitel 1</w:t>
      </w:r>
    </w:p>
    <w:p>
      <w:pPr>
        <w:pStyle w:val="Textkrper"/>
        <w:rPr/>
      </w:pPr>
      <w:r>
        <w:rPr/>
        <w:t>Das Rutbuch ist eine in Kunstprosa abgefasste juristische Parabel. Zum Verständnis und zur rechten Würdigung des ersten Kapitels tun also einige Anmerkungen zur Struktur und zu den rechtlichen Hintergründen Not: Die Hauptpersonen des Rutbuches sind neben Boas (s. Kap. 2) die Israelitin Noomi und die Moabiterin Rut. Kapitel 1 schildert die Vorgeschichte, nämlich schildert es, wie die ungewöhnliche Zweiergruppe Noomi + Rut zusammengefunden hat. Vv. 1-5 dienen dabei dazu, Noomis Angehörige durch ihre sukzessiven Tode aus der Geschichte zu nehmen. Dies ist auf eine kunstvolle Weise gestaltet; die Verse funktionieren ein wenig wie das Kinderlied „10 kleine Negerlein“: * V. 1: [Es waren] er, seine Frau und seine beiden Söhne[Elimelech stirbt] * V. 3: Sie hinterblieb; sie und ihre beiden Söhne[Die beiden Söhne sterben] * V. 5: Sie hinterblieb; die Frau, ohne ihre beiden Kinder und ohne ihren Mann (vgl. Zenger 1986, S.d 32) Und damit ist eine ursprünglich intakte Familie zusammengeschrumpft auf eine Witwe, die zu alt ist, um noch Kinder bekommen zu können, und ihre beiden ebenfalls verwitweten Schwiegertöchter, die zu allem Überfluss auch noch Moabiterinnen sind (s. u.). Witwenschaft ist im Alten Orient eine soziale Krisensituation (vgl. näher Witwe und Waise (WiBiLex)): Frauen hatten in der patriarchalisch strukturierten Gesellschaft des Alten Israel weder Erb- noch Besitzrecht (s. Num 27,8-11</w:t>
      </w:r>
      <w:r>
        <w:rPr>
          <w:rStyle w:val="Funotenanker"/>
        </w:rPr>
        <w:footnoteReference w:customMarkFollows="1" w:id="151"/>
        <w:t>a</w:t>
      </w:r>
      <w:r>
        <w:rPr/>
        <w:t>). Weil neben dem Besitz auch die Rechtspflege und der Kult in den Händen der Männer lag, waren Witwen zudem rechtlich und religiös benachteiligt; mit dem Tod ihres Ehemannes stand also eine Witwe auf einmal mit leeren Händen und ohne rechtlichen Status da. Als Ausweg bot das israelitische Recht die sog. „Schwagerehe“ (s. dazu näher die Anmerkungen zu Kap. 4): Eine Witwe ohne männliche Nachkommen konnte mit dem Bruder ihres verstorbenen Ehegatten ein Kind zeugen, das dann rechtlich als Nachkomme des Verstorbenen galt und dessen Erblinie fortführen konnte. Doch Noomi ist zu alt, um noch Kinder bekommen zu können (V. 12) - möglich wäre daher nur, dass Rut oder Orpa durch die Schwagerehe einen Nachkommen Machlons oder Kiljons zeugten, der die Erblinie dieser beiden fortführen und durch den die drei Witwen dann indirekt doch wieder Recht auf Besitz haben würden. Aus dieser Perspektive ist es daher auch naheliegend, dass Noomi Rut und Orpa mit nach Israel nimmt, obwohl ihnen dort als ausländische Witwen ein äußerst schweres Schicksal bevorsteht. Dies ist der Ausgangspunkt des Rutbuches; V. 6 bietet die Personenkonstellation (1) Noomi &lt;=&gt; (2) „ihre beiden Schwiegertöchter“ (auf die sich Noomi in ihren Reden in Vv. 8-13 auch immer wieder mit sog. „Dual-Pronomen“ bezieht, s. FN w zu Vv. 8.9.11.13). Vv. 6-19 dienen dazu, diese Personenkonstellation umzuschichten: Auch Orpa muss aus der Geschichte genommen werden, damit am Ende die besagte Zweiergruppe Noomi + Rut übrig bleiben kann. Vv. 6-7 schildert zunächst, wie die beiden Gruppen immer mehr zusammenwachsen. Dieses Zusammenwachsen wird gar nicht expliziert, sondern drückt sich nur in der raffinierten Formulierung des Abschnitts aus: Der erste Reiseabschnitt wird widerum in drei Etappen aufgeteilt (unterstrichen) und für jede dieser Etappen wird eine andere grammatische Konstruktion verwendet, mit der die Gruppe bezeichnet und derart immer enger zusammengeschlossen wird (gefettet): * (a): V. 6: Sie &lt;u&gt;begann&lt;/u&gt;, zurückzukehren - sie und ihre Schwiegertöchter. (Eine sog. „gespaltene Koordination“; s. FNn h.q.r) * (b): V. 7a: Sie &lt;u&gt;verließ&lt;/u&gt; den Ort, wo sie gewesen war, und ihre beiden Schwiegertöchter waren bei ihr. (Singular + Ergänzung) * (c): V. 7b: Sie &lt;u&gt;gingen&lt;/u&gt; auf dem Weg, um in das Land Juda zurückzukehren. (Plural) In Vv. 8-18 dann wird Orpa aus dieser neu gebildeten Dreiergruppe herausgenommen, damit es am Ende nur noch von Noomi und Rut heißen kann: * (d): V. 19a: Diese zwei beiden &lt;u&gt;gingen&lt;/u&gt;, bis sie nach Betlehem kamen. (Plural + Dual-pronomen) Orpa allerdings verschwindet erst nach einer längeren und regelrecht verrückten Diskussion, in der jeder zu seinem eigenen Nachteil argumentiert: Noomi möchte überraschenderweise ihre beiden Schwiegertöchter wieder nach Hause schicken (obwohl ja gezeigt wurde, wie sehr Noomi davon profitieren würde, wenn die beiden sie begleiteten) und ihre beiden Schwiegertöchter möchten sich dem überraschenderweise widersetzen und Noomi nach Israel begleiten (obwohl ihnen als moabitischen Witwen dort, wie gesagt, ein äußerst schweren Schicksal bevorstünde). Noch überraschender ist die Diskussion, wenn man folgendes bedenkt: Die Schwagerehe war nicht nur ein Recht von Witwen, sondern auch ihre Pflicht: Solange die Möglichkeit einer Schwagerehe bestand, war eine Witwe nicht frei, zu gehen, wohin sie wollte oder zu heiraten, wen sie wollte (vgl. z.B. Belkin 1970, S. 280.283), da sie immer noch als Ehefrau des Verstorbenen angesehen wurde.</w:t>
      </w:r>
      <w:r>
        <w:rPr>
          <w:rStyle w:val="Funotenanker"/>
        </w:rPr>
        <w:footnoteReference w:customMarkFollows="1" w:id="152"/>
        <w:t>b</w:t>
      </w:r>
      <w:r>
        <w:rPr/>
        <w:t xml:space="preserve"> Noomi begeht also recht sicher einen von vielen Rechtsbrüchen im Rutbuch (zu zwei sicheren Rechtsbrüchen s.u.), als sie in V. 8 Rut und Orpa von ihrer Schwagerehenpflicht entbinden und nach Hause schicken will (s. FN x).</w:t>
      </w:r>
      <w:r>
        <w:rPr>
          <w:rStyle w:val="Funotenanker"/>
        </w:rPr>
        <w:footnoteReference w:customMarkFollows="1" w:id="153"/>
        <w:t>c</w:t>
      </w:r>
      <w:r>
        <w:rPr/>
        <w:t xml:space="preserve">Sowohl die Diskussion als auch gar Noomis Wille zum Rechtsbruch - sogar zu ihrem eigenen Nachteil - als auch die Tatsache, dass diese Diskussion nicht schon in Moab, sondern irgendwo zwischen Moab und Israel geschieht, lässt sich nur durch dies oben genannte „Zusammenwachsen“ der Gruppe erklären. Nur bei Orpa hat Noomi Erfolg: Orpa kehrt nach Moab zurück; Rut dagegen bleibt hartnäckig. Ausschlaggebend dafür, dass Noomi letztendlich doch zulässt, dass Rut sie begleitet, ist dann deren berühmter Schwur in Vv. 16f: : Dahin, wohin du gehen wirst, will ich gehen, : und da, wo du rasten wirst, will ich rasten; :: Dein Volk sei mein Volk :: Und dein Gott sei mein Gott; : Da, wo du sterben wirst, will ich sterben : Und dort will ich begraben sein! (vgl. Hongisto 1985, S. 22; ähnlich Gow 1984, S. 312) Im Zentrum dieses wundervollen Schwurs steht also Ruts Wille, zu Noomis Volk und zu ihrem Gott gehören zu wollen. Doch das ist verboten: Rut ist Moabiterin. Das ist schon ein Problem für die Ehe zwischen Machlon und Rut: Mischehen - bes. mit Ammonitern und Moabitern - waren Israeliten strengstens untersagt (s. Dtn 7,1-3; auch Neh 13,1-3.23-27 zu Dtn 23,4f), da bei Mischehen die Gefahr bestand, fremdländische Frauen könnten ihre Ehemänner dem </w:t>
      </w:r>
      <w:r>
        <w:rPr>
          <w:rStyle w:val="Funotenanker"/>
        </w:rPr>
        <w:footnoteReference w:customMarkFollows="1" w:id="154"/>
        <w:t>d</w:t>
      </w:r>
      <w:r>
        <w:rPr/>
        <w:t>-Glauben abspenstig machen (s. Dtn 7,4). Die Ehen von Kiljon und Orpa und von Machlon und Rut widersprechen also dem israelitischen Recht und sind so der erste Rechtsbruch im Rutbuch. Ebenso problematisch ist Ruts Herkunft aber für die eben genannte Willensbekundung: Auch die Aufnahme von Moabitern in die „Gemeinde des Herrn“ ist verboten (s. noch mal Dtn 23,4), weil sie „den Israeliten einst nicht mit Brot und Wasser entgegengekommen seien“ (s. Dtn 23,5). Dass Noomi dennoch zulässt, dass Rut sie begleitet, ist also deutlich ein weiterer Rechtsbruch; und beide Rechtsbrüche werden dem Leser zu allem Überfluss in V. 22 - dem letzten Vers des Kapitels - noch einmal eingehämmert, damit auch dem Letzten klar wird, was das eigentlich bedeutet, das da im ersten Kapitel vor sich geht: &lt;blockquote&gt;So also kehrte Noomi zurück, und Rut, die Moabiterin (!), ihre Schwiegertochter (!), war bei ihr (!).Diese beiden (!) kamen nach Betlehem (!). (Plural + Dual-Pronomen (s.o.)).</w:t>
      </w:r>
      <w:r>
        <w:rPr>
          <w:rStyle w:val="Funotenanker"/>
        </w:rPr>
        <w:footnoteReference w:customMarkFollows="1" w:id="155"/>
        <w:t>e</w:t>
      </w:r>
      <w:r>
        <w:rPr/>
        <w:t xml:space="preserve">&lt;/blockquote&gt; </w:t>
        <w:br/>
        <w:br/>
        <w:t>[[@BibleTOBIBLE:Ru 1:1]]</w:t>
      </w:r>
      <w:r>
        <w:rPr>
          <w:b/>
        </w:rPr>
        <w:t>1</w:t>
      </w:r>
      <w:r>
        <w:rPr/>
        <w:t xml:space="preserve"> {{field-on:bible}} </w:t>
      </w:r>
      <w:r>
        <w:rPr>
          <w:rStyle w:val="Funotenanker"/>
        </w:rPr>
        <w:footnoteReference w:customMarkFollows="1" w:id="156"/>
        <w:t>Status</w:t>
      </w:r>
      <w:r>
        <w:rPr/>
        <w:t xml:space="preserve"> Zur Zeit </w:t>
      </w:r>
      <w:r>
        <w:rPr>
          <w:color w:val="808080"/>
        </w:rPr>
        <w:t>(in den Tagen)</w:t>
      </w:r>
      <w:r>
        <w:rPr/>
        <w:t xml:space="preserve"> des Richtens der Richter</w:t>
      </w:r>
      <w:r>
        <w:rPr>
          <w:rStyle w:val="Funotenanker"/>
        </w:rPr>
        <w:footnoteReference w:customMarkFollows="1" w:id="157"/>
        <w:t>f</w:t>
      </w:r>
      <w:r>
        <w:rPr/>
        <w:t xml:space="preserve"> war </w:t>
      </w:r>
      <w:r>
        <w:rPr>
          <w:color w:val="808080"/>
        </w:rPr>
        <w:t>(herrschte)</w:t>
      </w:r>
      <w:r>
        <w:rPr/>
        <w:t xml:space="preserve"> eine Hungersnot im Land</w:t>
      </w:r>
      <w:r>
        <w:rPr>
          <w:rStyle w:val="Funotenanker"/>
        </w:rPr>
        <w:footnoteReference w:customMarkFollows="1" w:id="158"/>
        <w:t>g</w:t>
      </w:r>
      <w:r>
        <w:rPr/>
        <w:t xml:space="preserve"> </w:t>
      </w:r>
      <w:r>
        <w:rPr>
          <w:color w:val="808080"/>
        </w:rPr>
        <w:t>(kam eine Hungersnot über das Land)</w:t>
      </w:r>
      <w:r>
        <w:rPr/>
        <w:t>. Da verließ</w:t>
      </w:r>
      <w:r>
        <w:rPr>
          <w:rStyle w:val="Funotenanker"/>
        </w:rPr>
        <w:footnoteReference w:customMarkFollows="1" w:id="159"/>
        <w:t>h</w:t>
      </w:r>
      <w:r>
        <w:rPr/>
        <w:t xml:space="preserve"> ein Mann Betlehem in Juda </w:t>
      </w:r>
      <w:r>
        <w:rPr>
          <w:color w:val="808080"/>
        </w:rPr>
        <w:t xml:space="preserve">(machte sich ein aus Betlehem in Juda </w:t>
      </w:r>
      <w:r>
        <w:rPr>
          <w:b/>
          <w:color w:val="808080"/>
        </w:rPr>
        <w:t>[</w:t>
      </w:r>
      <w:r>
        <w:rPr>
          <w:color w:val="808080"/>
        </w:rPr>
        <w:t>stammender</w:t>
      </w:r>
      <w:r>
        <w:rPr>
          <w:b/>
          <w:color w:val="808080"/>
        </w:rPr>
        <w:t>]</w:t>
      </w:r>
      <w:r>
        <w:rPr>
          <w:color w:val="808080"/>
        </w:rPr>
        <w:t xml:space="preserve"> Mann auf)</w:t>
      </w:r>
      <w:r>
        <w:rPr/>
        <w:t xml:space="preserve"> </w:t>
      </w:r>
      <w:r>
        <w:rPr>
          <w:rStyle w:val="Funotenanker"/>
        </w:rPr>
        <w:footnoteReference w:customMarkFollows="1" w:id="160"/>
        <w:t>i</w:t>
      </w:r>
      <w:r>
        <w:rPr/>
        <w:t xml:space="preserve">, um sich in </w:t>
      </w:r>
      <w:r>
        <w:rPr>
          <w:strike/>
          <w:color w:val="808080"/>
        </w:rPr>
        <w:t>{dem Gebiet von}</w:t>
      </w:r>
      <w:r>
        <w:rPr/>
        <w:t xml:space="preserve"> </w:t>
      </w:r>
      <w:r>
        <w:rPr>
          <w:color w:val="808080"/>
        </w:rPr>
        <w:t>(bei den Feldern von)</w:t>
      </w:r>
      <w:r>
        <w:rPr/>
        <w:t xml:space="preserve"> </w:t>
      </w:r>
      <w:r>
        <w:rPr>
          <w:rStyle w:val="Funotenanker"/>
        </w:rPr>
        <w:footnoteReference w:customMarkFollows="1" w:id="161"/>
        <w:t>j</w:t>
      </w:r>
      <w:r>
        <w:rPr/>
        <w:t xml:space="preserve"> Moab</w:t>
      </w:r>
      <w:r>
        <w:rPr>
          <w:rStyle w:val="Funotenanker"/>
        </w:rPr>
        <w:footnoteReference w:customMarkFollows="1" w:id="162"/>
        <w:t>k</w:t>
      </w:r>
      <w:r>
        <w:rPr/>
        <w:t xml:space="preserve"> niederzulassen</w:t>
      </w:r>
      <w:r>
        <w:rPr>
          <w:rStyle w:val="Funotenanker"/>
        </w:rPr>
        <w:footnoteReference w:customMarkFollows="1" w:id="163"/>
        <w:t>l</w:t>
      </w:r>
      <w:r>
        <w:rPr/>
        <w:t xml:space="preserve"> - er, seine Frau und seine beiden Söhne</w:t>
      </w:r>
      <w:r>
        <w:rPr>
          <w:rStyle w:val="Funotenanker"/>
        </w:rPr>
        <w:footnoteReference w:customMarkFollows="1" w:id="164"/>
        <w:t>m</w:t>
      </w:r>
      <w:r>
        <w:rPr/>
        <w:t xml:space="preserve">.{{field-off:bible}} </w:t>
        <w:br/>
        <w:t>[[@BibleTOBIBLE:Ru 1:2]]</w:t>
      </w:r>
      <w:r>
        <w:rPr>
          <w:b/>
        </w:rPr>
        <w:t>2</w:t>
      </w:r>
      <w:r>
        <w:rPr/>
        <w:t xml:space="preserve"> {{field-on:bible}}Der Name des Mannes </w:t>
      </w:r>
      <w:r>
        <w:rPr>
          <w:b/>
          <w:color w:val="808080"/>
        </w:rPr>
        <w:t>[</w:t>
      </w:r>
      <w:r>
        <w:rPr/>
        <w:t>war</w:t>
      </w:r>
      <w:r>
        <w:rPr>
          <w:b/>
          <w:color w:val="808080"/>
        </w:rPr>
        <w:t>]</w:t>
      </w:r>
      <w:r>
        <w:rPr/>
        <w:t xml:space="preserve"> Elimelech </w:t>
      </w:r>
      <w:r>
        <w:rPr>
          <w:color w:val="808080"/>
        </w:rPr>
        <w:t>(mein Gott ist König)</w:t>
      </w:r>
      <w:r>
        <w:rPr/>
        <w:t xml:space="preserve"> und der Name seiner Frau </w:t>
      </w:r>
      <w:r>
        <w:rPr>
          <w:b/>
          <w:color w:val="808080"/>
        </w:rPr>
        <w:t>[</w:t>
      </w:r>
      <w:r>
        <w:rPr/>
        <w:t>war</w:t>
      </w:r>
      <w:r>
        <w:rPr>
          <w:b/>
          <w:color w:val="808080"/>
        </w:rPr>
        <w:t>]</w:t>
      </w:r>
      <w:r>
        <w:rPr/>
        <w:t xml:space="preserve"> Noomi </w:t>
      </w:r>
      <w:r>
        <w:rPr>
          <w:color w:val="808080"/>
        </w:rPr>
        <w:t>(lieblich)</w:t>
      </w:r>
      <w:r>
        <w:rPr/>
        <w:t xml:space="preserve"> und die Namen seiner beiden Söhne </w:t>
      </w:r>
      <w:r>
        <w:rPr>
          <w:b/>
          <w:color w:val="808080"/>
        </w:rPr>
        <w:t>[</w:t>
      </w:r>
      <w:r>
        <w:rPr/>
        <w:t>waren</w:t>
      </w:r>
      <w:r>
        <w:rPr>
          <w:b/>
          <w:color w:val="808080"/>
        </w:rPr>
        <w:t>]</w:t>
      </w:r>
      <w:r>
        <w:rPr/>
        <w:t xml:space="preserve"> </w:t>
      </w:r>
      <w:r>
        <w:rPr>
          <w:rStyle w:val="Funotenanker"/>
        </w:rPr>
        <w:footnoteReference w:customMarkFollows="1" w:id="165"/>
        <w:t>n</w:t>
      </w:r>
      <w:r>
        <w:rPr/>
        <w:t xml:space="preserve"> Machlon </w:t>
      </w:r>
      <w:r>
        <w:rPr>
          <w:color w:val="808080"/>
        </w:rPr>
        <w:t>(krank?)</w:t>
      </w:r>
      <w:r>
        <w:rPr/>
        <w:t xml:space="preserve"> </w:t>
      </w:r>
      <w:r>
        <w:rPr>
          <w:rStyle w:val="Funotenanker"/>
        </w:rPr>
        <w:footnoteReference w:customMarkFollows="1" w:id="166"/>
        <w:t>o</w:t>
      </w:r>
      <w:r>
        <w:rPr/>
        <w:t xml:space="preserve"> und Kiljon </w:t>
      </w:r>
      <w:r>
        <w:rPr>
          <w:color w:val="808080"/>
        </w:rPr>
        <w:t>(schwindend?)</w:t>
      </w:r>
      <w:r>
        <w:rPr/>
        <w:t xml:space="preserve">. </w:t>
      </w:r>
      <w:r>
        <w:rPr>
          <w:b/>
          <w:color w:val="808080"/>
        </w:rPr>
        <w:t>[</w:t>
      </w:r>
      <w:r>
        <w:rPr/>
        <w:t>Sie waren</w:t>
      </w:r>
      <w:r>
        <w:rPr>
          <w:b/>
          <w:color w:val="808080"/>
        </w:rPr>
        <w:t>]</w:t>
      </w:r>
      <w:r>
        <w:rPr/>
        <w:t xml:space="preserve"> Efratiter</w:t>
      </w:r>
      <w:r>
        <w:rPr>
          <w:rStyle w:val="Funotenanker"/>
        </w:rPr>
        <w:footnoteReference w:customMarkFollows="1" w:id="167"/>
        <w:t>p</w:t>
      </w:r>
      <w:r>
        <w:rPr/>
        <w:t xml:space="preserve"> aus Betlehem in Juda. Und so kamen sie </w:t>
      </w:r>
      <w:r>
        <w:rPr>
          <w:strike/>
          <w:color w:val="808080"/>
        </w:rPr>
        <w:t>{in das Gebiet von}</w:t>
      </w:r>
      <w:r>
        <w:rPr/>
        <w:t xml:space="preserve"> </w:t>
      </w:r>
      <w:r>
        <w:rPr>
          <w:b/>
          <w:color w:val="808080"/>
        </w:rPr>
        <w:t>[</w:t>
      </w:r>
      <w:r>
        <w:rPr/>
        <w:t>nach</w:t>
      </w:r>
      <w:r>
        <w:rPr>
          <w:b/>
          <w:color w:val="808080"/>
        </w:rPr>
        <w:t>]</w:t>
      </w:r>
      <w:r>
        <w:rPr/>
        <w:t xml:space="preserve"> </w:t>
      </w:r>
      <w:r>
        <w:rPr>
          <w:color w:val="808080"/>
        </w:rPr>
        <w:t>(zu den Feldern von)</w:t>
      </w:r>
      <w:r>
        <w:rPr/>
        <w:t xml:space="preserve"> Moab und blieben dort.{{field-off:bible}} </w:t>
        <w:br/>
        <w:t>[[@BibleTOBIBLE:Ru 1:3]]</w:t>
      </w:r>
      <w:r>
        <w:rPr>
          <w:b/>
        </w:rPr>
        <w:t>3</w:t>
      </w:r>
      <w:r>
        <w:rPr/>
        <w:t xml:space="preserve"> {{field-on:bible}}Da starb</w:t>
      </w:r>
      <w:r>
        <w:rPr>
          <w:rStyle w:val="Funotenanker"/>
        </w:rPr>
        <w:footnoteReference w:customMarkFollows="1" w:id="168"/>
        <w:t>q</w:t>
      </w:r>
      <w:r>
        <w:rPr/>
        <w:t xml:space="preserve"> Elimelech, der Mann Noomis, und sie hinterblieb, sie und ihre beiden Söhne.{{field-off:bible}} </w:t>
        <w:br/>
        <w:t>[[@BibleTOBIBLE:Ru 1:4]]</w:t>
      </w:r>
      <w:r>
        <w:rPr>
          <w:b/>
        </w:rPr>
        <w:t>4</w:t>
      </w:r>
      <w:r>
        <w:rPr/>
        <w:t xml:space="preserve"> {{field-on:bible}}Sie nahmen sich moabitische Frauen </w:t>
      </w:r>
      <w:r>
        <w:rPr>
          <w:color w:val="808080"/>
        </w:rPr>
        <w:t>(Sie gingen Mischehen mit moabitischen Frauen ein?)</w:t>
      </w:r>
      <w:r>
        <w:rPr/>
        <w:t xml:space="preserve"> </w:t>
      </w:r>
      <w:r>
        <w:rPr>
          <w:rStyle w:val="Funotenanker"/>
        </w:rPr>
        <w:footnoteReference w:customMarkFollows="1" w:id="169"/>
        <w:t>r</w:t>
      </w:r>
      <w:r>
        <w:rPr/>
        <w:t xml:space="preserve">. Der Name der einen </w:t>
      </w:r>
      <w:r>
        <w:rPr>
          <w:b/>
          <w:color w:val="808080"/>
        </w:rPr>
        <w:t>[</w:t>
      </w:r>
      <w:r>
        <w:rPr/>
        <w:t>war</w:t>
      </w:r>
      <w:r>
        <w:rPr>
          <w:b/>
          <w:color w:val="808080"/>
        </w:rPr>
        <w:t>]</w:t>
      </w:r>
      <w:r>
        <w:rPr/>
        <w:t xml:space="preserve"> Orpa </w:t>
      </w:r>
      <w:r>
        <w:rPr>
          <w:color w:val="808080"/>
        </w:rPr>
        <w:t>(Nacken?, Wolke?)</w:t>
      </w:r>
      <w:r>
        <w:rPr/>
        <w:t xml:space="preserve"> und der Name der anderen </w:t>
      </w:r>
      <w:r>
        <w:rPr>
          <w:b/>
          <w:color w:val="808080"/>
        </w:rPr>
        <w:t>[</w:t>
      </w:r>
      <w:r>
        <w:rPr/>
        <w:t>war</w:t>
      </w:r>
      <w:r>
        <w:rPr>
          <w:b/>
          <w:color w:val="808080"/>
        </w:rPr>
        <w:t>]</w:t>
      </w:r>
      <w:r>
        <w:rPr/>
        <w:t xml:space="preserve"> Rut </w:t>
      </w:r>
      <w:r>
        <w:rPr>
          <w:color w:val="808080"/>
        </w:rPr>
        <w:t>(Freundin?, Sättigung?)</w:t>
      </w:r>
      <w:r>
        <w:rPr/>
        <w:t>.</w:t>
      </w:r>
      <w:r>
        <w:rPr>
          <w:rStyle w:val="Funotenanker"/>
        </w:rPr>
        <w:footnoteReference w:customMarkFollows="1" w:id="170"/>
        <w:t>s</w:t>
      </w:r>
      <w:r>
        <w:rPr/>
        <w:t xml:space="preserve"> Sie wohnten etwa zehn Jahre dort.{{field-off:bible}} </w:t>
        <w:br/>
        <w:t>[[@BibleTOBIBLE:Ru 1:5]]</w:t>
      </w:r>
      <w:r>
        <w:rPr>
          <w:b/>
        </w:rPr>
        <w:t>5</w:t>
      </w:r>
      <w:r>
        <w:rPr/>
        <w:t xml:space="preserve"> {{field-on:bible}}Da starben auch diese beiden - Machlon und Kiljon -, und es hinterblieb die Frau, ohne ihre beiden Kinder</w:t>
      </w:r>
      <w:r>
        <w:rPr>
          <w:rStyle w:val="Funotenanker"/>
        </w:rPr>
        <w:footnoteReference w:customMarkFollows="1" w:id="171"/>
        <w:t>t</w:t>
      </w:r>
      <w:r>
        <w:rPr/>
        <w:t xml:space="preserve"> und ohne ihren Mann.{{field-off:bible}} </w:t>
        <w:br/>
        <w:t>[[@BibleTOBIBLE:Ru 1:6]]</w:t>
      </w:r>
      <w:r>
        <w:rPr>
          <w:b/>
        </w:rPr>
        <w:t>6</w:t>
      </w:r>
      <w:r>
        <w:rPr/>
        <w:t xml:space="preserve"> {{field-on:bible}}Und sie begann, zurückzukehren</w:t>
      </w:r>
      <w:r>
        <w:rPr>
          <w:rStyle w:val="Funotenanker"/>
        </w:rPr>
        <w:footnoteReference w:customMarkFollows="1" w:id="172"/>
        <w:t>u</w:t>
      </w:r>
      <w:r>
        <w:rPr/>
        <w:t xml:space="preserve"> - sie und ihre Schwiegertöchter</w:t>
      </w:r>
      <w:r>
        <w:rPr>
          <w:rStyle w:val="Funotenanker"/>
        </w:rPr>
        <w:footnoteReference w:customMarkFollows="1" w:id="173"/>
        <w:t>v</w:t>
      </w:r>
      <w:r>
        <w:rPr/>
        <w:t xml:space="preserve"> - aus </w:t>
      </w:r>
      <w:r>
        <w:rPr>
          <w:strike/>
          <w:color w:val="808080"/>
        </w:rPr>
        <w:t>{dem Gebiet von}</w:t>
      </w:r>
      <w:r>
        <w:rPr/>
        <w:t xml:space="preserve"> </w:t>
      </w:r>
      <w:r>
        <w:rPr>
          <w:color w:val="808080"/>
        </w:rPr>
        <w:t>(von den Feldern von)</w:t>
      </w:r>
      <w:r>
        <w:rPr/>
        <w:t xml:space="preserve"> Moab, weil sie in </w:t>
      </w:r>
      <w:r>
        <w:rPr>
          <w:strike/>
          <w:color w:val="808080"/>
        </w:rPr>
        <w:t>{dem Gebiet von}</w:t>
      </w:r>
      <w:r>
        <w:rPr/>
        <w:t xml:space="preserve"> </w:t>
      </w:r>
      <w:r>
        <w:rPr>
          <w:color w:val="808080"/>
        </w:rPr>
        <w:t>(bei den Feldern von)</w:t>
      </w:r>
      <w:r>
        <w:rPr/>
        <w:t xml:space="preserve"> Moab gehört hatte</w:t>
      </w:r>
      <w:r>
        <w:rPr>
          <w:rStyle w:val="Funotenanker"/>
        </w:rPr>
        <w:footnoteReference w:customMarkFollows="1" w:id="174"/>
        <w:t>w</w:t>
      </w:r>
      <w:r>
        <w:rPr/>
        <w:t xml:space="preserve">, dass </w:t>
      </w:r>
      <w:r>
        <w:rPr>
          <w:smallCaps/>
          <w:color w:val="FF0000"/>
        </w:rPr>
        <w:t>JHWH</w:t>
      </w:r>
      <w:r>
        <w:rPr/>
        <w:t xml:space="preserve"> sein Volk besucht hatte</w:t>
      </w:r>
      <w:r>
        <w:rPr>
          <w:rStyle w:val="Funotenanker"/>
        </w:rPr>
        <w:footnoteReference w:customMarkFollows="1" w:id="175"/>
        <w:t>x</w:t>
      </w:r>
      <w:r>
        <w:rPr/>
        <w:t>, indem er ihm Brot</w:t>
      </w:r>
      <w:r>
        <w:rPr>
          <w:rStyle w:val="Funotenanker"/>
        </w:rPr>
        <w:footnoteReference w:customMarkFollows="1" w:id="176"/>
        <w:t>y</w:t>
      </w:r>
      <w:r>
        <w:rPr/>
        <w:t xml:space="preserve"> gegeben hatte.{{field-off:bible}} </w:t>
        <w:br/>
        <w:t>[[@BibleTOBIBLE:Ru 1:7]]</w:t>
      </w:r>
      <w:r>
        <w:rPr>
          <w:b/>
        </w:rPr>
        <w:t>7</w:t>
      </w:r>
      <w:r>
        <w:rPr/>
        <w:t xml:space="preserve"> {{field-on:bible}}Und sie verließ den Ort, wo sie gewesen war, und ihre beiden Schwiegertöchter </w:t>
      </w:r>
      <w:r>
        <w:rPr>
          <w:b/>
          <w:color w:val="808080"/>
        </w:rPr>
        <w:t>[</w:t>
      </w:r>
      <w:r>
        <w:rPr/>
        <w:t>waren</w:t>
      </w:r>
      <w:r>
        <w:rPr>
          <w:b/>
          <w:color w:val="808080"/>
        </w:rPr>
        <w:t>]</w:t>
      </w:r>
      <w:r>
        <w:rPr/>
        <w:t xml:space="preserve"> bei ihr </w:t>
      </w:r>
      <w:r>
        <w:rPr>
          <w:color w:val="808080"/>
        </w:rPr>
        <w:t>(standen unter ihrer Aufsicht?</w:t>
      </w:r>
      <w:r>
        <w:rPr/>
        <w:t xml:space="preserve"> </w:t>
      </w:r>
      <w:r>
        <w:rPr>
          <w:rStyle w:val="Funotenanker"/>
        </w:rPr>
        <w:footnoteReference w:customMarkFollows="1" w:id="177"/>
        <w:t>z</w:t>
      </w:r>
      <w:r>
        <w:rPr/>
        <w:t xml:space="preserve"> </w:t>
      </w:r>
      <w:r>
        <w:rPr>
          <w:color w:val="808080"/>
        </w:rPr>
        <w:t>)</w:t>
      </w:r>
      <w:r>
        <w:rPr/>
        <w:t xml:space="preserve">. Und sie gingen auf dem Weg </w:t>
      </w:r>
      <w:r>
        <w:rPr>
          <w:color w:val="808080"/>
        </w:rPr>
        <w:t>(zogen des Weges)</w:t>
      </w:r>
      <w:r>
        <w:rPr/>
        <w:t xml:space="preserve">, um in das Land Juda zurückzukehren.{{field-off:bible}} </w:t>
        <w:br/>
        <w:t>[[@BibleTOBIBLE:Ru 1:8]]</w:t>
      </w:r>
      <w:r>
        <w:rPr>
          <w:b/>
        </w:rPr>
        <w:t>8</w:t>
      </w:r>
      <w:r>
        <w:rPr/>
        <w:t xml:space="preserve"> {{field-on:bible}}Da sagte Noomi zu ihren beiden Schwiegertöchtern: „Geht! Kehrt zurück</w:t>
      </w:r>
      <w:r>
        <w:rPr>
          <w:rStyle w:val="Funotenanker"/>
        </w:rPr>
        <w:footnoteReference w:customMarkFollows="1" w:id="178"/>
        <w:t>aa</w:t>
      </w:r>
      <w:r>
        <w:rPr/>
        <w:t>, jede in das Haus ihrer</w:t>
      </w:r>
      <w:r>
        <w:rPr>
          <w:rStyle w:val="Funotenanker"/>
        </w:rPr>
        <w:footnoteReference w:customMarkFollows="1" w:id="179"/>
        <w:t>ab</w:t>
      </w:r>
      <w:r>
        <w:rPr/>
        <w:t xml:space="preserve"> Mutter</w:t>
      </w:r>
      <w:r>
        <w:rPr>
          <w:rStyle w:val="Funotenanker"/>
        </w:rPr>
        <w:footnoteReference w:customMarkFollows="1" w:id="180"/>
        <w:t>ac</w:t>
      </w:r>
      <w:r>
        <w:rPr/>
        <w:t>!</w:t>
      </w:r>
      <w:r>
        <w:rPr>
          <w:rStyle w:val="Funotenanker"/>
        </w:rPr>
        <w:footnoteReference w:customMarkFollows="1" w:id="181"/>
        <w:t>ad</w:t>
      </w:r>
      <w:r>
        <w:rPr/>
        <w:t xml:space="preserve"> </w:t>
      </w:r>
      <w:r>
        <w:rPr>
          <w:smallCaps/>
          <w:color w:val="FF0000"/>
        </w:rPr>
        <w:t>JHWH</w:t>
      </w:r>
      <w:r>
        <w:rPr/>
        <w:t xml:space="preserve"> erweise euch Güte</w:t>
      </w:r>
      <w:r>
        <w:rPr>
          <w:rStyle w:val="Funotenanker"/>
        </w:rPr>
        <w:footnoteReference w:customMarkFollows="1" w:id="182"/>
        <w:t>ae</w:t>
      </w:r>
      <w:r>
        <w:rPr/>
        <w:t xml:space="preserve">, so wie ihr sie den Toten und mir erwiesen habt:{{field-off:bible}} </w:t>
        <w:br/>
        <w:t>[[@BibleTOBIBLE:Ru 1:9]]</w:t>
      </w:r>
      <w:r>
        <w:rPr>
          <w:b/>
        </w:rPr>
        <w:t>9</w:t>
      </w:r>
      <w:r>
        <w:rPr/>
        <w:t xml:space="preserve"> {{field-on:bible}} </w:t>
      </w:r>
      <w:r>
        <w:rPr>
          <w:smallCaps/>
          <w:color w:val="FF0000"/>
        </w:rPr>
        <w:t>JHWH</w:t>
      </w:r>
      <w:r>
        <w:rPr/>
        <w:t xml:space="preserve"> vergelte es euch damit, dass </w:t>
      </w:r>
      <w:r>
        <w:rPr>
          <w:color w:val="808080"/>
        </w:rPr>
        <w:t>(</w:t>
      </w:r>
      <w:r>
        <w:rPr>
          <w:smallCaps/>
          <w:color w:val="FF0000"/>
        </w:rPr>
        <w:t>JHWH</w:t>
      </w:r>
      <w:r>
        <w:rPr>
          <w:color w:val="808080"/>
        </w:rPr>
        <w:t xml:space="preserve"> gebe, dass)</w:t>
      </w:r>
      <w:r>
        <w:rPr/>
        <w:t xml:space="preserve"> ihr Ruhe</w:t>
      </w:r>
      <w:r>
        <w:rPr>
          <w:rStyle w:val="Funotenanker"/>
        </w:rPr>
        <w:footnoteReference w:customMarkFollows="1" w:id="183"/>
        <w:t>af</w:t>
      </w:r>
      <w:r>
        <w:rPr/>
        <w:t xml:space="preserve"> findet</w:t>
      </w:r>
      <w:r>
        <w:rPr>
          <w:rStyle w:val="Funotenanker"/>
        </w:rPr>
        <w:footnoteReference w:customMarkFollows="1" w:id="184"/>
        <w:t>ag</w:t>
      </w:r>
      <w:r>
        <w:rPr/>
        <w:t xml:space="preserve"> - jede im Haus ihres Mannes</w:t>
      </w:r>
      <w:r>
        <w:rPr>
          <w:rStyle w:val="Funotenanker"/>
        </w:rPr>
        <w:footnoteReference w:customMarkFollows="1" w:id="185"/>
        <w:t>ah</w:t>
      </w:r>
      <w:r>
        <w:rPr/>
        <w:t>!“ - und sie küsste sie. Da erhoben sie ihre Stimmen, weinten</w:t>
      </w:r>
      <w:r>
        <w:rPr>
          <w:rStyle w:val="Funotenanker"/>
        </w:rPr>
        <w:footnoteReference w:customMarkFollows="1" w:id="186"/>
        <w:t>ai</w:t>
      </w:r>
      <w:r>
        <w:rPr/>
        <w:t xml:space="preserve"> {{field-off:bible}} </w:t>
        <w:br/>
        <w:t>[[@BibleTOBIBLE:Ru 1:10]]</w:t>
      </w:r>
      <w:r>
        <w:rPr>
          <w:b/>
        </w:rPr>
        <w:t>10</w:t>
      </w:r>
      <w:r>
        <w:rPr/>
        <w:t xml:space="preserve"> {{field-on:bible}}und sagten zu ihr: „Nein! </w:t>
      </w:r>
      <w:r>
        <w:rPr>
          <w:color w:val="808080"/>
        </w:rPr>
        <w:t>(</w:t>
      </w:r>
      <w:r>
        <w:rPr>
          <w:strike/>
          <w:color w:val="808080"/>
        </w:rPr>
        <w:t>{Nein!}</w:t>
      </w:r>
      <w:r>
        <w:rPr>
          <w:color w:val="808080"/>
        </w:rPr>
        <w:t>)</w:t>
      </w:r>
      <w:r>
        <w:rPr/>
        <w:t xml:space="preserve"> </w:t>
      </w:r>
      <w:r>
        <w:rPr>
          <w:rStyle w:val="Funotenanker"/>
        </w:rPr>
        <w:footnoteReference w:customMarkFollows="1" w:id="187"/>
        <w:t>aj</w:t>
      </w:r>
      <w:r>
        <w:rPr/>
        <w:t xml:space="preserve"> Mit ''dir'' wollen wir zu deinem Volk zurückkehren!“{{field-off:bible}} </w:t>
        <w:br/>
        <w:t>[[@BibleTOBIBLE:Ru 1:11]]</w:t>
      </w:r>
      <w:r>
        <w:rPr>
          <w:b/>
        </w:rPr>
        <w:t>11</w:t>
      </w:r>
      <w:r>
        <w:rPr/>
        <w:t xml:space="preserve"> {{field-on:bible}}Da sagte Noomi: „Kehrt zurück, meine Töchter! Warum wollt ihr mit mir gehen? Sind mir </w:t>
      </w:r>
      <w:r>
        <w:rPr>
          <w:b/>
          <w:color w:val="808080"/>
        </w:rPr>
        <w:t>[</w:t>
      </w:r>
      <w:r>
        <w:rPr/>
        <w:t>etwa</w:t>
      </w:r>
      <w:r>
        <w:rPr>
          <w:b/>
          <w:color w:val="808080"/>
        </w:rPr>
        <w:t>]</w:t>
      </w:r>
      <w:r>
        <w:rPr/>
        <w:t xml:space="preserve"> noch mehr Söhne im Leib, sodass sie eure Männer werden könnten?{{field-off:bible}} </w:t>
        <w:br/>
        <w:t>[[@BibleTOBIBLE:Ru 1:12]]</w:t>
      </w:r>
      <w:r>
        <w:rPr>
          <w:b/>
        </w:rPr>
        <w:t>12</w:t>
      </w:r>
      <w:r>
        <w:rPr/>
        <w:t xml:space="preserve"> {{field-on:bible}}Kehrt zurück, meine Töchter, geht! Denn ich bin zu alt, um </w:t>
      </w:r>
      <w:r>
        <w:rPr>
          <w:b/>
          <w:color w:val="808080"/>
        </w:rPr>
        <w:t>[</w:t>
      </w:r>
      <w:r>
        <w:rPr/>
        <w:t>die Frau</w:t>
      </w:r>
      <w:r>
        <w:rPr>
          <w:b/>
          <w:color w:val="808080"/>
        </w:rPr>
        <w:t>]</w:t>
      </w:r>
      <w:r>
        <w:rPr/>
        <w:t xml:space="preserve"> eines Mannes</w:t>
      </w:r>
      <w:r>
        <w:rPr>
          <w:rStyle w:val="Funotenanker"/>
        </w:rPr>
        <w:footnoteReference w:customMarkFollows="1" w:id="188"/>
        <w:t>ak</w:t>
      </w:r>
      <w:r>
        <w:rPr/>
        <w:t xml:space="preserve"> zu werden. </w:t>
      </w:r>
      <w:r>
        <w:rPr>
          <w:b/>
          <w:color w:val="808080"/>
        </w:rPr>
        <w:t>[</w:t>
      </w:r>
      <w:r>
        <w:rPr/>
        <w:t>Selbst,</w:t>
      </w:r>
      <w:r>
        <w:rPr>
          <w:b/>
          <w:color w:val="808080"/>
        </w:rPr>
        <w:t>]</w:t>
      </w:r>
      <w:r>
        <w:rPr/>
        <w:t xml:space="preserve"> wenn ich sagte: »Es gibt </w:t>
      </w:r>
      <w:r>
        <w:rPr>
          <w:b/>
          <w:color w:val="808080"/>
        </w:rPr>
        <w:t>[</w:t>
      </w:r>
      <w:r>
        <w:rPr/>
        <w:t>noch</w:t>
      </w:r>
      <w:r>
        <w:rPr>
          <w:b/>
          <w:color w:val="808080"/>
        </w:rPr>
        <w:t>]</w:t>
      </w:r>
      <w:r>
        <w:rPr/>
        <w:t xml:space="preserve"> Hoffnung für mich«... ja,</w:t>
      </w:r>
      <w:r>
        <w:rPr>
          <w:rStyle w:val="Funotenanker"/>
        </w:rPr>
        <w:footnoteReference w:customMarkFollows="1" w:id="189"/>
        <w:t>al</w:t>
      </w:r>
      <w:r>
        <w:rPr/>
        <w:t xml:space="preserve"> </w:t>
      </w:r>
      <w:r>
        <w:rPr>
          <w:b/>
          <w:color w:val="808080"/>
        </w:rPr>
        <w:t>[</w:t>
      </w:r>
      <w:r>
        <w:rPr/>
        <w:t>selbst, wenn</w:t>
      </w:r>
      <w:r>
        <w:rPr>
          <w:b/>
          <w:color w:val="808080"/>
        </w:rPr>
        <w:t>]</w:t>
      </w:r>
      <w:r>
        <w:rPr/>
        <w:t xml:space="preserve"> </w:t>
      </w:r>
      <w:r>
        <w:rPr>
          <w:rStyle w:val="Funotenanker"/>
        </w:rPr>
        <w:footnoteReference w:customMarkFollows="1" w:id="190"/>
        <w:t>am</w:t>
      </w:r>
      <w:r>
        <w:rPr/>
        <w:t xml:space="preserve"> ich </w:t>
      </w:r>
      <w:r>
        <w:rPr>
          <w:b/>
          <w:color w:val="808080"/>
        </w:rPr>
        <w:t>[</w:t>
      </w:r>
      <w:r>
        <w:rPr/>
        <w:t>noch</w:t>
      </w:r>
      <w:r>
        <w:rPr>
          <w:b/>
          <w:color w:val="808080"/>
        </w:rPr>
        <w:t>]</w:t>
      </w:r>
      <w:r>
        <w:rPr/>
        <w:t xml:space="preserve"> diese Nacht </w:t>
      </w:r>
      <w:r>
        <w:rPr>
          <w:b/>
          <w:color w:val="808080"/>
        </w:rPr>
        <w:t>[</w:t>
      </w:r>
      <w:r>
        <w:rPr/>
        <w:t>die Frau</w:t>
      </w:r>
      <w:r>
        <w:rPr>
          <w:b/>
          <w:color w:val="808080"/>
        </w:rPr>
        <w:t>]</w:t>
      </w:r>
      <w:r>
        <w:rPr/>
        <w:t xml:space="preserve"> eines Mannes würde... ja, </w:t>
      </w:r>
      <w:r>
        <w:rPr>
          <w:b/>
          <w:color w:val="808080"/>
        </w:rPr>
        <w:t>[</w:t>
      </w:r>
      <w:r>
        <w:rPr/>
        <w:t>selbst, wenn</w:t>
      </w:r>
      <w:r>
        <w:rPr>
          <w:b/>
          <w:color w:val="808080"/>
        </w:rPr>
        <w:t>]</w:t>
      </w:r>
      <w:r>
        <w:rPr/>
        <w:t xml:space="preserve"> ich sogar </w:t>
      </w:r>
      <w:r>
        <w:rPr>
          <w:b/>
          <w:color w:val="808080"/>
        </w:rPr>
        <w:t>[</w:t>
      </w:r>
      <w:r>
        <w:rPr/>
        <w:t>bereits</w:t>
      </w:r>
      <w:r>
        <w:rPr>
          <w:b/>
          <w:color w:val="808080"/>
        </w:rPr>
        <w:t>]</w:t>
      </w:r>
      <w:r>
        <w:rPr/>
        <w:t xml:space="preserve"> Söhne geboren hätte </w:t>
      </w:r>
      <w:r>
        <w:rPr>
          <w:color w:val="808080"/>
        </w:rPr>
        <w:t>(gebären würde)</w:t>
      </w:r>
      <w:r>
        <w:rPr/>
        <w:t xml:space="preserve"> -{{field-off:bible}} </w:t>
        <w:br/>
        <w:t>[[@BibleTOBIBLE:Ru 1:13]]</w:t>
      </w:r>
      <w:r>
        <w:rPr>
          <w:b/>
        </w:rPr>
        <w:t>13</w:t>
      </w:r>
      <w:r>
        <w:rPr/>
        <w:t xml:space="preserve"> {{field-on:bible}}würdet ihr deshalb </w:t>
      </w:r>
      <w:r>
        <w:rPr>
          <w:color w:val="808080"/>
        </w:rPr>
        <w:t>(darauf, auf diese)</w:t>
      </w:r>
      <w:r>
        <w:rPr/>
        <w:t xml:space="preserve"> </w:t>
      </w:r>
      <w:r>
        <w:rPr>
          <w:rStyle w:val="Funotenanker"/>
        </w:rPr>
        <w:footnoteReference w:customMarkFollows="1" w:id="191"/>
        <w:t>an</w:t>
      </w:r>
      <w:r>
        <w:rPr/>
        <w:t xml:space="preserve"> warten wollen, bis sie erwachsen sein würden? Würdet ihr an deshalb </w:t>
      </w:r>
      <w:r>
        <w:rPr>
          <w:color w:val="808080"/>
        </w:rPr>
        <w:t>(darauf, an diese)</w:t>
      </w:r>
      <w:r>
        <w:rPr/>
        <w:t xml:space="preserve"> gebunden sein wollen</w:t>
      </w:r>
      <w:r>
        <w:rPr>
          <w:rStyle w:val="Funotenanker"/>
        </w:rPr>
        <w:footnoteReference w:customMarkFollows="1" w:id="192"/>
        <w:t>ao</w:t>
      </w:r>
      <w:r>
        <w:rPr/>
        <w:t xml:space="preserve">, indem ihr nicht </w:t>
      </w:r>
      <w:r>
        <w:rPr>
          <w:b/>
          <w:color w:val="808080"/>
        </w:rPr>
        <w:t>[</w:t>
      </w:r>
      <w:r>
        <w:rPr/>
        <w:t>die Frau</w:t>
      </w:r>
      <w:r>
        <w:rPr>
          <w:b/>
          <w:color w:val="808080"/>
        </w:rPr>
        <w:t>]</w:t>
      </w:r>
      <w:r>
        <w:rPr/>
        <w:t xml:space="preserve"> eines Mannes seid?</w:t>
      </w:r>
      <w:r>
        <w:rPr>
          <w:rStyle w:val="Funotenanker"/>
        </w:rPr>
        <w:footnoteReference w:customMarkFollows="1" w:id="193"/>
        <w:t>ap</w:t>
      </w:r>
      <w:r>
        <w:rPr/>
        <w:t xml:space="preserve"> Nein, meine Töchter! Ach, mir ist es um euretwillen sehr bitter, dass</w:t>
      </w:r>
      <w:r>
        <w:rPr>
          <w:rStyle w:val="Funotenanker"/>
        </w:rPr>
        <w:footnoteReference w:customMarkFollows="1" w:id="194"/>
        <w:t>aq</w:t>
      </w:r>
      <w:r>
        <w:rPr/>
        <w:t xml:space="preserve"> die Hand </w:t>
      </w:r>
      <w:r>
        <w:rPr>
          <w:smallCaps/>
          <w:color w:val="FF0000"/>
        </w:rPr>
        <w:t>JHWH</w:t>
      </w:r>
      <w:r>
        <w:rPr/>
        <w:t>s gegen mich ging</w:t>
      </w:r>
      <w:r>
        <w:rPr>
          <w:rStyle w:val="Funotenanker"/>
        </w:rPr>
        <w:footnoteReference w:customMarkFollows="1" w:id="195"/>
        <w:t>ar</w:t>
      </w:r>
      <w:r>
        <w:rPr/>
        <w:t xml:space="preserve">.{{field-off:bible}} </w:t>
        <w:br/>
        <w:t>[[@BibleTOBIBLE:Ru 1:14]]</w:t>
      </w:r>
      <w:r>
        <w:rPr>
          <w:b/>
        </w:rPr>
        <w:t>14</w:t>
      </w:r>
      <w:r>
        <w:rPr/>
        <w:t xml:space="preserve"> {{field-on:bible}}Und noch einmal erhoben sie ihre Stimme und weinten</w:t>
      </w:r>
      <w:r>
        <w:rPr>
          <w:rStyle w:val="Funotenanker"/>
        </w:rPr>
        <w:footnoteReference w:customMarkFollows="1" w:id="196"/>
        <w:t>as</w:t>
      </w:r>
      <w:r>
        <w:rPr/>
        <w:t xml:space="preserve">.Dann küsste Orpa ihre Schwiegermutter und </w:t>
      </w:r>
      <w:r>
        <w:rPr>
          <w:color w:val="808080"/>
        </w:rPr>
        <w:t>(aber)</w:t>
      </w:r>
      <w:r>
        <w:rPr/>
        <w:t xml:space="preserve"> Rut hängte sich an sie.</w:t>
      </w:r>
      <w:r>
        <w:rPr>
          <w:rStyle w:val="Funotenanker"/>
        </w:rPr>
        <w:footnoteReference w:customMarkFollows="1" w:id="197"/>
        <w:t>at</w:t>
      </w:r>
      <w:r>
        <w:rPr/>
        <w:t xml:space="preserve"> {{field-off:bible}} </w:t>
        <w:br/>
        <w:t>[[@BibleTOBIBLE:Ru 1:15]]</w:t>
      </w:r>
      <w:r>
        <w:rPr>
          <w:b/>
        </w:rPr>
        <w:t>15</w:t>
      </w:r>
      <w:r>
        <w:rPr/>
        <w:t xml:space="preserve"> {{field-on:bible}}Da sagte sie: »</w:t>
      </w:r>
      <w:r>
        <w:rPr>
          <w:strike/>
          <w:color w:val="808080"/>
        </w:rPr>
        <w:t>{Siehe}</w:t>
      </w:r>
      <w:r>
        <w:rPr/>
        <w:t xml:space="preserve"> </w:t>
      </w:r>
      <w:r>
        <w:rPr>
          <w:rStyle w:val="Funotenanker"/>
        </w:rPr>
        <w:footnoteReference w:customMarkFollows="1" w:id="198"/>
        <w:t>au</w:t>
      </w:r>
      <w:r>
        <w:rPr/>
        <w:t xml:space="preserve">, deine Schwägerin kehrt zu ihrem Volk und ihrem Gott </w:t>
      </w:r>
      <w:r>
        <w:rPr>
          <w:color w:val="808080"/>
        </w:rPr>
        <w:t>(ihren Göttern)</w:t>
      </w:r>
      <w:r>
        <w:rPr/>
        <w:t xml:space="preserve"> zurück</w:t>
      </w:r>
      <w:r>
        <w:rPr>
          <w:rStyle w:val="Funotenanker"/>
        </w:rPr>
        <w:footnoteReference w:customMarkFollows="1" w:id="199"/>
        <w:t>av</w:t>
      </w:r>
      <w:r>
        <w:rPr/>
        <w:t xml:space="preserve"> - kehre </w:t>
      </w:r>
      <w:r>
        <w:rPr>
          <w:b/>
          <w:color w:val="808080"/>
        </w:rPr>
        <w:t>[</w:t>
      </w:r>
      <w:r>
        <w:rPr/>
        <w:t>also</w:t>
      </w:r>
      <w:r>
        <w:rPr>
          <w:b/>
          <w:color w:val="808080"/>
        </w:rPr>
        <w:t>]</w:t>
      </w:r>
      <w:r>
        <w:rPr/>
        <w:t xml:space="preserve"> </w:t>
      </w:r>
      <w:r>
        <w:rPr>
          <w:b/>
          <w:color w:val="808080"/>
        </w:rPr>
        <w:t>[</w:t>
      </w:r>
      <w:r>
        <w:rPr/>
        <w:t>auch du</w:t>
      </w:r>
      <w:r>
        <w:rPr>
          <w:b/>
          <w:color w:val="808080"/>
        </w:rPr>
        <w:t>]</w:t>
      </w:r>
      <w:r>
        <w:rPr/>
        <w:t xml:space="preserve"> mit </w:t>
      </w:r>
      <w:r>
        <w:rPr>
          <w:color w:val="808080"/>
        </w:rPr>
        <w:t>(hinter)</w:t>
      </w:r>
      <w:r>
        <w:rPr/>
        <w:t xml:space="preserve"> deiner Schwägerin zurück!«{{field-off:bible}} </w:t>
        <w:br/>
        <w:t>[[@BibleTOBIBLE:Ru 1:16]]</w:t>
      </w:r>
      <w:r>
        <w:rPr>
          <w:b/>
        </w:rPr>
        <w:t>16</w:t>
      </w:r>
      <w:r>
        <w:rPr/>
        <w:t xml:space="preserve"> {{field-on:bible}}Da sagte Rut: »Bestürme mich nicht, dich zu verlassen, vom mit-dir-</w:t>
      </w:r>
      <w:r>
        <w:rPr>
          <w:b/>
          <w:color w:val="808080"/>
        </w:rPr>
        <w:t>[</w:t>
      </w:r>
      <w:r>
        <w:rPr/>
        <w:t>Sein</w:t>
      </w:r>
      <w:r>
        <w:rPr>
          <w:b/>
          <w:color w:val="808080"/>
        </w:rPr>
        <w:t>]</w:t>
      </w:r>
      <w:r>
        <w:rPr/>
        <w:t xml:space="preserve"> </w:t>
      </w:r>
      <w:r>
        <w:rPr>
          <w:rStyle w:val="Funotenanker"/>
        </w:rPr>
        <w:footnoteReference w:customMarkFollows="1" w:id="200"/>
        <w:t>aw</w:t>
      </w:r>
      <w:r>
        <w:rPr/>
        <w:t xml:space="preserve"> zurückzukehren! Nein! </w:t>
      </w:r>
      <w:r>
        <w:rPr>
          <w:color w:val="808080"/>
        </w:rPr>
        <w:t>(Denn)</w:t>
      </w:r>
      <w:r>
        <w:rPr/>
        <w:t xml:space="preserve"> Dahin, wohin du gehen wirst, will ich gehen, und da, wo du rasten wirst, will ich rasten; dein Volk </w:t>
      </w:r>
      <w:r>
        <w:rPr>
          <w:b/>
          <w:color w:val="808080"/>
        </w:rPr>
        <w:t>[</w:t>
      </w:r>
      <w:r>
        <w:rPr/>
        <w:t>sei</w:t>
      </w:r>
      <w:r>
        <w:rPr>
          <w:b/>
          <w:color w:val="808080"/>
        </w:rPr>
        <w:t>]</w:t>
      </w:r>
      <w:r>
        <w:rPr/>
        <w:t xml:space="preserve"> mein Volk </w:t>
      </w:r>
      <w:r>
        <w:rPr>
          <w:color w:val="808080"/>
        </w:rPr>
        <w:t>(</w:t>
      </w:r>
      <w:r>
        <w:rPr>
          <w:b/>
          <w:color w:val="808080"/>
        </w:rPr>
        <w:t>[</w:t>
      </w:r>
      <w:r>
        <w:rPr>
          <w:color w:val="808080"/>
        </w:rPr>
        <w:t>denn</w:t>
      </w:r>
      <w:r>
        <w:rPr>
          <w:b/>
          <w:color w:val="808080"/>
        </w:rPr>
        <w:t>]</w:t>
      </w:r>
      <w:r>
        <w:rPr>
          <w:color w:val="808080"/>
        </w:rPr>
        <w:t xml:space="preserve"> dein Volk </w:t>
      </w:r>
      <w:r>
        <w:rPr>
          <w:b/>
          <w:color w:val="808080"/>
        </w:rPr>
        <w:t>[</w:t>
      </w:r>
      <w:r>
        <w:rPr>
          <w:color w:val="808080"/>
        </w:rPr>
        <w:t>ist</w:t>
      </w:r>
      <w:r>
        <w:rPr>
          <w:b/>
          <w:color w:val="808080"/>
        </w:rPr>
        <w:t>]</w:t>
      </w:r>
      <w:r>
        <w:rPr>
          <w:color w:val="808080"/>
        </w:rPr>
        <w:t xml:space="preserve"> mein Volk)</w:t>
      </w:r>
      <w:r>
        <w:rPr/>
        <w:t xml:space="preserve"> und dein Gott </w:t>
      </w:r>
      <w:r>
        <w:rPr>
          <w:b/>
          <w:color w:val="808080"/>
        </w:rPr>
        <w:t>[</w:t>
      </w:r>
      <w:r>
        <w:rPr/>
        <w:t>sei</w:t>
      </w:r>
      <w:r>
        <w:rPr>
          <w:b/>
          <w:color w:val="808080"/>
        </w:rPr>
        <w:t>]</w:t>
      </w:r>
      <w:r>
        <w:rPr/>
        <w:t xml:space="preserve"> mein Gott </w:t>
      </w:r>
      <w:r>
        <w:rPr>
          <w:color w:val="808080"/>
        </w:rPr>
        <w:t xml:space="preserve">(und dein Gott </w:t>
      </w:r>
      <w:r>
        <w:rPr>
          <w:b/>
          <w:color w:val="808080"/>
        </w:rPr>
        <w:t>[</w:t>
      </w:r>
      <w:r>
        <w:rPr>
          <w:color w:val="808080"/>
        </w:rPr>
        <w:t>ist</w:t>
      </w:r>
      <w:r>
        <w:rPr>
          <w:b/>
          <w:color w:val="808080"/>
        </w:rPr>
        <w:t>]</w:t>
      </w:r>
      <w:r>
        <w:rPr>
          <w:color w:val="808080"/>
        </w:rPr>
        <w:t xml:space="preserve"> mein Gott)</w:t>
      </w:r>
      <w:r>
        <w:rPr/>
        <w:t xml:space="preserve">;{{field-off:bible}} </w:t>
        <w:br/>
        <w:t>[[@BibleTOBIBLE:Ru 1:17]]</w:t>
      </w:r>
      <w:r>
        <w:rPr>
          <w:b/>
        </w:rPr>
        <w:t>17</w:t>
      </w:r>
      <w:r>
        <w:rPr/>
        <w:t xml:space="preserve"> {{field-on:bible}}da, wo du sterben wirst, will ich sterben und dort will ich begraben werden! Solches tue mir </w:t>
      </w:r>
      <w:r>
        <w:rPr>
          <w:smallCaps/>
          <w:color w:val="FF0000"/>
        </w:rPr>
        <w:t>JHWH</w:t>
      </w:r>
      <w:r>
        <w:rPr/>
        <w:t xml:space="preserve"> und solches füge er hinzu, wenn nicht </w:t>
      </w:r>
      <w:r>
        <w:rPr>
          <w:b/>
          <w:color w:val="808080"/>
        </w:rPr>
        <w:t>[</w:t>
      </w:r>
      <w:r>
        <w:rPr/>
        <w:t>einzig</w:t>
      </w:r>
      <w:r>
        <w:rPr>
          <w:b/>
          <w:color w:val="808080"/>
        </w:rPr>
        <w:t>]</w:t>
      </w:r>
      <w:r>
        <w:rPr/>
        <w:t xml:space="preserve"> </w:t>
      </w:r>
      <w:r>
        <w:rPr>
          <w:rStyle w:val="Funotenanker"/>
        </w:rPr>
        <w:footnoteReference w:customMarkFollows="1" w:id="201"/>
        <w:t>ax</w:t>
      </w:r>
      <w:r>
        <w:rPr/>
        <w:t xml:space="preserve"> der Tod uns scheiden wird.</w:t>
      </w:r>
      <w:r>
        <w:rPr>
          <w:rStyle w:val="Funotenanker"/>
        </w:rPr>
        <w:footnoteReference w:customMarkFollows="1" w:id="202"/>
        <w:t>ay</w:t>
      </w:r>
      <w:r>
        <w:rPr/>
        <w:t xml:space="preserve">«{{field-off:bible}} </w:t>
        <w:br/>
        <w:t>[[@BibleTOBIBLE:Ru 1:18]]</w:t>
      </w:r>
      <w:r>
        <w:rPr>
          <w:b/>
        </w:rPr>
        <w:t>18</w:t>
      </w:r>
      <w:r>
        <w:rPr/>
        <w:t xml:space="preserve"> {{field-on:bible}}Da sah sie, wie entschlossen</w:t>
      </w:r>
      <w:r>
        <w:rPr>
          <w:rStyle w:val="Funotenanker"/>
        </w:rPr>
        <w:footnoteReference w:customMarkFollows="1" w:id="203"/>
        <w:t>az</w:t>
      </w:r>
      <w:r>
        <w:rPr/>
        <w:t xml:space="preserve"> sie war, mit ihr zu gehen. Da hörte sie auf, zu ihr zu sprechen.{{field-off:bible}} </w:t>
        <w:br/>
        <w:t>[[@BibleTOBIBLE:Ru 1:19]]</w:t>
      </w:r>
      <w:r>
        <w:rPr>
          <w:b/>
        </w:rPr>
        <w:t>19</w:t>
      </w:r>
      <w:r>
        <w:rPr/>
        <w:t xml:space="preserve"> {{field-on:bible}}Und so gingen die beiden </w:t>
      </w:r>
      <w:r>
        <w:rPr>
          <w:b/>
          <w:color w:val="808080"/>
        </w:rPr>
        <w:t>[</w:t>
      </w:r>
      <w:r>
        <w:rPr/>
        <w:t>gemeinsam</w:t>
      </w:r>
      <w:r>
        <w:rPr>
          <w:b/>
          <w:color w:val="808080"/>
        </w:rPr>
        <w:t>]</w:t>
      </w:r>
      <w:r>
        <w:rPr/>
        <w:t xml:space="preserve"> </w:t>
      </w:r>
      <w:r>
        <w:rPr>
          <w:rStyle w:val="Funotenanker"/>
        </w:rPr>
        <w:footnoteReference w:customMarkFollows="1" w:id="204"/>
        <w:t>ba</w:t>
      </w:r>
      <w:r>
        <w:rPr/>
        <w:t xml:space="preserve">, bis sie nach Betlehem kamen. </w:t>
      </w:r>
      <w:r>
        <w:rPr>
          <w:strike/>
          <w:color w:val="808080"/>
        </w:rPr>
        <w:t>{Und es war,}</w:t>
      </w:r>
      <w:r>
        <w:rPr/>
        <w:t xml:space="preserve"> Als sie nach Betlehem kamen, geriet die ganze Stadt wegen ihnen außer sich. Doch dann sagten sie</w:t>
      </w:r>
      <w:r>
        <w:rPr>
          <w:rStyle w:val="Funotenanker"/>
        </w:rPr>
        <w:footnoteReference w:customMarkFollows="1" w:id="205"/>
        <w:t>bb</w:t>
      </w:r>
      <w:r>
        <w:rPr/>
        <w:t xml:space="preserve"> </w:t>
      </w:r>
      <w:r>
        <w:rPr>
          <w:color w:val="808080"/>
        </w:rPr>
        <w:t>(und sie sagten)</w:t>
      </w:r>
      <w:r>
        <w:rPr/>
        <w:t xml:space="preserve">: »Ist das </w:t>
      </w:r>
      <w:r>
        <w:rPr>
          <w:b/>
          <w:color w:val="808080"/>
        </w:rPr>
        <w:t>[</w:t>
      </w:r>
      <w:r>
        <w:rPr/>
        <w:t>nicht</w:t>
      </w:r>
      <w:r>
        <w:rPr>
          <w:b/>
          <w:color w:val="808080"/>
        </w:rPr>
        <w:t>]</w:t>
      </w:r>
      <w:r>
        <w:rPr/>
        <w:t xml:space="preserve"> </w:t>
      </w:r>
      <w:r>
        <w:rPr>
          <w:color w:val="808080"/>
        </w:rPr>
        <w:t>(</w:t>
      </w:r>
      <w:r>
        <w:rPr>
          <w:b/>
          <w:color w:val="808080"/>
        </w:rPr>
        <w:t>[</w:t>
      </w:r>
      <w:r>
        <w:rPr>
          <w:color w:val="808080"/>
        </w:rPr>
        <w:t>wirklich</w:t>
      </w:r>
      <w:r>
        <w:rPr>
          <w:b/>
          <w:color w:val="808080"/>
        </w:rPr>
        <w:t>]</w:t>
      </w:r>
      <w:r>
        <w:rPr>
          <w:color w:val="808080"/>
        </w:rPr>
        <w:t>)</w:t>
      </w:r>
      <w:r>
        <w:rPr/>
        <w:t xml:space="preserve"> Noomi?«</w:t>
      </w:r>
      <w:r>
        <w:rPr>
          <w:rStyle w:val="Funotenanker"/>
        </w:rPr>
        <w:footnoteReference w:customMarkFollows="1" w:id="206"/>
        <w:t>bc</w:t>
      </w:r>
      <w:r>
        <w:rPr/>
        <w:t xml:space="preserve"> {{field-off:bible}} </w:t>
        <w:br/>
        <w:t>[[@BibleTOBIBLE:Ru 1:20]]</w:t>
      </w:r>
      <w:r>
        <w:rPr>
          <w:b/>
        </w:rPr>
        <w:t>20</w:t>
      </w:r>
      <w:r>
        <w:rPr/>
        <w:t xml:space="preserve"> {{field-on:bible}}Da sagte sie zu ihnen: »Nennt mich nicht »Noomi« </w:t>
      </w:r>
      <w:r>
        <w:rPr>
          <w:color w:val="808080"/>
        </w:rPr>
        <w:t>(lieblich)</w:t>
      </w:r>
      <w:r>
        <w:rPr/>
        <w:t xml:space="preserve">, nennt mich »Mara« </w:t>
      </w:r>
      <w:r>
        <w:rPr>
          <w:color w:val="808080"/>
        </w:rPr>
        <w:t>(bitter)</w:t>
      </w:r>
      <w:r>
        <w:rPr/>
        <w:t xml:space="preserve"> - denn Schaddai</w:t>
      </w:r>
      <w:r>
        <w:rPr>
          <w:rStyle w:val="Funotenanker"/>
        </w:rPr>
        <w:footnoteReference w:customMarkFollows="1" w:id="207"/>
        <w:t>bd</w:t>
      </w:r>
      <w:r>
        <w:rPr/>
        <w:t xml:space="preserve"> hat mich sehr verbittert!{{field-off:bible}} </w:t>
        <w:br/>
        <w:t>[[@BibleTOBIBLE:Ru 1:21]]</w:t>
      </w:r>
      <w:r>
        <w:rPr>
          <w:b/>
        </w:rPr>
        <w:t>21</w:t>
      </w:r>
      <w:r>
        <w:rPr/>
        <w:t xml:space="preserve"> {{field-on:bible}}Ich </w:t>
      </w:r>
      <w:r>
        <w:rPr>
          <w:b/>
          <w:color w:val="808080"/>
        </w:rPr>
        <w:t>[</w:t>
      </w:r>
      <w:r>
        <w:rPr/>
        <w:t>war</w:t>
      </w:r>
      <w:r>
        <w:rPr>
          <w:b/>
          <w:color w:val="808080"/>
        </w:rPr>
        <w:t>]</w:t>
      </w:r>
      <w:r>
        <w:rPr/>
        <w:t xml:space="preserve"> voll</w:t>
      </w:r>
      <w:r>
        <w:rPr>
          <w:rStyle w:val="Funotenanker"/>
        </w:rPr>
        <w:footnoteReference w:customMarkFollows="1" w:id="208"/>
        <w:t>be</w:t>
      </w:r>
      <w:r>
        <w:rPr/>
        <w:t xml:space="preserve">, als ich ging </w:t>
      </w:r>
      <w:r>
        <w:rPr>
          <w:color w:val="808080"/>
        </w:rPr>
        <w:t>(Voll ging ich)</w:t>
      </w:r>
      <w:r>
        <w:rPr/>
        <w:t xml:space="preserve">, doch leer lässt mich </w:t>
      </w:r>
      <w:r>
        <w:rPr>
          <w:smallCaps/>
          <w:color w:val="FF0000"/>
        </w:rPr>
        <w:t>JHWH</w:t>
      </w:r>
      <w:r>
        <w:rPr/>
        <w:t xml:space="preserve"> zurückkehren </w:t>
      </w:r>
      <w:r>
        <w:rPr>
          <w:color w:val="808080"/>
        </w:rPr>
        <w:t xml:space="preserve">(bringt mich </w:t>
      </w:r>
      <w:r>
        <w:rPr>
          <w:smallCaps/>
          <w:color w:val="FF0000"/>
        </w:rPr>
        <w:t>JHWH</w:t>
      </w:r>
      <w:r>
        <w:rPr>
          <w:color w:val="808080"/>
        </w:rPr>
        <w:t xml:space="preserve"> zurück, ließ mich JHWH zurückkehren)</w:t>
      </w:r>
      <w:r>
        <w:rPr/>
        <w:t xml:space="preserve">. Warum </w:t>
      </w:r>
      <w:r>
        <w:rPr>
          <w:b/>
          <w:color w:val="808080"/>
        </w:rPr>
        <w:t>[</w:t>
      </w:r>
      <w:r>
        <w:rPr/>
        <w:t>also</w:t>
      </w:r>
      <w:r>
        <w:rPr>
          <w:b/>
          <w:color w:val="808080"/>
        </w:rPr>
        <w:t>]</w:t>
      </w:r>
      <w:r>
        <w:rPr/>
        <w:t xml:space="preserve"> nennt ihr mich »Noomi«, obwohl </w:t>
      </w:r>
      <w:r>
        <w:rPr>
          <w:smallCaps/>
          <w:color w:val="FF0000"/>
        </w:rPr>
        <w:t>JHWH</w:t>
      </w:r>
      <w:r>
        <w:rPr/>
        <w:t xml:space="preserve"> mich erniedrigt hat </w:t>
      </w:r>
      <w:r>
        <w:rPr>
          <w:color w:val="808080"/>
        </w:rPr>
        <w:t>(gedemütigt hat, gegen mich Zeugnis abgelegt hat)</w:t>
      </w:r>
      <w:r>
        <w:rPr/>
        <w:t xml:space="preserve"> </w:t>
      </w:r>
      <w:r>
        <w:rPr>
          <w:rStyle w:val="Funotenanker"/>
        </w:rPr>
        <w:footnoteReference w:customMarkFollows="1" w:id="209"/>
        <w:t>bf</w:t>
      </w:r>
      <w:r>
        <w:rPr/>
        <w:t xml:space="preserve">; obwohl Schaddai mir Leid zugefügt </w:t>
      </w:r>
      <w:r>
        <w:rPr>
          <w:color w:val="808080"/>
        </w:rPr>
        <w:t>(Böses angetan)</w:t>
      </w:r>
      <w:r>
        <w:rPr/>
        <w:t xml:space="preserve"> hat!?«{{field-off:bible}} </w:t>
        <w:br/>
        <w:t>[[@BibleTOBIBLE:Ru 1:22]]</w:t>
      </w:r>
      <w:r>
        <w:rPr>
          <w:b/>
        </w:rPr>
        <w:t>22</w:t>
      </w:r>
      <w:r>
        <w:rPr/>
        <w:t xml:space="preserve"> {{field-on:bible}}So also</w:t>
      </w:r>
      <w:r>
        <w:rPr>
          <w:rStyle w:val="Funotenanker"/>
        </w:rPr>
        <w:footnoteReference w:customMarkFollows="1" w:id="210"/>
        <w:t>bg</w:t>
      </w:r>
      <w:r>
        <w:rPr/>
        <w:t xml:space="preserve"> kehrte Noomi zurück. Und Rut, die Moabiterin, ihre Schwiegertochter, </w:t>
      </w:r>
      <w:r>
        <w:rPr>
          <w:b/>
          <w:color w:val="808080"/>
        </w:rPr>
        <w:t>[</w:t>
      </w:r>
      <w:r>
        <w:rPr/>
        <w:t>war</w:t>
      </w:r>
      <w:r>
        <w:rPr>
          <w:b/>
          <w:color w:val="808080"/>
        </w:rPr>
        <w:t>]</w:t>
      </w:r>
      <w:r>
        <w:rPr/>
        <w:t xml:space="preserve"> bei ihr, die zurückkehrte</w:t>
      </w:r>
      <w:r>
        <w:rPr>
          <w:rStyle w:val="Funotenanker"/>
        </w:rPr>
        <w:footnoteReference w:customMarkFollows="1" w:id="211"/>
        <w:t>bh</w:t>
      </w:r>
      <w:r>
        <w:rPr/>
        <w:t xml:space="preserve"> aus </w:t>
      </w:r>
      <w:r>
        <w:rPr>
          <w:strike/>
          <w:color w:val="808080"/>
        </w:rPr>
        <w:t>{dem Gebiet}</w:t>
      </w:r>
      <w:r>
        <w:rPr/>
        <w:t xml:space="preserve"> </w:t>
      </w:r>
      <w:r>
        <w:rPr>
          <w:color w:val="808080"/>
        </w:rPr>
        <w:t>(von den Feldern von)</w:t>
      </w:r>
      <w:r>
        <w:rPr/>
        <w:t xml:space="preserve"> Moab. Diese </w:t>
      </w:r>
      <w:r>
        <w:rPr>
          <w:b/>
          <w:color w:val="808080"/>
        </w:rPr>
        <w:t>[</w:t>
      </w:r>
      <w:r>
        <w:rPr/>
        <w:t>beiden</w:t>
      </w:r>
      <w:r>
        <w:rPr>
          <w:b/>
          <w:color w:val="808080"/>
        </w:rPr>
        <w:t>]</w:t>
      </w:r>
      <w:r>
        <w:rPr/>
        <w:t xml:space="preserve"> kamen nach Betlehem zu Beginn der Gerstenernte. “{{field-off:bible}} </w:t>
      </w:r>
    </w:p>
    <w:p>
      <w:pPr>
        <w:pStyle w:val="Berschrift3"/>
        <w:rPr/>
      </w:pPr>
      <w:r>
        <w:rPr/>
        <w:t>[[@BibleTOBIBLE:Ru 2]]Kapitel 2</w:t>
      </w:r>
    </w:p>
    <w:p>
      <w:pPr>
        <w:pStyle w:val="Textkrper"/>
        <w:rPr/>
      </w:pPr>
      <w:r>
        <w:rPr/>
        <w:t>Rut 2 ist zum größten Teil ein Ackerbau-Kapitel. Zu näherem vgl. daher Ackerbau (Wibilex), hier folgt nur eine kleine Zusammenfassung der Abläufe bei der Ernte: Bei der Ernte durchschritten mehrere Schnitter in einer Reihe das Getreidefeld, bündelten mit ihrer linken Hand mehrere Halme zu einem Handbündel - sog. tsebatim, s. V. 16 - und schnitten sie mit einer Sichel ab. Ihnen folgten auf dem Fuß die Garbenbinder - im Rutbuch offenbar ausschließlich weiblich -, sammelten diese Bündel und banden sie zu Garben - sog. `omarim -, die dann auf das Feld niedergelegt wurden, um am Ende der Ernte zum Dreschplatz gebracht zu werden (vgl. Dalman 1933, S. 46f). Diesen Garbenbindern folgten dann offensichtlich die Nachleser, um ihr Leqet-Recht wahrzunehmen. Das Leqet-Recht beinhaltet, dass einzelne Ähren, die den Schnittern und Garbensammlern zu Boden gefallen waren, nicht wieder aufgehoben werden durften, sondern den Armen gehörten, die sie dann in einer sogenannten „Nachlese“ sammeln durften (s. Lev 19,9; Lev 23,22). In der Mischna</w:t>
      </w:r>
      <w:r>
        <w:rPr>
          <w:rStyle w:val="Funotenanker"/>
        </w:rPr>
        <w:footnoteReference w:customMarkFollows="1" w:id="212"/>
        <w:t>a</w:t>
      </w:r>
      <w:r>
        <w:rPr/>
        <w:t xml:space="preserve"> wird dies in Pe´ah 4,10 näher ausgeführt, und den Inhalt dieser Ausführungen müssen wir wohl auch für das Rutbuch voraussetzen: Leqet sind sort ausschließlich die zu Boden gefallenen Ähren, die ein Erntearbeiter bereits in der Hand hatte und die ihm dann aus der Hand zu Boden gefallen waren - ausgenommen dann, wenn er nichts dafür konnte, dass sie ihm aus der Hand gefallen waren (z.B., weil ihn ein Dorn gestochen hatte); vgl. z.B. die Üs. im Open Mishnah Project. Aus diesem Grund auch in V. 16 Boas Rede gerade von den tsebatim („Handbündel“) und das schwer verständliche Verb (s. dort) - ob es nun „herausziehen“, „plündern“ oder „fallen lassen“ bedeuten mag: Er will unmissverständlich klar machen, dass die Erntearbeiter Rut eine zusätzliche Menge an Leqet-Ähren zuschustern sollen, indem sie das, was sie bereits in der Hand hatten, zu Boden werfen.</w:t>
      </w:r>
      <w:r>
        <w:rPr>
          <w:rStyle w:val="Funotenanker"/>
        </w:rPr>
        <w:footnoteReference w:customMarkFollows="1" w:id="213"/>
        <w:t>b</w:t>
      </w:r>
      <w:r>
        <w:rPr/>
        <w:t xml:space="preserve"> Schon das ist rechtlich wohl nicht ganz astrein; vermutlich konnte Rut aber sogar prinzipiell diese Armenrechte gar nicht in Anspruch nehmen. Die mit der Ernte zusammenhängende Armenrechte werden u.a. in Lev 19,10 und Dtn 24,19 dem „Asylanten“ (ger, s. FN g zu Rut 1,1), in Dtn 24,19 der „Witwe“ (´almanah) und in Lev 19,10 dem „Armen“ zugesprochen. Frevel 1992, S. 71 denkt daher, dass Rut diese Armenrecht sogar gleich dreifach in Anspruch nehmen durfte. Doch Rut sagt in V. 10 ja selbst, dass sie die Erlaubnis Boas eigentlich nicht hätte erwarten dürfen, da sie eben keine „Asylantin“ ist, sondern eine nokrijah - eine „Ausländerin“: Moabiter hatten im Alten Israel kein Asylrecht (s. die Anmerkungen zu Rut 1). Rut wird auch im ganzen Buch nicht als ´almanah bezeichnet, sondern nur in Rut 4,5 als ´eschet-hammet („Frau des Toten“). Bei beiden Begriffen handelt es sich um Bezeichnungen für zwei verschiedene „Witwen-Klassen“: Eine ´almanah ist eine kinderlose und arme Witwe, eine ´eschet-hammet dagegen eine kinderlose Witwe mit Besitz (und eine ´ischa-´almanah wäre eine Witwe mit Besitz und Kindern; vgl. bes. Steinberg 2004, S. 334). Die Armenrechte galten nur für ´almanah-Witwen, weil diese keine andere Versorgungsmöglichkeit hatten - nicht aber für ´eschet-hammet-Witwen. Schon dieser Begriff zeigt außerdem, dass Rut auch nicht wirklich als „arm“ gelten konnte, und in der Tat sieht man dann in Kapitel 4: Noomi und Rut besitzen sogar ein eigenes Feld. Schon mit der bloßen Erlaubnis der Nachlese wird also auch in Kapitel 2 eine rechtliche Regelung - in diesem Fall die Nachlesebestimmungen - gebeugt, was durchaus nicht unproblematisch ist: Boas schädigt mit der Gewährung des Nachleserechts ja nicht nur seinen Ertrag, sondern v.a. den derjenigen, die dieses Armenrecht tatsächlich in Anspruch nehmen durften und die darauf angewiesen waren. Und wieder wird dabei eine wesentlich „pro-moabitischere“ Haltung eingenommen, als man es vor dem Hintergrund der biblischen Regelungen eigentlich erwarten dürfte (vgl. ähnlich Braulik 1996, S. 118). Hinzu kommt dann natürlich noch die besondere Bevorzugung durch das Verbot des Anrührens, Scheltens und Schimpfens (Vv. 9.15.16), die Erlaubnis, vom Wasser seiner Knechte trinken und an ihrem Mahl teilhaben zu dürfen (Vv. 9.14) und besonders das Gebot, ihr zusätzliche Ähren zuzuschustern (V. 16). </w:t>
        <w:br/>
        <w:br/>
        <w:t>[[@BibleTOBIBLE:Ru 2:1]]</w:t>
      </w:r>
      <w:r>
        <w:rPr>
          <w:b/>
        </w:rPr>
        <w:t>1</w:t>
      </w:r>
      <w:r>
        <w:rPr/>
        <w:t xml:space="preserve"> {{field-on:bible}} </w:t>
      </w:r>
      <w:r>
        <w:rPr>
          <w:rStyle w:val="Funotenanker"/>
        </w:rPr>
        <w:footnoteReference w:customMarkFollows="1" w:id="214"/>
        <w:t>Status</w:t>
      </w:r>
      <w:r>
        <w:rPr/>
        <w:t xml:space="preserve"> Noomi hatte einen Verwandten </w:t>
      </w:r>
      <w:r>
        <w:rPr>
          <w:color w:val="808080"/>
        </w:rPr>
        <w:t>(Bekannten)</w:t>
      </w:r>
      <w:r>
        <w:rPr/>
        <w:t xml:space="preserve"> </w:t>
      </w:r>
      <w:r>
        <w:rPr>
          <w:rStyle w:val="Funotenanker"/>
        </w:rPr>
        <w:footnoteReference w:customMarkFollows="1" w:id="215"/>
        <w:t>c</w:t>
      </w:r>
      <w:r>
        <w:rPr/>
        <w:t xml:space="preserve"> ihres Mannes; einen mächtigen, fähigen Mann</w:t>
      </w:r>
      <w:r>
        <w:rPr>
          <w:rStyle w:val="Funotenanker"/>
        </w:rPr>
        <w:footnoteReference w:customMarkFollows="1" w:id="216"/>
        <w:t>d</w:t>
      </w:r>
      <w:r>
        <w:rPr/>
        <w:t xml:space="preserve"> aus der Sippe Elimelechs</w:t>
      </w:r>
      <w:r>
        <w:rPr>
          <w:rStyle w:val="Funotenanker"/>
        </w:rPr>
        <w:footnoteReference w:customMarkFollows="1" w:id="217"/>
        <w:t>e</w:t>
      </w:r>
      <w:r>
        <w:rPr/>
        <w:t xml:space="preserve">. Sein Name war: Boas </w:t>
      </w:r>
      <w:r>
        <w:rPr>
          <w:color w:val="808080"/>
        </w:rPr>
        <w:t>(in ihm ist Kraft, der Scharfsinnige)</w:t>
      </w:r>
      <w:r>
        <w:rPr/>
        <w:t xml:space="preserve"> </w:t>
      </w:r>
      <w:r>
        <w:rPr>
          <w:rStyle w:val="Funotenanker"/>
        </w:rPr>
        <w:footnoteReference w:customMarkFollows="1" w:id="218"/>
        <w:t>f</w:t>
      </w:r>
      <w:r>
        <w:rPr/>
        <w:t xml:space="preserve">.{{field-off:bible}} </w:t>
        <w:br/>
        <w:t>[[@BibleTOBIBLE:Ru 2:2]]</w:t>
      </w:r>
      <w:r>
        <w:rPr>
          <w:b/>
        </w:rPr>
        <w:t>2</w:t>
      </w:r>
      <w:r>
        <w:rPr/>
        <w:t xml:space="preserve"> {{field-on:bible}}Rut, die Moabiterin, sagte zu Noomi: „Ich würde </w:t>
      </w:r>
      <w:r>
        <w:rPr>
          <w:b/>
          <w:color w:val="808080"/>
        </w:rPr>
        <w:t>[</w:t>
      </w:r>
      <w:r>
        <w:rPr/>
        <w:t>gerne</w:t>
      </w:r>
      <w:r>
        <w:rPr>
          <w:b/>
          <w:color w:val="808080"/>
        </w:rPr>
        <w:t>]</w:t>
      </w:r>
      <w:r>
        <w:rPr/>
        <w:t xml:space="preserve"> aufs Feld</w:t>
      </w:r>
      <w:r>
        <w:rPr>
          <w:rStyle w:val="Funotenanker"/>
        </w:rPr>
        <w:footnoteReference w:customMarkFollows="1" w:id="219"/>
        <w:t>g</w:t>
      </w:r>
      <w:r>
        <w:rPr/>
        <w:t xml:space="preserve"> gehen</w:t>
      </w:r>
      <w:r>
        <w:rPr>
          <w:rStyle w:val="Funotenanker"/>
        </w:rPr>
        <w:footnoteReference w:customMarkFollows="1" w:id="220"/>
        <w:t>h</w:t>
      </w:r>
      <w:r>
        <w:rPr/>
        <w:t xml:space="preserve"> und an den Ähren mitlesen</w:t>
      </w:r>
      <w:r>
        <w:rPr>
          <w:rStyle w:val="Funotenanker"/>
        </w:rPr>
        <w:footnoteReference w:customMarkFollows="1" w:id="221"/>
        <w:t>i</w:t>
      </w:r>
      <w:r>
        <w:rPr/>
        <w:t xml:space="preserve"> hinter dem, in dessen Augen ich Gefallen finde</w:t>
      </w:r>
      <w:r>
        <w:rPr>
          <w:rStyle w:val="Funotenanker"/>
        </w:rPr>
        <w:footnoteReference w:customMarkFollows="1" w:id="222"/>
        <w:t>j</w:t>
      </w:r>
      <w:r>
        <w:rPr/>
        <w:t>.“ Sie sagte zu ihr: „Geh, meine Tochter!“</w:t>
      </w:r>
      <w:r>
        <w:rPr>
          <w:rStyle w:val="Funotenanker"/>
        </w:rPr>
        <w:footnoteReference w:customMarkFollows="1" w:id="223"/>
        <w:t>k</w:t>
      </w:r>
      <w:r>
        <w:rPr/>
        <w:t xml:space="preserve"> {{field-off:bible}} </w:t>
        <w:br/>
        <w:t>[[@BibleTOBIBLE:Ru 2:3]]</w:t>
      </w:r>
      <w:r>
        <w:rPr>
          <w:b/>
        </w:rPr>
        <w:t>3</w:t>
      </w:r>
      <w:r>
        <w:rPr/>
        <w:t xml:space="preserve"> {{field-on:bible}} </w:t>
      </w:r>
      <w:r>
        <w:rPr>
          <w:b/>
          <w:color w:val="808080"/>
        </w:rPr>
        <w:t>[</w:t>
      </w:r>
      <w:r>
        <w:rPr/>
        <w:t>Also</w:t>
      </w:r>
      <w:r>
        <w:rPr>
          <w:b/>
          <w:color w:val="808080"/>
        </w:rPr>
        <w:t>]</w:t>
      </w:r>
      <w:r>
        <w:rPr/>
        <w:t xml:space="preserve"> ging und kam</w:t>
      </w:r>
      <w:r>
        <w:rPr>
          <w:rStyle w:val="Funotenanker"/>
        </w:rPr>
        <w:footnoteReference w:customMarkFollows="1" w:id="224"/>
        <w:t>l</w:t>
      </w:r>
      <w:r>
        <w:rPr/>
        <w:t xml:space="preserve"> und sammelte sie hinter den Schnittern an den Ähren mit.</w:t>
      </w:r>
      <w:r>
        <w:rPr>
          <w:color w:val="808080"/>
        </w:rPr>
        <w:t>(</w:t>
      </w:r>
      <w:r>
        <w:rPr>
          <w:b/>
          <w:color w:val="808080"/>
        </w:rPr>
        <w:t>[</w:t>
      </w:r>
      <w:r>
        <w:rPr>
          <w:color w:val="808080"/>
        </w:rPr>
        <w:t xml:space="preserve">Und das kam so: </w:t>
      </w:r>
      <w:r>
        <w:rPr>
          <w:b/>
          <w:color w:val="808080"/>
        </w:rPr>
        <w:t>]</w:t>
      </w:r>
      <w:r>
        <w:rPr>
          <w:color w:val="808080"/>
        </w:rPr>
        <w:t>)</w:t>
      </w:r>
      <w:r>
        <w:rPr/>
        <w:t xml:space="preserve"> </w:t>
      </w:r>
      <w:r>
        <w:rPr>
          <w:rStyle w:val="Funotenanker"/>
        </w:rPr>
        <w:footnoteReference w:customMarkFollows="1" w:id="225"/>
        <w:t>m</w:t>
      </w:r>
      <w:r>
        <w:rPr/>
        <w:t xml:space="preserve"> Zufällig geriet sie</w:t>
      </w:r>
      <w:r>
        <w:rPr>
          <w:rStyle w:val="Funotenanker"/>
        </w:rPr>
        <w:footnoteReference w:customMarkFollows="1" w:id="226"/>
        <w:t>n</w:t>
      </w:r>
      <w:r>
        <w:rPr/>
        <w:t xml:space="preserve"> auf das Feldstück des Boas, der aus der Sippe des Elimelech </w:t>
      </w:r>
      <w:r>
        <w:rPr>
          <w:b/>
          <w:color w:val="808080"/>
        </w:rPr>
        <w:t>[</w:t>
      </w:r>
      <w:r>
        <w:rPr/>
        <w:t>war</w:t>
      </w:r>
      <w:r>
        <w:rPr>
          <w:b/>
          <w:color w:val="808080"/>
        </w:rPr>
        <w:t>]</w:t>
      </w:r>
      <w:r>
        <w:rPr/>
        <w:t xml:space="preserve">.{{field-off:bible}} </w:t>
        <w:br/>
        <w:t>[[@BibleTOBIBLE:Ru 2:4]]</w:t>
      </w:r>
      <w:r>
        <w:rPr>
          <w:b/>
        </w:rPr>
        <w:t>4</w:t>
      </w:r>
      <w:r>
        <w:rPr/>
        <w:t xml:space="preserve"> {{field-on:bible}}Und, siehe da: Da kam </w:t>
      </w:r>
      <w:r>
        <w:rPr>
          <w:b/>
          <w:color w:val="808080"/>
        </w:rPr>
        <w:t>[</w:t>
      </w:r>
      <w:r>
        <w:rPr/>
        <w:t>auch schon</w:t>
      </w:r>
      <w:r>
        <w:rPr>
          <w:b/>
          <w:color w:val="808080"/>
        </w:rPr>
        <w:t>]</w:t>
      </w:r>
      <w:r>
        <w:rPr/>
        <w:t xml:space="preserve"> </w:t>
      </w:r>
      <w:r>
        <w:rPr>
          <w:rStyle w:val="Funotenanker"/>
        </w:rPr>
        <w:footnoteReference w:customMarkFollows="1" w:id="227"/>
        <w:t>o</w:t>
      </w:r>
      <w:r>
        <w:rPr/>
        <w:t xml:space="preserve"> Boas von Betlehem </w:t>
      </w:r>
      <w:r>
        <w:rPr>
          <w:b/>
          <w:color w:val="808080"/>
        </w:rPr>
        <w:t>[</w:t>
      </w:r>
      <w:r>
        <w:rPr/>
        <w:t>her</w:t>
      </w:r>
      <w:r>
        <w:rPr>
          <w:b/>
          <w:color w:val="808080"/>
        </w:rPr>
        <w:t>]</w:t>
      </w:r>
      <w:r>
        <w:rPr/>
        <w:t>. Er sagte zu den Schnittern: „</w:t>
      </w:r>
      <w:r>
        <w:rPr>
          <w:smallCaps/>
          <w:color w:val="FF0000"/>
        </w:rPr>
        <w:t>JHWH</w:t>
      </w:r>
      <w:r>
        <w:rPr/>
        <w:t xml:space="preserve"> </w:t>
      </w:r>
      <w:r>
        <w:rPr>
          <w:b/>
          <w:color w:val="808080"/>
        </w:rPr>
        <w:t>[</w:t>
      </w:r>
      <w:r>
        <w:rPr/>
        <w:t>sei</w:t>
      </w:r>
      <w:r>
        <w:rPr>
          <w:b/>
          <w:color w:val="808080"/>
        </w:rPr>
        <w:t>]</w:t>
      </w:r>
      <w:r>
        <w:rPr/>
        <w:t xml:space="preserve"> mit euch!“ Und sie sagten zu ihm: „Es segne dich </w:t>
      </w:r>
      <w:r>
        <w:rPr>
          <w:smallCaps/>
          <w:color w:val="FF0000"/>
        </w:rPr>
        <w:t>JHWH</w:t>
      </w:r>
      <w:r>
        <w:rPr/>
        <w:t>!“</w:t>
      </w:r>
      <w:r>
        <w:rPr>
          <w:rStyle w:val="Funotenanker"/>
        </w:rPr>
        <w:footnoteReference w:customMarkFollows="1" w:id="228"/>
        <w:t>p</w:t>
      </w:r>
      <w:r>
        <w:rPr/>
        <w:t xml:space="preserve"> {{field-off:bible}} </w:t>
        <w:br/>
        <w:t>[[@BibleTOBIBLE:Ru 2:5]]</w:t>
      </w:r>
      <w:r>
        <w:rPr>
          <w:b/>
        </w:rPr>
        <w:t>5</w:t>
      </w:r>
      <w:r>
        <w:rPr/>
        <w:t xml:space="preserve"> {{field-on:bible}}Und Boas sagte zu seinem Jungen </w:t>
      </w:r>
      <w:r>
        <w:rPr>
          <w:color w:val="808080"/>
        </w:rPr>
        <w:t>(Angestellten)</w:t>
      </w:r>
      <w:r>
        <w:rPr/>
        <w:t xml:space="preserve"> </w:t>
      </w:r>
      <w:r>
        <w:rPr>
          <w:rStyle w:val="Funotenanker"/>
        </w:rPr>
        <w:footnoteReference w:customMarkFollows="1" w:id="229"/>
        <w:t>q</w:t>
      </w:r>
      <w:r>
        <w:rPr/>
        <w:t>, der über die Schnitter gestellt war: „</w:t>
      </w:r>
      <w:r>
        <w:rPr>
          <w:b/>
          <w:color w:val="808080"/>
        </w:rPr>
        <w:t>[</w:t>
      </w:r>
      <w:r>
        <w:rPr/>
        <w:t>Zu</w:t>
      </w:r>
      <w:r>
        <w:rPr>
          <w:b/>
          <w:color w:val="808080"/>
        </w:rPr>
        <w:t>]</w:t>
      </w:r>
      <w:r>
        <w:rPr/>
        <w:t xml:space="preserve"> wem </w:t>
      </w:r>
      <w:r>
        <w:rPr>
          <w:b/>
          <w:color w:val="808080"/>
        </w:rPr>
        <w:t>[</w:t>
      </w:r>
      <w:r>
        <w:rPr/>
        <w:t>gehört</w:t>
      </w:r>
      <w:r>
        <w:rPr>
          <w:b/>
          <w:color w:val="808080"/>
        </w:rPr>
        <w:t>]</w:t>
      </w:r>
      <w:r>
        <w:rPr/>
        <w:t xml:space="preserve"> </w:t>
      </w:r>
      <w:r>
        <w:rPr>
          <w:rStyle w:val="Funotenanker"/>
        </w:rPr>
        <w:footnoteReference w:customMarkFollows="1" w:id="230"/>
        <w:t>r</w:t>
      </w:r>
      <w:r>
        <w:rPr/>
        <w:t xml:space="preserve"> dieses Mädchen?“{{field-off:bible}} </w:t>
        <w:br/>
        <w:t>[[@BibleTOBIBLE:Ru 2:6]]</w:t>
      </w:r>
      <w:r>
        <w:rPr>
          <w:b/>
        </w:rPr>
        <w:t>6</w:t>
      </w:r>
      <w:r>
        <w:rPr/>
        <w:t xml:space="preserve"> {{field-on:bible}}Der Junge, der über die Schnitter gestellt war, antwortete: „Ein ''moabitisches Mädchen'' </w:t>
      </w:r>
      <w:r>
        <w:rPr>
          <w:b/>
          <w:color w:val="808080"/>
        </w:rPr>
        <w:t>[</w:t>
      </w:r>
      <w:r>
        <w:rPr/>
        <w:t>ist</w:t>
      </w:r>
      <w:r>
        <w:rPr>
          <w:b/>
          <w:color w:val="808080"/>
        </w:rPr>
        <w:t>]</w:t>
      </w:r>
      <w:r>
        <w:rPr/>
        <w:t xml:space="preserve"> sie, das mit Noomi zurückgekehrt ist aus </w:t>
      </w:r>
      <w:r>
        <w:rPr>
          <w:strike/>
          <w:color w:val="808080"/>
        </w:rPr>
        <w:t>{dem Gebiet}</w:t>
      </w:r>
      <w:r>
        <w:rPr/>
        <w:t xml:space="preserve"> </w:t>
      </w:r>
      <w:r>
        <w:rPr>
          <w:color w:val="808080"/>
        </w:rPr>
        <w:t>(von den Feldern von)</w:t>
      </w:r>
      <w:r>
        <w:rPr/>
        <w:t xml:space="preserve"> Moab</w:t>
      </w:r>
      <w:r>
        <w:rPr>
          <w:rStyle w:val="Funotenanker"/>
        </w:rPr>
        <w:footnoteReference w:customMarkFollows="1" w:id="231"/>
        <w:t>s</w:t>
      </w:r>
      <w:r>
        <w:rPr/>
        <w:t>.</w:t>
      </w:r>
      <w:r>
        <w:rPr>
          <w:rStyle w:val="Funotenanker"/>
        </w:rPr>
        <w:footnoteReference w:customMarkFollows="1" w:id="232"/>
        <w:t>t</w:t>
      </w:r>
      <w:r>
        <w:rPr/>
        <w:t xml:space="preserve"> {{field-off:bible}} </w:t>
        <w:br/>
        <w:t>[[@BibleTOBIBLE:Ru 2:7]]</w:t>
      </w:r>
      <w:r>
        <w:rPr>
          <w:b/>
        </w:rPr>
        <w:t>7</w:t>
      </w:r>
      <w:r>
        <w:rPr/>
        <w:t xml:space="preserve"> {{field-on:bible}}Sie hat gesagt: »Ich würde </w:t>
      </w:r>
      <w:r>
        <w:rPr>
          <w:b/>
          <w:color w:val="808080"/>
        </w:rPr>
        <w:t>[</w:t>
      </w:r>
      <w:r>
        <w:rPr/>
        <w:t>gerne</w:t>
      </w:r>
      <w:r>
        <w:rPr>
          <w:b/>
          <w:color w:val="808080"/>
        </w:rPr>
        <w:t>]</w:t>
      </w:r>
      <w:r>
        <w:rPr/>
        <w:t xml:space="preserve"> lesen und bei den Garben </w:t>
      </w:r>
      <w:r>
        <w:rPr>
          <w:color w:val="808080"/>
        </w:rPr>
        <w:t xml:space="preserve">(in Garben, zu Garben, </w:t>
      </w:r>
      <w:r>
        <w:rPr>
          <w:strike/>
          <w:color w:val="808080"/>
        </w:rPr>
        <w:t>{bei den Garben}</w:t>
      </w:r>
      <w:r>
        <w:rPr>
          <w:color w:val="808080"/>
        </w:rPr>
        <w:t>?, Halme?)</w:t>
      </w:r>
      <w:r>
        <w:rPr/>
        <w:t xml:space="preserve"> </w:t>
      </w:r>
      <w:r>
        <w:rPr>
          <w:rStyle w:val="Funotenanker"/>
        </w:rPr>
        <w:footnoteReference w:customMarkFollows="1" w:id="233"/>
        <w:t>u</w:t>
      </w:r>
      <w:r>
        <w:rPr/>
        <w:t xml:space="preserve"> hinter den Schnittern </w:t>
      </w:r>
      <w:r>
        <w:rPr>
          <w:b/>
          <w:color w:val="808080"/>
        </w:rPr>
        <w:t>[</w:t>
      </w:r>
      <w:r>
        <w:rPr/>
        <w:t>her</w:t>
      </w:r>
      <w:r>
        <w:rPr>
          <w:b/>
          <w:color w:val="808080"/>
        </w:rPr>
        <w:t>]</w:t>
      </w:r>
      <w:r>
        <w:rPr/>
        <w:t xml:space="preserve"> sammeln.« Und </w:t>
      </w:r>
      <w:r>
        <w:rPr>
          <w:color w:val="808080"/>
        </w:rPr>
        <w:t>(Also)</w:t>
      </w:r>
      <w:r>
        <w:rPr/>
        <w:t xml:space="preserve"> sie kam und blieb </w:t>
      </w:r>
      <w:r>
        <w:rPr>
          <w:color w:val="808080"/>
        </w:rPr>
        <w:t xml:space="preserve">(stand, las Ähren?, kam </w:t>
      </w:r>
      <w:r>
        <w:rPr>
          <w:strike/>
          <w:color w:val="808080"/>
        </w:rPr>
        <w:t>{und blieb}</w:t>
      </w:r>
      <w:r>
        <w:rPr>
          <w:color w:val="808080"/>
        </w:rPr>
        <w:t>?)</w:t>
      </w:r>
      <w:r>
        <w:rPr/>
        <w:t xml:space="preserve"> </w:t>
      </w:r>
      <w:r>
        <w:rPr>
          <w:rStyle w:val="Funotenanker"/>
        </w:rPr>
        <w:footnoteReference w:customMarkFollows="1" w:id="234"/>
        <w:t>v</w:t>
      </w:r>
      <w:r>
        <w:rPr/>
        <w:t xml:space="preserve"> vom Morgen bis gerade eben; </w:t>
      </w:r>
      <w:r>
        <w:rPr>
          <w:color w:val="808080"/>
        </w:rPr>
        <w:t>(bis jetzt, dieses/diese/jetzt/hier/hierher)</w:t>
      </w:r>
      <w:r>
        <w:rPr/>
        <w:t xml:space="preserve"> ihr Sitzen </w:t>
      </w:r>
      <w:r>
        <w:rPr>
          <w:color w:val="808080"/>
        </w:rPr>
        <w:t>(sie macht Pause?, sie kehrt zurück?, ihr Besitz?)</w:t>
      </w:r>
      <w:r>
        <w:rPr/>
        <w:t xml:space="preserve"> im Haus </w:t>
      </w:r>
      <w:r>
        <w:rPr>
          <w:color w:val="808080"/>
        </w:rPr>
        <w:t>(das Haus, nach Hause?, das/auf dem Feld?)</w:t>
      </w:r>
      <w:r>
        <w:rPr/>
        <w:t xml:space="preserve"> </w:t>
      </w:r>
      <w:r>
        <w:rPr>
          <w:b/>
          <w:color w:val="808080"/>
        </w:rPr>
        <w:t>[</w:t>
      </w:r>
      <w:r>
        <w:rPr/>
        <w:t xml:space="preserve">ist </w:t>
      </w:r>
      <w:r>
        <w:rPr>
          <w:color w:val="808080"/>
        </w:rPr>
        <w:t>(währt)</w:t>
      </w:r>
      <w:r>
        <w:rPr>
          <w:b/>
          <w:color w:val="808080"/>
        </w:rPr>
        <w:t>]</w:t>
      </w:r>
      <w:r>
        <w:rPr/>
        <w:t xml:space="preserve"> </w:t>
      </w:r>
      <w:r>
        <w:rPr>
          <w:b/>
          <w:color w:val="808080"/>
        </w:rPr>
        <w:t>[</w:t>
      </w:r>
      <w:r>
        <w:rPr/>
        <w:t>erst</w:t>
      </w:r>
      <w:r>
        <w:rPr>
          <w:b/>
          <w:color w:val="808080"/>
        </w:rPr>
        <w:t>]</w:t>
      </w:r>
      <w:r>
        <w:rPr/>
        <w:t xml:space="preserve"> seit Kurzem.“{{field-off:bible}} </w:t>
        <w:br/>
        <w:t>[[@BibleTOBIBLE:Ru 2:8]]</w:t>
      </w:r>
      <w:r>
        <w:rPr>
          <w:b/>
        </w:rPr>
        <w:t>8</w:t>
      </w:r>
      <w:r>
        <w:rPr/>
        <w:t xml:space="preserve"> {{field-on:bible}}Und Boas sagte zu Rut: „Höre, meine Tochter:</w:t>
      </w:r>
      <w:r>
        <w:rPr>
          <w:rStyle w:val="Funotenanker"/>
        </w:rPr>
        <w:footnoteReference w:customMarkFollows="1" w:id="235"/>
        <w:t>w</w:t>
      </w:r>
      <w:r>
        <w:rPr/>
        <w:t xml:space="preserve"> Gehe nicht </w:t>
      </w:r>
      <w:r>
        <w:rPr>
          <w:color w:val="808080"/>
        </w:rPr>
        <w:t>(du musst nicht gehen)</w:t>
      </w:r>
      <w:r>
        <w:rPr/>
        <w:t xml:space="preserve"> zum Sammeln auf ein anderes Feld und ziehe auch nicht fort </w:t>
      </w:r>
      <w:r>
        <w:rPr>
          <w:color w:val="808080"/>
        </w:rPr>
        <w:t>(du musst nicht fortziehen)</w:t>
      </w:r>
      <w:r>
        <w:rPr/>
        <w:t xml:space="preserve"> von hier, sondern hänge dich hier </w:t>
      </w:r>
      <w:r>
        <w:rPr>
          <w:color w:val="808080"/>
        </w:rPr>
        <w:t>(so:)</w:t>
      </w:r>
      <w:r>
        <w:rPr/>
        <w:t xml:space="preserve"> an meine Mädchen </w:t>
      </w:r>
      <w:r>
        <w:rPr>
          <w:color w:val="808080"/>
        </w:rPr>
        <w:t>(bleibe hier bei meinen Mädchen, du darfst bleiben)</w:t>
      </w:r>
      <w:r>
        <w:rPr/>
        <w:t>.</w:t>
      </w:r>
      <w:r>
        <w:rPr>
          <w:rStyle w:val="Funotenanker"/>
        </w:rPr>
        <w:footnoteReference w:customMarkFollows="1" w:id="236"/>
        <w:t>x</w:t>
      </w:r>
      <w:r>
        <w:rPr/>
        <w:t xml:space="preserve"> {{field-off:bible}} </w:t>
        <w:br/>
        <w:t>[[@BibleTOBIBLE:Ru 2:9]]</w:t>
      </w:r>
      <w:r>
        <w:rPr>
          <w:b/>
        </w:rPr>
        <w:t>9</w:t>
      </w:r>
      <w:r>
        <w:rPr/>
        <w:t xml:space="preserve"> {{field-on:bible}}Deine Augen </w:t>
      </w:r>
      <w:r>
        <w:rPr>
          <w:b/>
          <w:color w:val="808080"/>
        </w:rPr>
        <w:t>[</w:t>
      </w:r>
      <w:r>
        <w:rPr/>
        <w:t>seien</w:t>
      </w:r>
      <w:r>
        <w:rPr>
          <w:b/>
          <w:color w:val="808080"/>
        </w:rPr>
        <w:t>]</w:t>
      </w:r>
      <w:r>
        <w:rPr/>
        <w:t xml:space="preserve"> auf das Feld </w:t>
      </w:r>
      <w:r>
        <w:rPr>
          <w:b/>
          <w:color w:val="808080"/>
        </w:rPr>
        <w:t>[</w:t>
      </w:r>
      <w:r>
        <w:rPr/>
        <w:t>gerichtet</w:t>
      </w:r>
      <w:r>
        <w:rPr>
          <w:b/>
          <w:color w:val="808080"/>
        </w:rPr>
        <w:t>]</w:t>
      </w:r>
      <w:r>
        <w:rPr/>
        <w:t>, das sie abernten</w:t>
      </w:r>
      <w:r>
        <w:rPr>
          <w:rStyle w:val="Funotenanker"/>
        </w:rPr>
        <w:footnoteReference w:customMarkFollows="1" w:id="237"/>
        <w:t>y</w:t>
      </w:r>
      <w:r>
        <w:rPr/>
        <w:t xml:space="preserve">. Gehe hinter ihnen </w:t>
      </w:r>
      <w:r>
        <w:rPr>
          <w:color w:val="808080"/>
        </w:rPr>
        <w:t>(zusammen mit ihnen)</w:t>
      </w:r>
      <w:r>
        <w:rPr/>
        <w:t xml:space="preserve"> </w:t>
      </w:r>
      <w:r>
        <w:rPr>
          <w:rStyle w:val="Funotenanker"/>
        </w:rPr>
        <w:footnoteReference w:customMarkFollows="1" w:id="238"/>
        <w:t>z</w:t>
      </w:r>
      <w:r>
        <w:rPr/>
        <w:t xml:space="preserve">. </w:t>
      </w:r>
      <w:r>
        <w:rPr>
          <w:b/>
          <w:color w:val="808080"/>
        </w:rPr>
        <w:t>[</w:t>
      </w:r>
      <w:r>
        <w:rPr/>
        <w:t>Hiermit</w:t>
      </w:r>
      <w:r>
        <w:rPr>
          <w:b/>
          <w:color w:val="808080"/>
        </w:rPr>
        <w:t>]</w:t>
      </w:r>
      <w:r>
        <w:rPr/>
        <w:t xml:space="preserve"> befehle ich meinen Jungen, dich nicht anzurühren </w:t>
      </w:r>
      <w:r>
        <w:rPr>
          <w:color w:val="808080"/>
        </w:rPr>
        <w:t>(anzugreifen, mit dir keinen Geschlechtsverkehr zu haben)</w:t>
      </w:r>
      <w:r>
        <w:rPr/>
        <w:t xml:space="preserve">? Und wenn du Durst hast, gehe zu den Gefäßen und trinke von dem, was </w:t>
      </w:r>
      <w:r>
        <w:rPr>
          <w:b/>
          <w:color w:val="808080"/>
        </w:rPr>
        <w:t>[</w:t>
      </w:r>
      <w:r>
        <w:rPr/>
        <w:t>auch</w:t>
      </w:r>
      <w:r>
        <w:rPr>
          <w:b/>
          <w:color w:val="808080"/>
        </w:rPr>
        <w:t>]</w:t>
      </w:r>
      <w:r>
        <w:rPr/>
        <w:t xml:space="preserve"> die Jungen schöpfen!“{{field-off:bible}} </w:t>
        <w:br/>
        <w:t>[[@BibleTOBIBLE:Ru 2:10]]</w:t>
      </w:r>
      <w:r>
        <w:rPr>
          <w:b/>
        </w:rPr>
        <w:t>10</w:t>
      </w:r>
      <w:r>
        <w:rPr/>
        <w:t xml:space="preserve"> {{field-on:bible}}Da warf sie sich auf ihr Gesicht und neigte sich erdenwärts</w:t>
      </w:r>
      <w:r>
        <w:rPr>
          <w:rStyle w:val="Funotenanker"/>
        </w:rPr>
        <w:footnoteReference w:customMarkFollows="1" w:id="239"/>
        <w:t>aa</w:t>
      </w:r>
      <w:r>
        <w:rPr/>
        <w:t xml:space="preserve"> und sagte zu ihm: „Warum </w:t>
      </w:r>
      <w:r>
        <w:rPr>
          <w:b/>
          <w:color w:val="808080"/>
        </w:rPr>
        <w:t>[</w:t>
      </w:r>
      <w:r>
        <w:rPr/>
        <w:t>nur</w:t>
      </w:r>
      <w:r>
        <w:rPr>
          <w:b/>
          <w:color w:val="808080"/>
        </w:rPr>
        <w:t>]</w:t>
      </w:r>
      <w:r>
        <w:rPr/>
        <w:t xml:space="preserve"> habe ich Gefallen in deinen Augen gefunden,</w:t>
      </w:r>
      <w:r>
        <w:rPr>
          <w:rStyle w:val="Funotenanker"/>
        </w:rPr>
        <w:footnoteReference w:customMarkFollows="1" w:id="240"/>
        <w:t>ab</w:t>
      </w:r>
      <w:r>
        <w:rPr/>
        <w:t xml:space="preserve"> so dass du mich </w:t>
      </w:r>
      <w:r>
        <w:rPr>
          <w:b/>
          <w:color w:val="808080"/>
        </w:rPr>
        <w:t>[</w:t>
      </w:r>
      <w:r>
        <w:rPr/>
        <w:t>wohlgefällig</w:t>
      </w:r>
      <w:r>
        <w:rPr>
          <w:b/>
          <w:color w:val="808080"/>
        </w:rPr>
        <w:t>]</w:t>
      </w:r>
      <w:r>
        <w:rPr/>
        <w:t xml:space="preserve"> ansiehst, obwohl ich Ausländerin </w:t>
      </w:r>
      <w:r>
        <w:rPr>
          <w:b/>
          <w:color w:val="808080"/>
        </w:rPr>
        <w:t>[</w:t>
      </w:r>
      <w:r>
        <w:rPr/>
        <w:t>bin</w:t>
      </w:r>
      <w:r>
        <w:rPr>
          <w:b/>
          <w:color w:val="808080"/>
        </w:rPr>
        <w:t>]</w:t>
      </w:r>
      <w:r>
        <w:rPr/>
        <w:t xml:space="preserve">?“{{field-off:bible}} </w:t>
        <w:br/>
        <w:t>[[@BibleTOBIBLE:Ru 2:11]]</w:t>
      </w:r>
      <w:r>
        <w:rPr>
          <w:b/>
        </w:rPr>
        <w:t>11</w:t>
      </w:r>
      <w:r>
        <w:rPr/>
        <w:t xml:space="preserve"> {{field-on:bible}}Boas anwortete </w:t>
      </w:r>
      <w:r>
        <w:rPr>
          <w:strike/>
          <w:color w:val="808080"/>
        </w:rPr>
        <w:t>{und sagte zu}</w:t>
      </w:r>
      <w:r>
        <w:rPr/>
        <w:t xml:space="preserve"> </w:t>
      </w:r>
      <w:r>
        <w:rPr>
          <w:rStyle w:val="Funotenanker"/>
        </w:rPr>
        <w:footnoteReference w:customMarkFollows="1" w:id="241"/>
        <w:t>ac</w:t>
      </w:r>
      <w:r>
        <w:rPr/>
        <w:t xml:space="preserve"> ihr: „Berichtet </w:t>
      </w:r>
      <w:r>
        <w:rPr>
          <w:strike/>
          <w:color w:val="808080"/>
        </w:rPr>
        <w:t>{berichtet}</w:t>
      </w:r>
      <w:r>
        <w:rPr/>
        <w:t xml:space="preserve"> </w:t>
      </w:r>
      <w:r>
        <w:rPr>
          <w:rStyle w:val="Funotenanker"/>
        </w:rPr>
        <w:footnoteReference w:customMarkFollows="1" w:id="242"/>
        <w:t>ad</w:t>
      </w:r>
      <w:r>
        <w:rPr/>
        <w:t xml:space="preserve"> wurde mir alles, was du für deine Schwiegermutter nach dem Tod deines Mannes getan hast</w:t>
      </w:r>
      <w:r>
        <w:rPr>
          <w:rStyle w:val="Funotenanker"/>
        </w:rPr>
        <w:footnoteReference w:customMarkFollows="1" w:id="243"/>
        <w:t>ae</w:t>
      </w:r>
      <w:r>
        <w:rPr/>
        <w:t xml:space="preserve">: </w:t>
      </w:r>
      <w:r>
        <w:rPr>
          <w:b/>
          <w:color w:val="808080"/>
        </w:rPr>
        <w:t>[</w:t>
      </w:r>
      <w:r>
        <w:rPr/>
        <w:t>dass</w:t>
      </w:r>
      <w:r>
        <w:rPr>
          <w:b/>
          <w:color w:val="808080"/>
        </w:rPr>
        <w:t>]</w:t>
      </w:r>
      <w:r>
        <w:rPr/>
        <w:t xml:space="preserve"> du deinen Vater und deine Mutter und das Land deiner Geburt verlassen hast und zu einem Volk gegangen bist, das du vorher </w:t>
      </w:r>
      <w:r>
        <w:rPr>
          <w:color w:val="808080"/>
        </w:rPr>
        <w:t>(gestern vorgestern)</w:t>
      </w:r>
      <w:r>
        <w:rPr/>
        <w:t xml:space="preserve"> </w:t>
      </w:r>
      <w:r>
        <w:rPr>
          <w:rStyle w:val="Funotenanker"/>
        </w:rPr>
        <w:footnoteReference w:customMarkFollows="1" w:id="244"/>
        <w:t>af</w:t>
      </w:r>
      <w:r>
        <w:rPr/>
        <w:t xml:space="preserve"> nicht kanntest.{{field-off:bible}} </w:t>
        <w:br/>
        <w:t>[[@BibleTOBIBLE:Ru 2:12]]</w:t>
      </w:r>
      <w:r>
        <w:rPr>
          <w:b/>
        </w:rPr>
        <w:t>12</w:t>
      </w:r>
      <w:r>
        <w:rPr/>
        <w:t xml:space="preserve"> {{field-on:bible}} </w:t>
      </w:r>
      <w:r>
        <w:rPr>
          <w:smallCaps/>
          <w:color w:val="FF0000"/>
        </w:rPr>
        <w:t>JHWH</w:t>
      </w:r>
      <w:r>
        <w:rPr/>
        <w:t xml:space="preserve"> vergelte dein Tun und dein Lohn sei voll von JHWH, dem Gott Israels, zu dem </w:t>
      </w:r>
      <w:r>
        <w:rPr>
          <w:color w:val="808080"/>
        </w:rPr>
        <w:t>(weil)</w:t>
      </w:r>
      <w:r>
        <w:rPr/>
        <w:t xml:space="preserve"> du gekommen bist, um unter seinen Flügeln Schutz zu suchen </w:t>
      </w:r>
      <w:r>
        <w:rPr>
          <w:color w:val="808080"/>
        </w:rPr>
        <w:t>(um dich unter seinen Gewandzipfeln zu bergen)</w:t>
      </w:r>
      <w:r>
        <w:rPr/>
        <w:t xml:space="preserve"> </w:t>
      </w:r>
      <w:r>
        <w:rPr>
          <w:rStyle w:val="Funotenanker"/>
        </w:rPr>
        <w:footnoteReference w:customMarkFollows="1" w:id="245"/>
        <w:t>ag</w:t>
      </w:r>
      <w:r>
        <w:rPr/>
        <w:t xml:space="preserve">!“{{field-off:bible}} </w:t>
        <w:br/>
        <w:t>[[@BibleTOBIBLE:Ru 2:13]]</w:t>
      </w:r>
      <w:r>
        <w:rPr>
          <w:b/>
        </w:rPr>
        <w:t>13</w:t>
      </w:r>
      <w:r>
        <w:rPr/>
        <w:t xml:space="preserve"> {{field-on:bible}}Sie antwortete: „Möge ich in deinen Augen Gefallen finden</w:t>
      </w:r>
      <w:r>
        <w:rPr>
          <w:rStyle w:val="Funotenanker"/>
        </w:rPr>
        <w:footnoteReference w:customMarkFollows="1" w:id="246"/>
        <w:t>ah</w:t>
      </w:r>
      <w:r>
        <w:rPr/>
        <w:t>, mein Herr</w:t>
      </w:r>
      <w:r>
        <w:rPr>
          <w:rStyle w:val="Funotenanker"/>
        </w:rPr>
        <w:footnoteReference w:customMarkFollows="1" w:id="247"/>
        <w:t>ai</w:t>
      </w:r>
      <w:r>
        <w:rPr/>
        <w:t>, weil du mich getröstet und weil du zum Herzen deiner Magd gesprochen hast</w:t>
      </w:r>
      <w:r>
        <w:rPr>
          <w:rStyle w:val="Funotenanker"/>
        </w:rPr>
        <w:footnoteReference w:customMarkFollows="1" w:id="248"/>
        <w:t>aj</w:t>
      </w:r>
      <w:r>
        <w:rPr/>
        <w:t xml:space="preserve">. Bin ich nicht </w:t>
      </w:r>
      <w:r>
        <w:rPr>
          <w:b/>
          <w:color w:val="808080"/>
        </w:rPr>
        <w:t>[</w:t>
      </w:r>
      <w:r>
        <w:rPr/>
        <w:t>nur</w:t>
      </w:r>
      <w:r>
        <w:rPr>
          <w:b/>
          <w:color w:val="808080"/>
        </w:rPr>
        <w:t>]</w:t>
      </w:r>
      <w:r>
        <w:rPr/>
        <w:t xml:space="preserve"> wie eine deiner Mägde!?</w:t>
      </w:r>
      <w:r>
        <w:rPr>
          <w:rStyle w:val="Funotenanker"/>
        </w:rPr>
        <w:footnoteReference w:customMarkFollows="1" w:id="249"/>
        <w:t>ak</w:t>
      </w:r>
      <w:r>
        <w:rPr/>
        <w:t xml:space="preserve">“{{field-off:bible}} </w:t>
        <w:br/>
        <w:t>[[@BibleTOBIBLE:Ru 2:14]]</w:t>
      </w:r>
      <w:r>
        <w:rPr>
          <w:b/>
        </w:rPr>
        <w:t>14</w:t>
      </w:r>
      <w:r>
        <w:rPr/>
        <w:t xml:space="preserve"> {{field-on:bible}}Boas sagte zu ihr zur Essenszeit: „Komm hierher </w:t>
      </w:r>
      <w:r>
        <w:rPr>
          <w:color w:val="808080"/>
        </w:rPr>
        <w:t>(Boas sagte zur ihr: »Komm zur Essenszeit hierher«</w:t>
      </w:r>
      <w:r>
        <w:rPr/>
        <w:t xml:space="preserve"> </w:t>
      </w:r>
      <w:r>
        <w:rPr>
          <w:rStyle w:val="Funotenanker"/>
        </w:rPr>
        <w:footnoteReference w:customMarkFollows="1" w:id="250"/>
        <w:t>al</w:t>
      </w:r>
      <w:r>
        <w:rPr/>
        <w:t xml:space="preserve"> </w:t>
      </w:r>
      <w:r>
        <w:rPr>
          <w:color w:val="808080"/>
        </w:rPr>
        <w:t>)</w:t>
      </w:r>
      <w:r>
        <w:rPr/>
        <w:t>! Iss von dem Brot und tunke deinen Brocken in den Essig</w:t>
      </w:r>
      <w:r>
        <w:rPr>
          <w:rStyle w:val="Funotenanker"/>
        </w:rPr>
        <w:footnoteReference w:customMarkFollows="1" w:id="251"/>
        <w:t>am</w:t>
      </w:r>
      <w:r>
        <w:rPr/>
        <w:t>!“ - Also setzte sich sich an die Seite der Schnitter, er reichte</w:t>
      </w:r>
      <w:r>
        <w:rPr>
          <w:rStyle w:val="Funotenanker"/>
        </w:rPr>
        <w:footnoteReference w:customMarkFollows="1" w:id="252"/>
        <w:t>an</w:t>
      </w:r>
      <w:r>
        <w:rPr/>
        <w:t xml:space="preserve"> ihr Röstkorn</w:t>
      </w:r>
      <w:r>
        <w:rPr>
          <w:rStyle w:val="Funotenanker"/>
        </w:rPr>
        <w:footnoteReference w:customMarkFollows="1" w:id="253"/>
        <w:t>ao</w:t>
      </w:r>
      <w:r>
        <w:rPr/>
        <w:t xml:space="preserve">, sie aß, wurde satt und lies übrig.{{field-off:bible}} </w:t>
        <w:br/>
        <w:t>[[@BibleTOBIBLE:Ru 2:15]]</w:t>
      </w:r>
      <w:r>
        <w:rPr>
          <w:b/>
        </w:rPr>
        <w:t>15</w:t>
      </w:r>
      <w:r>
        <w:rPr/>
        <w:t xml:space="preserve"> {{field-on:bible}}Dann stand sie auf, um zu sammeln </w:t>
      </w:r>
      <w:r>
        <w:rPr>
          <w:color w:val="808080"/>
        </w:rPr>
        <w:t>(begann sie, zu sammeln)</w:t>
      </w:r>
      <w:r>
        <w:rPr/>
        <w:t xml:space="preserve"> </w:t>
      </w:r>
      <w:r>
        <w:rPr>
          <w:rStyle w:val="Funotenanker"/>
        </w:rPr>
        <w:footnoteReference w:customMarkFollows="1" w:id="254"/>
        <w:t>ap</w:t>
      </w:r>
      <w:r>
        <w:rPr/>
        <w:t xml:space="preserve">. Und Boas befahl seinen Jungen </w:t>
      </w:r>
      <w:r>
        <w:rPr>
          <w:strike/>
          <w:color w:val="808080"/>
        </w:rPr>
        <w:t>{indem er sagte}</w:t>
      </w:r>
      <w:r>
        <w:rPr/>
        <w:t xml:space="preserve">: „Auch zwischen den Garben darf sie sammeln, und ihr dürft </w:t>
      </w:r>
      <w:r>
        <w:rPr>
          <w:color w:val="808080"/>
        </w:rPr>
        <w:t xml:space="preserve">(wenn/auch, </w:t>
      </w:r>
      <w:r>
        <w:rPr>
          <w:b/>
          <w:color w:val="808080"/>
        </w:rPr>
        <w:t>[</w:t>
      </w:r>
      <w:r>
        <w:rPr>
          <w:color w:val="808080"/>
        </w:rPr>
        <w:t>wenn</w:t>
      </w:r>
      <w:r>
        <w:rPr>
          <w:b/>
          <w:color w:val="808080"/>
        </w:rPr>
        <w:t>]</w:t>
      </w:r>
      <w:r>
        <w:rPr>
          <w:color w:val="808080"/>
        </w:rPr>
        <w:t xml:space="preserve"> sie zwischen den Garben sammelt, dürft ihr)</w:t>
      </w:r>
      <w:r>
        <w:rPr/>
        <w:t xml:space="preserve"> sie nicht beschimpfen </w:t>
      </w:r>
      <w:r>
        <w:rPr>
          <w:color w:val="808080"/>
        </w:rPr>
        <w:t>(beschämen, verletzen)</w:t>
      </w:r>
      <w:r>
        <w:rPr/>
        <w:t xml:space="preserve">!{{field-off:bible}} </w:t>
        <w:br/>
        <w:t>[[@BibleTOBIBLE:Ru 2:16]]</w:t>
      </w:r>
      <w:r>
        <w:rPr>
          <w:b/>
        </w:rPr>
        <w:t>16</w:t>
      </w:r>
      <w:r>
        <w:rPr/>
        <w:t xml:space="preserve"> {{field-on:bible}}Ja, mehr noch: Ihr sollt ihr </w:t>
      </w:r>
      <w:r>
        <w:rPr>
          <w:b/>
          <w:color w:val="808080"/>
        </w:rPr>
        <w:t>[</w:t>
      </w:r>
      <w:r>
        <w:rPr/>
        <w:t>durchaus</w:t>
      </w:r>
      <w:r>
        <w:rPr>
          <w:b/>
          <w:color w:val="808080"/>
        </w:rPr>
        <w:t>]</w:t>
      </w:r>
      <w:r>
        <w:rPr/>
        <w:t xml:space="preserve"> herausziehen </w:t>
      </w:r>
      <w:r>
        <w:rPr>
          <w:strike/>
          <w:color w:val="808080"/>
        </w:rPr>
        <w:t>{herausziehen}</w:t>
      </w:r>
      <w:r>
        <w:rPr/>
        <w:t xml:space="preserve"> </w:t>
      </w:r>
      <w:r>
        <w:rPr>
          <w:color w:val="808080"/>
        </w:rPr>
        <w:t xml:space="preserve">(herunterwerfen </w:t>
      </w:r>
      <w:r>
        <w:rPr>
          <w:strike/>
          <w:color w:val="808080"/>
        </w:rPr>
        <w:t>{herunterwerfen}</w:t>
      </w:r>
      <w:r>
        <w:rPr>
          <w:color w:val="808080"/>
        </w:rPr>
        <w:t>?)</w:t>
      </w:r>
      <w:r>
        <w:rPr/>
        <w:t xml:space="preserve"> </w:t>
      </w:r>
      <w:r>
        <w:rPr>
          <w:rStyle w:val="Funotenanker"/>
        </w:rPr>
        <w:footnoteReference w:customMarkFollows="1" w:id="255"/>
        <w:t>aq</w:t>
      </w:r>
      <w:r>
        <w:rPr/>
        <w:t xml:space="preserve"> aus den Handbündeln</w:t>
      </w:r>
      <w:r>
        <w:rPr>
          <w:rStyle w:val="Funotenanker"/>
        </w:rPr>
        <w:footnoteReference w:customMarkFollows="1" w:id="256"/>
        <w:t>ar</w:t>
      </w:r>
      <w:r>
        <w:rPr/>
        <w:t xml:space="preserve">, </w:t>
      </w:r>
      <w:r>
        <w:rPr>
          <w:b/>
          <w:color w:val="808080"/>
        </w:rPr>
        <w:t>[</w:t>
      </w:r>
      <w:r>
        <w:rPr/>
        <w:t>es liegen</w:t>
      </w:r>
      <w:r>
        <w:rPr>
          <w:b/>
          <w:color w:val="808080"/>
        </w:rPr>
        <w:t>]</w:t>
      </w:r>
      <w:r>
        <w:rPr/>
        <w:t xml:space="preserve"> lassen und sie soll </w:t>
      </w:r>
      <w:r>
        <w:rPr>
          <w:b/>
          <w:color w:val="808080"/>
        </w:rPr>
        <w:t>[</w:t>
      </w:r>
      <w:r>
        <w:rPr/>
        <w:t>das Liegengelassene</w:t>
      </w:r>
      <w:r>
        <w:rPr>
          <w:b/>
          <w:color w:val="808080"/>
        </w:rPr>
        <w:t>]</w:t>
      </w:r>
      <w:r>
        <w:rPr/>
        <w:t xml:space="preserve"> sammeln. Und ihr sollt sie nicht schelten!“{{field-off:bible}} </w:t>
        <w:br/>
        <w:t>[[@BibleTOBIBLE:Ru 2:17]]</w:t>
      </w:r>
      <w:r>
        <w:rPr>
          <w:b/>
        </w:rPr>
        <w:t>17</w:t>
      </w:r>
      <w:r>
        <w:rPr/>
        <w:t xml:space="preserve"> {{field-on:bible}}Und so sammelte sie auf dem Feld bis zum Abend; dann kopfte sie das, was sie gesammelt hatte, aus</w:t>
      </w:r>
      <w:r>
        <w:rPr>
          <w:rStyle w:val="Funotenanker"/>
        </w:rPr>
        <w:footnoteReference w:customMarkFollows="1" w:id="257"/>
        <w:t>as</w:t>
      </w:r>
      <w:r>
        <w:rPr/>
        <w:t xml:space="preserve"> - und es ergab ungefähr ein Efa </w:t>
      </w:r>
      <w:r>
        <w:rPr>
          <w:color w:val="808080"/>
        </w:rPr>
        <w:t>(genau ein Efa, ein ganzes Efa)</w:t>
      </w:r>
      <w:r>
        <w:rPr/>
        <w:t xml:space="preserve"> </w:t>
      </w:r>
      <w:r>
        <w:rPr>
          <w:rStyle w:val="Funotenanker"/>
        </w:rPr>
        <w:footnoteReference w:customMarkFollows="1" w:id="258"/>
        <w:t>at</w:t>
      </w:r>
      <w:r>
        <w:rPr/>
        <w:t xml:space="preserve"> Gerste.{{field-off:bible}} </w:t>
        <w:br/>
        <w:t>[[@BibleTOBIBLE:Ru 2:18]]</w:t>
      </w:r>
      <w:r>
        <w:rPr>
          <w:b/>
        </w:rPr>
        <w:t>18</w:t>
      </w:r>
      <w:r>
        <w:rPr/>
        <w:t xml:space="preserve"> {{field-on:bible}}Sie hob es auf </w:t>
      </w:r>
      <w:r>
        <w:rPr>
          <w:color w:val="808080"/>
        </w:rPr>
        <w:t>(wuchtete es hoch)</w:t>
      </w:r>
      <w:r>
        <w:rPr/>
        <w:t xml:space="preserve"> </w:t>
      </w:r>
      <w:r>
        <w:rPr>
          <w:rStyle w:val="Funotenanker"/>
        </w:rPr>
        <w:footnoteReference w:customMarkFollows="1" w:id="259"/>
        <w:t>au</w:t>
      </w:r>
      <w:r>
        <w:rPr/>
        <w:t xml:space="preserve">, kam in die Stadt und zeigte ihrer Schwiegermutter </w:t>
      </w:r>
      <w:r>
        <w:rPr>
          <w:color w:val="808080"/>
        </w:rPr>
        <w:t>(ihre Schwiegermutter sah)</w:t>
      </w:r>
      <w:r>
        <w:rPr/>
        <w:t xml:space="preserve"> </w:t>
      </w:r>
      <w:r>
        <w:rPr>
          <w:rStyle w:val="Funotenanker"/>
        </w:rPr>
        <w:footnoteReference w:customMarkFollows="1" w:id="260"/>
        <w:t>av</w:t>
      </w:r>
      <w:r>
        <w:rPr/>
        <w:t xml:space="preserve">, was sie gelesen hat und zog heraus und gab ihr, was sie übrig gelassen hatte nach ihrer Sättigung.{{field-off:bible}} </w:t>
        <w:br/>
        <w:t>[[@BibleTOBIBLE:Ru 2:19]]</w:t>
      </w:r>
      <w:r>
        <w:rPr>
          <w:b/>
        </w:rPr>
        <w:t>19</w:t>
      </w:r>
      <w:r>
        <w:rPr/>
        <w:t xml:space="preserve"> {{field-on:bible}}Da sagte ihre Schwiegermutter: „Wo</w:t>
      </w:r>
      <w:r>
        <w:rPr>
          <w:rStyle w:val="Funotenanker"/>
        </w:rPr>
        <w:footnoteReference w:customMarkFollows="1" w:id="261"/>
        <w:t>aw</w:t>
      </w:r>
      <w:r>
        <w:rPr/>
        <w:t xml:space="preserve"> hast du heute gesammelt und wo gearbeitet? Es sei, der dich </w:t>
      </w:r>
      <w:r>
        <w:rPr>
          <w:b/>
          <w:color w:val="808080"/>
        </w:rPr>
        <w:t>[</w:t>
      </w:r>
      <w:r>
        <w:rPr/>
        <w:t>wohlwollend</w:t>
      </w:r>
      <w:r>
        <w:rPr>
          <w:b/>
          <w:color w:val="808080"/>
        </w:rPr>
        <w:t>]</w:t>
      </w:r>
      <w:r>
        <w:rPr/>
        <w:t xml:space="preserve"> angesehen </w:t>
      </w:r>
      <w:r>
        <w:rPr>
          <w:b/>
          <w:color w:val="808080"/>
        </w:rPr>
        <w:t>[</w:t>
      </w:r>
      <w:r>
        <w:rPr/>
        <w:t>hat</w:t>
      </w:r>
      <w:r>
        <w:rPr>
          <w:b/>
          <w:color w:val="808080"/>
        </w:rPr>
        <w:t>]</w:t>
      </w:r>
      <w:r>
        <w:rPr/>
        <w:t xml:space="preserve"> </w:t>
      </w:r>
      <w:r>
        <w:rPr>
          <w:rStyle w:val="Funotenanker"/>
        </w:rPr>
        <w:footnoteReference w:customMarkFollows="1" w:id="262"/>
        <w:t>ax</w:t>
      </w:r>
      <w:r>
        <w:rPr/>
        <w:t xml:space="preserve">, gesegnet!“ Da erzählte sie ihrer Schwiegermutter, wer </w:t>
      </w:r>
      <w:r>
        <w:rPr>
          <w:b/>
          <w:color w:val="808080"/>
        </w:rPr>
        <w:t>[</w:t>
      </w:r>
      <w:r>
        <w:rPr/>
        <w:t>es war</w:t>
      </w:r>
      <w:r>
        <w:rPr>
          <w:b/>
          <w:color w:val="808080"/>
        </w:rPr>
        <w:t>]</w:t>
      </w:r>
      <w:r>
        <w:rPr/>
        <w:t xml:space="preserve">, bei dem sie gearbeitet hatte. Sie sagte: „Der Name des Mannes, der </w:t>
      </w:r>
      <w:r>
        <w:rPr>
          <w:b/>
          <w:color w:val="808080"/>
        </w:rPr>
        <w:t>[</w:t>
      </w:r>
      <w:r>
        <w:rPr/>
        <w:t>es war</w:t>
      </w:r>
      <w:r>
        <w:rPr>
          <w:b/>
          <w:color w:val="808080"/>
        </w:rPr>
        <w:t>]</w:t>
      </w:r>
      <w:r>
        <w:rPr/>
        <w:t xml:space="preserve">, bei dem ich heute gearbeitet habe, </w:t>
      </w:r>
      <w:r>
        <w:rPr>
          <w:b/>
          <w:color w:val="808080"/>
        </w:rPr>
        <w:t>[</w:t>
      </w:r>
      <w:r>
        <w:rPr/>
        <w:t>ist</w:t>
      </w:r>
      <w:r>
        <w:rPr>
          <w:b/>
          <w:color w:val="808080"/>
        </w:rPr>
        <w:t>]</w:t>
      </w:r>
      <w:r>
        <w:rPr/>
        <w:t xml:space="preserve">: Boas.“{{field-off:bible}} </w:t>
        <w:br/>
        <w:t>[[@BibleTOBIBLE:Ru 2:20]]</w:t>
      </w:r>
      <w:r>
        <w:rPr>
          <w:b/>
        </w:rPr>
        <w:t>20</w:t>
      </w:r>
      <w:r>
        <w:rPr/>
        <w:t xml:space="preserve"> {{field-on:bible}}Da sagte Noomi zu ihrer Schwiegertochter: „Gesegnet </w:t>
      </w:r>
      <w:r>
        <w:rPr>
          <w:b/>
          <w:color w:val="808080"/>
        </w:rPr>
        <w:t>[</w:t>
      </w:r>
      <w:r>
        <w:rPr/>
        <w:t>sei</w:t>
      </w:r>
      <w:r>
        <w:rPr>
          <w:b/>
          <w:color w:val="808080"/>
        </w:rPr>
        <w:t>]</w:t>
      </w:r>
      <w:r>
        <w:rPr/>
        <w:t xml:space="preserve"> jener von </w:t>
      </w:r>
      <w:r>
        <w:rPr>
          <w:smallCaps/>
          <w:color w:val="FF0000"/>
        </w:rPr>
        <w:t>JHWH</w:t>
      </w:r>
      <w:r>
        <w:rPr/>
        <w:t xml:space="preserve"> </w:t>
      </w:r>
      <w:r>
        <w:rPr>
          <w:rStyle w:val="Funotenanker"/>
        </w:rPr>
        <w:footnoteReference w:customMarkFollows="1" w:id="263"/>
        <w:t>ay</w:t>
      </w:r>
      <w:r>
        <w:rPr/>
        <w:t>, der nicht von seiner Treue zu den Lebenden und den Toten abgelassen hat</w:t>
      </w:r>
      <w:r>
        <w:rPr>
          <w:rStyle w:val="Funotenanker"/>
        </w:rPr>
        <w:footnoteReference w:customMarkFollows="1" w:id="264"/>
        <w:t>az</w:t>
      </w:r>
      <w:r>
        <w:rPr/>
        <w:t xml:space="preserve"> </w:t>
      </w:r>
      <w:r>
        <w:rPr>
          <w:color w:val="808080"/>
        </w:rPr>
        <w:t xml:space="preserve">(der </w:t>
      </w:r>
      <w:r>
        <w:rPr>
          <w:b/>
          <w:color w:val="808080"/>
        </w:rPr>
        <w:t>[</w:t>
      </w:r>
      <w:r>
        <w:rPr>
          <w:color w:val="808080"/>
        </w:rPr>
        <w:t>in</w:t>
      </w:r>
      <w:r>
        <w:rPr>
          <w:b/>
          <w:color w:val="808080"/>
        </w:rPr>
        <w:t>]</w:t>
      </w:r>
      <w:r>
        <w:rPr>
          <w:color w:val="808080"/>
        </w:rPr>
        <w:t xml:space="preserve"> seiner Treue die Lebenden und die Toten nicht verlassen hat)</w:t>
      </w:r>
      <w:r>
        <w:rPr/>
        <w:t>.“ Und dann sagte</w:t>
      </w:r>
      <w:r>
        <w:rPr>
          <w:rStyle w:val="Funotenanker"/>
        </w:rPr>
        <w:footnoteReference w:customMarkFollows="1" w:id="265"/>
        <w:t>ba</w:t>
      </w:r>
      <w:r>
        <w:rPr/>
        <w:t xml:space="preserve"> Noomi zu ihr: „Der Mann </w:t>
      </w:r>
      <w:r>
        <w:rPr>
          <w:b/>
          <w:color w:val="808080"/>
        </w:rPr>
        <w:t>[</w:t>
      </w:r>
      <w:r>
        <w:rPr/>
        <w:t>ist</w:t>
      </w:r>
      <w:r>
        <w:rPr>
          <w:b/>
          <w:color w:val="808080"/>
        </w:rPr>
        <w:t>]</w:t>
      </w:r>
      <w:r>
        <w:rPr/>
        <w:t xml:space="preserve"> mit uns ''verwandt'' - das heißt: Er ist unser ''Löser''!</w:t>
      </w:r>
      <w:r>
        <w:rPr>
          <w:rStyle w:val="Funotenanker"/>
        </w:rPr>
        <w:footnoteReference w:customMarkFollows="1" w:id="266"/>
        <w:t>bb</w:t>
      </w:r>
      <w:r>
        <w:rPr/>
        <w:t xml:space="preserve">“{{field-off:bible}} </w:t>
        <w:br/>
        <w:t>[[@BibleTOBIBLE:Ru 2:21]]</w:t>
      </w:r>
      <w:r>
        <w:rPr>
          <w:b/>
        </w:rPr>
        <w:t>21</w:t>
      </w:r>
      <w:r>
        <w:rPr/>
        <w:t xml:space="preserve"> {{field-on:bible}}Da sagte Rut, die Moabiterin: „Dazu </w:t>
      </w:r>
      <w:r>
        <w:rPr>
          <w:b/>
          <w:color w:val="808080"/>
        </w:rPr>
        <w:t>[</w:t>
      </w:r>
      <w:r>
        <w:rPr/>
        <w:t>kommt</w:t>
      </w:r>
      <w:r>
        <w:rPr>
          <w:b/>
          <w:color w:val="808080"/>
        </w:rPr>
        <w:t>]</w:t>
      </w:r>
      <w:r>
        <w:rPr/>
        <w:t>, dass</w:t>
      </w:r>
      <w:r>
        <w:rPr>
          <w:rStyle w:val="Funotenanker"/>
        </w:rPr>
        <w:footnoteReference w:customMarkFollows="1" w:id="267"/>
        <w:t>bc</w:t>
      </w:r>
      <w:r>
        <w:rPr/>
        <w:t xml:space="preserve"> er zu mir gesagt hat: »An die Jungen</w:t>
      </w:r>
      <w:r>
        <w:rPr>
          <w:rStyle w:val="Funotenanker"/>
        </w:rPr>
        <w:footnoteReference w:customMarkFollows="1" w:id="268"/>
        <w:t>bd</w:t>
      </w:r>
      <w:r>
        <w:rPr/>
        <w:t xml:space="preserve">, die mir </w:t>
      </w:r>
      <w:r>
        <w:rPr>
          <w:b/>
          <w:color w:val="808080"/>
        </w:rPr>
        <w:t>[</w:t>
      </w:r>
      <w:r>
        <w:rPr/>
        <w:t xml:space="preserve">sind </w:t>
      </w:r>
      <w:r>
        <w:rPr>
          <w:color w:val="808080"/>
        </w:rPr>
        <w:t>(gehören)</w:t>
      </w:r>
      <w:r>
        <w:rPr>
          <w:b/>
          <w:color w:val="808080"/>
        </w:rPr>
        <w:t>]</w:t>
      </w:r>
      <w:r>
        <w:rPr/>
        <w:t xml:space="preserve"> </w:t>
      </w:r>
      <w:r>
        <w:rPr>
          <w:rStyle w:val="Funotenanker"/>
        </w:rPr>
        <w:footnoteReference w:customMarkFollows="1" w:id="269"/>
        <w:t>be</w:t>
      </w:r>
      <w:r>
        <w:rPr/>
        <w:t xml:space="preserve">, hänge dich, bis die ganze Ernte beendet ist, die mir </w:t>
      </w:r>
      <w:r>
        <w:rPr>
          <w:b/>
          <w:color w:val="808080"/>
        </w:rPr>
        <w:t>[</w:t>
      </w:r>
      <w:r>
        <w:rPr/>
        <w:t xml:space="preserve">ist </w:t>
      </w:r>
      <w:r>
        <w:rPr>
          <w:color w:val="808080"/>
        </w:rPr>
        <w:t>(gehört)</w:t>
      </w:r>
      <w:r>
        <w:rPr>
          <w:b/>
          <w:color w:val="808080"/>
        </w:rPr>
        <w:t>]</w:t>
      </w:r>
      <w:r>
        <w:rPr/>
        <w:t xml:space="preserve">!«“{{field-off:bible}} </w:t>
        <w:br/>
        <w:t>[[@BibleTOBIBLE:Ru 2:22]]</w:t>
      </w:r>
      <w:r>
        <w:rPr>
          <w:b/>
        </w:rPr>
        <w:t>22</w:t>
      </w:r>
      <w:r>
        <w:rPr/>
        <w:t xml:space="preserve"> {{field-on:bible}}Da sagte Noomi zu Rut, ihrer Schwiegertochter: „Gut </w:t>
      </w:r>
      <w:r>
        <w:rPr>
          <w:color w:val="808080"/>
        </w:rPr>
        <w:t>(besser)</w:t>
      </w:r>
      <w:r>
        <w:rPr/>
        <w:t xml:space="preserve"> </w:t>
      </w:r>
      <w:r>
        <w:rPr>
          <w:b/>
          <w:color w:val="808080"/>
        </w:rPr>
        <w:t>[</w:t>
      </w:r>
      <w:r>
        <w:rPr/>
        <w:t xml:space="preserve">ist </w:t>
      </w:r>
      <w:r>
        <w:rPr>
          <w:color w:val="808080"/>
        </w:rPr>
        <w:t>(wäre)</w:t>
      </w:r>
      <w:r>
        <w:rPr>
          <w:b/>
          <w:color w:val="808080"/>
        </w:rPr>
        <w:t>]</w:t>
      </w:r>
      <w:r>
        <w:rPr/>
        <w:t xml:space="preserve"> es, meine Tochter, wenn du mit seinen Mädchen gehst </w:t>
      </w:r>
      <w:r>
        <w:rPr>
          <w:color w:val="808080"/>
        </w:rPr>
        <w:t>(Gut, meine Tochter! Ach, gehe mit seinen Mädchen!)</w:t>
      </w:r>
      <w:r>
        <w:rPr/>
        <w:t xml:space="preserve">, sodass man dich auf einem anderen Feld nicht bedrängen kann </w:t>
      </w:r>
      <w:r>
        <w:rPr>
          <w:color w:val="808080"/>
        </w:rPr>
        <w:t>(dann wird man dich auf einem anderen Feld nicht bedrängen)</w:t>
      </w:r>
      <w:r>
        <w:rPr/>
        <w:t xml:space="preserve">.“{{field-off:bible}} </w:t>
        <w:br/>
        <w:t>[[@BibleTOBIBLE:Ru 2:23]]</w:t>
      </w:r>
      <w:r>
        <w:rPr>
          <w:b/>
        </w:rPr>
        <w:t>23</w:t>
      </w:r>
      <w:r>
        <w:rPr/>
        <w:t xml:space="preserve"> {{field-on:bible}}Also hängte sie sich an die Mädchen des Boas, um zu sammeln, bis die Gerstenernte und die Weizenernte beendet war. Dann blieb sie bei ihrer Schwiegermutter.{{field-off:bible}} </w:t>
      </w:r>
    </w:p>
    <w:p>
      <w:pPr>
        <w:pStyle w:val="Berschrift3"/>
        <w:rPr/>
      </w:pPr>
      <w:r>
        <w:rPr/>
        <w:t>[[@BibleTOBIBLE:Ru 3]]Kapitel 3</w:t>
      </w:r>
    </w:p>
    <w:p>
      <w:pPr>
        <w:pStyle w:val="Textkrper"/>
        <w:rPr/>
      </w:pPr>
      <w:r>
        <w:rPr/>
        <w:t xml:space="preserve">Rut 3 schildert in Vv. 1-5, wie Noomi einen Plan entwickelt, Rut erneut „unter die Haube zu bringen“ und in Vv. 6-15, wie Rut diesen Plan in die Tat umsetzt und wie Boas darauf reagiert. Wie dieser Plan zu bewerten ist, wird gar nicht expliziert. Es ist aber dennoch klar, da seine Entwicklung in Vv. 1-4 im Leser gewisse Vorerwartungen weckt, indem er drei weitere Bibelstellen einspielt, vor deren Hintergrund Rut 3 gelesen werden muss: Gen 19,30-38 berichtet von der Angst der beiden Töchter Lots, keine Nachkommen mehr bekommen zu können, und wie sie daher ihren Vater betrunken machen, warten, bis er schläft, und dann heimlich zu ihm gehen, um ihn zu vergewaltigen. Die eine der beiden Töchter wird so zur Stammmutter der Moabiter. Auch in Num 25 wird von sexuellen Zügellosigkeit von Mobiterinnen berichtet. Und Gen 38, auf das im Rutbuch noch häufiger angespielt wird, berichtet am Ende davon, wie Tamar sich verkleidet, um ihren Schwiegervater dazu zu bringen, sie zu schwängern. Wenn hier also Noomi der Moabiterin Rut aufträgt, zu warten, bis Boas eingeschlafen ist, sich dann im Schutz der Nacht zu ihm auf die Tenne (s. Hos 9,1: Die Tenne als Ort der Unzucht) zu schleichen, sich aber nicht von ihm erkennen zu lassen, und dann in V. 4 gleich mehrere Anspielungen auf den Geschlechtsakt macht, ist klar, was Noomi vorschwebt: Rut soll Boas durch einen umoralischen „bed trick“ (Harold Fisch) zum Ja-Wort verführen. So unmoralisch ist der Plan, dass Rut nach einer alten jüdischen Überlieferung sogar überzeugt ist, getötet zu werden, wenn sie gemäß Noomis Plan handelt. &lt;small&gt;&lt;u&gt;Exkurs&lt;/u&gt;: Zur Theologie des Rutbuches: Wegen dieser moralischen Fragwürdigkeit muss hier auf eine theologische Eigenart des Rutbuches hingewiesen werden: Das „Verschmelzen des Handelns Gottes und der Menschen“ (Thompson 1993, S. 203): * In Rut 1,6 heißt es, dass </w:t>
      </w:r>
      <w:r>
        <w:rPr>
          <w:rStyle w:val="Funotenanker"/>
        </w:rPr>
        <w:footnoteReference w:customMarkFollows="1" w:id="270"/>
        <w:t>a</w:t>
      </w:r>
      <w:r>
        <w:rPr/>
        <w:t xml:space="preserve"> Israel wieder „Brot gegeben“ habe - doch das Brot von Noomi und Rut stammt von Boas. * In Rut 2,12 verwendet Boas die sog. „Lohnknecht-Metapher“</w:t>
      </w:r>
      <w:r>
        <w:rPr>
          <w:rStyle w:val="Funotenanker"/>
        </w:rPr>
        <w:footnoteReference w:customMarkFollows="1" w:id="271"/>
        <w:t>b</w:t>
      </w:r>
      <w:r>
        <w:rPr/>
        <w:t xml:space="preserve"> und stellt so </w:t>
      </w:r>
      <w:r>
        <w:rPr>
          <w:rStyle w:val="Funotenanker"/>
        </w:rPr>
        <w:footnoteReference w:customMarkFollows="1" w:id="272"/>
        <w:t>c</w:t>
      </w:r>
      <w:r>
        <w:rPr/>
        <w:t xml:space="preserve"> als Lohnherrn der Rut vor („</w:t>
      </w:r>
      <w:r>
        <w:rPr>
          <w:rStyle w:val="Funotenanker"/>
        </w:rPr>
        <w:footnoteReference w:customMarkFollows="1" w:id="273"/>
        <w:t>d</w:t>
      </w:r>
      <w:r>
        <w:rPr/>
        <w:t xml:space="preserve"> vergelte dein Tun und dein Lohn sei voll von JHWH, dem Gott Israel“) - doch auch hier: Der Lohn für die Arbeit Ruts stammt von Boas.</w:t>
      </w:r>
      <w:r>
        <w:rPr>
          <w:rStyle w:val="Funotenanker"/>
        </w:rPr>
        <w:footnoteReference w:customMarkFollows="1" w:id="274"/>
        <w:t>e</w:t>
      </w:r>
      <w:r>
        <w:rPr/>
        <w:t xml:space="preserve"> * Zu diesem Phänomen gehört auch die Ambiguität von Rut 2,20, wo unsicher ist, ob der Relativsatz auf Boas oder </w:t>
      </w:r>
      <w:r>
        <w:rPr>
          <w:rStyle w:val="Funotenanker"/>
        </w:rPr>
        <w:footnoteReference w:customMarkFollows="1" w:id="275"/>
        <w:t>f</w:t>
      </w:r>
      <w:r>
        <w:rPr/>
        <w:t xml:space="preserve"> zu beziehen ist (s. FN ax).</w:t>
      </w:r>
      <w:r>
        <w:rPr>
          <w:rStyle w:val="Funotenanker"/>
        </w:rPr>
        <w:footnoteReference w:customMarkFollows="1" w:id="276"/>
        <w:t>g</w:t>
      </w:r>
      <w:r>
        <w:rPr/>
        <w:t xml:space="preserve"> * Für sein Handeln in Kap. 2 wird Boas in Rut 2,20 von Noomi auch noch gesegnet und sein Handeln durch das Schlüsselwort chesed („Güte“) charakterisiert, das in der Bibel - und auch im Rutbuch, s. Rut 1,8 - den Wesenszug </w:t>
      </w:r>
      <w:r>
        <w:rPr>
          <w:rStyle w:val="Funotenanker"/>
        </w:rPr>
        <w:footnoteReference w:customMarkFollows="1" w:id="277"/>
        <w:t>h</w:t>
      </w:r>
      <w:r>
        <w:rPr/>
        <w:t>s schlechthin ausdrückt.</w:t>
      </w:r>
      <w:r>
        <w:rPr>
          <w:rStyle w:val="Funotenanker"/>
        </w:rPr>
        <w:footnoteReference w:customMarkFollows="1" w:id="278"/>
        <w:t>i</w:t>
      </w:r>
      <w:r>
        <w:rPr/>
        <w:t xml:space="preserve">. * Deutlich gehört dazu auch Ruts Bitte in Rut 3,9, mit der sie Boas bittet, seinen „Mantelsaum“ über sie zu breiten: In Rut 2,12 verwendet Boas die selbe Formulierung, als er davon spricht, dass Rut unter </w:t>
      </w:r>
      <w:r>
        <w:rPr>
          <w:rStyle w:val="Funotenanker"/>
        </w:rPr>
        <w:footnoteReference w:customMarkFollows="1" w:id="279"/>
        <w:t>j</w:t>
      </w:r>
      <w:r>
        <w:rPr/>
        <w:t>s „Flügeln“ Schutz suchen wolle.</w:t>
      </w:r>
      <w:r>
        <w:rPr>
          <w:rStyle w:val="Funotenanker"/>
        </w:rPr>
        <w:footnoteReference w:customMarkFollows="1" w:id="280"/>
        <w:t>k</w:t>
      </w:r>
      <w:r>
        <w:rPr/>
        <w:t xml:space="preserve"> * Ebenso wie Boas in Rut 2,20 wird auch Rut in Rut 3,10 für ihr Handeln in Rut 1 und in unserem Kapitel gesegnet und auch ihr Handeln wird durch das Wort chesed charakterisiert. * In Rut 3,12 kündet Boas sein zukünfiges Handeln sogar in Form eines Heilsorakels an („Fürchte dich nicht...“), mit dem sonst heilbringende Handlungen </w:t>
      </w:r>
      <w:r>
        <w:rPr>
          <w:rStyle w:val="Funotenanker"/>
        </w:rPr>
        <w:footnoteReference w:customMarkFollows="1" w:id="281"/>
        <w:t>l</w:t>
      </w:r>
      <w:r>
        <w:rPr/>
        <w:t>s vorausgesagt werden.</w:t>
      </w:r>
      <w:r>
        <w:rPr>
          <w:rStyle w:val="Funotenanker"/>
        </w:rPr>
        <w:footnoteReference w:customMarkFollows="1" w:id="282"/>
        <w:t>m</w:t>
      </w:r>
      <w:r>
        <w:rPr/>
        <w:t xml:space="preserve"> * In Rut 4,15 findet sich eine ganz ähnliche Ambivalenz wie in 2,20 (s. FN am) * Auffällig ist schließlich in Rut 4,13f., wie </w:t>
      </w:r>
      <w:r>
        <w:rPr>
          <w:rStyle w:val="Funotenanker"/>
        </w:rPr>
        <w:footnoteReference w:customMarkFollows="1" w:id="283"/>
        <w:t>n</w:t>
      </w:r>
      <w:r>
        <w:rPr/>
        <w:t xml:space="preserve"> und die beiden Eheleute bei der Zeugung Obeds zusammenwirken: „Der Nachkomme, den </w:t>
      </w:r>
      <w:r>
        <w:rPr>
          <w:rStyle w:val="Funotenanker"/>
        </w:rPr>
        <w:footnoteReference w:customMarkFollows="1" w:id="284"/>
        <w:t>o</w:t>
      </w:r>
      <w:r>
        <w:rPr/>
        <w:t xml:space="preserve"> dir durch diese junge Frau geben wird... [Boas] schlief mit ihr und JHWH gab ihr Schwangerschaft.“ Ganz ähnliches ist auch hier der Fall: Noomi hat ihren Schwiegertöchtern in Rut 1,9 gewünscht, dass </w:t>
      </w:r>
      <w:r>
        <w:rPr>
          <w:rStyle w:val="Funotenanker"/>
        </w:rPr>
        <w:footnoteReference w:customMarkFollows="1" w:id="285"/>
        <w:t>p</w:t>
      </w:r>
      <w:r>
        <w:rPr/>
        <w:t xml:space="preserve"> ihnen „Ruhe“ - d.h.: eine Heimstatt - geben möge. Doch nun ist es Noomi selbst, die Rut „Ruhe“ verschaffen will, „damit es ihr gut geht“, und ihr deshalb „Gebote gibt“, „denen gemäß Rut handeln“ soll (s. dazu FNn c.o) - auch Noomi wird hier mit </w:t>
      </w:r>
      <w:r>
        <w:rPr>
          <w:rStyle w:val="Funotenanker"/>
        </w:rPr>
        <w:footnoteReference w:customMarkFollows="1" w:id="286"/>
        <w:t>q</w:t>
      </w:r>
      <w:r>
        <w:rPr/>
        <w:t xml:space="preserve"> parallelisiert, und das „damit es dir gut geht“ ist hier gerade nicht die Folge von </w:t>
      </w:r>
      <w:r>
        <w:rPr>
          <w:rStyle w:val="Funotenanker"/>
        </w:rPr>
        <w:footnoteReference w:customMarkFollows="1" w:id="287"/>
        <w:t>r</w:t>
      </w:r>
      <w:r>
        <w:rPr/>
        <w:t xml:space="preserve">s Geboten - sondern von Noomis unmoralischem Plan. Die Parallelisierungen in Rut 1,6 und Rut 2, in Rut 2,12 und Rut 2 und in Rut 2,20 und Rut 2 beziehen sich auf die juristisch problematische Gewährung des Nachleserechts durch Boas; die Parallelisierung in Rut 1,9 und Rut 3,1 auf Noomis moralisch fragwürdigen Plan, Boas zum Ja-Wort zu verführen und die Parallelisierung in Rut 2,20 und Rut 3,9 und die in Rut 4,12f auf Boas rechtswidrige Heirat mit Rut (dazu s. die Anmerkungen zu Kap. 4). Das heißt: gerade dort, wo im Rutbuch Recht gebeugt und gebrochen wird, werden diese Beugungen und Brüche durch die Parallelisierung mit </w:t>
      </w:r>
      <w:r>
        <w:rPr>
          <w:rStyle w:val="Funotenanker"/>
        </w:rPr>
        <w:footnoteReference w:customMarkFollows="1" w:id="288"/>
        <w:t>s</w:t>
      </w:r>
      <w:r>
        <w:rPr/>
        <w:t xml:space="preserve"> wieder „theologisch gerechtfertigt“. Das Rutbuch selbst bietet derart ein „biblisches Modell für die Missachtung des biblischen Rechts“ (Stahlberg 2008, S. 474; vgl. ähnlich z.B. LaCocque 2004, S. 28-32; Nielsen 1997, S. 31f.): Nicht das streng vom biblischen Recht geleitete Handeln ist im Rutbuch „</w:t>
      </w:r>
      <w:r>
        <w:rPr>
          <w:rStyle w:val="Funotenanker"/>
        </w:rPr>
        <w:footnoteReference w:customMarkFollows="1" w:id="289"/>
        <w:t>t</w:t>
      </w:r>
      <w:r>
        <w:rPr/>
        <w:t xml:space="preserve">-mäßig“ und segenswert, sondern das von „Güte“ geleitete und daher bisweilen auch das biblische Recht brechende Handeln. Ein sehr ähnliches Konzept findet sich noch heute in der Orthodoxen Kirche: Man unterscheidet dort die Grundsätze der akribia und der oikonomia. „Akribia“ meint das kirchenrechtliche Prinzip der strengen Befolgung kirchlicher Gesetze, „oikonomia“ dagegen das der „Aufhebung der uneingeschränkten und strikten Durchsetzung der kanonischen und kirchlichen Ordnung aufgrund äußerster Nachgiebigkeit und Milde in christlichem Geist“ (Alivizatos 1998, S. 44). Man könnte also sagen: Sinn des Rutbuches ist (auch) die Entwicklung eines Vorläufer-modells des oikonomia-Prinzips.&lt;/small&gt; Vv. 1-4 wecken also gewisse Erwartungen im Leser. Er weiß: Rut ist Moabiterin. Möglicherweise hat er also deshalb sogar schon von Anfang an das Vorurteil, bei Rut müsse sich um eine liederliche Frau handeln. Spätestens, nachdem Noomi Rut ihren „bed trick“ vorgestellt hat, hat er jedenfalls entsprechende Erwartungen von der folgenden Handlungen. In Vv. 6-11 aber wird mit diesen Vorurteilen gründlich aufgeräumt:Zunächst werden die Vorerwartungen des Lesers gleich mehrfach bestärkt: In V. 5 durch das uneingeschränkte Gehorsamkeitsgelöbnis der Rut, in V. 6 durch die Vorwegnahme, dass Rut in der Tat alles so ausführe, wie ihre Schwiegermutter es ihr aufgetragen hatte, und in V. 7 durch die Schilderung dieser Ausführung. V. 8 berichtet dann, wie Boas die Frau bemerkt, als er sich abtastet, und mit all seinen immer mehr bestärkten Vorerwartungen liest der Leser weiter und - wird enttäuscht. Denn was folgt, ist keine Szene der Verführung, sondern ein Heiratsantrag. Und nicht nur das: In V. 9 räumt Boas gleich auch noch sämtliche Vorurteile aus, die noch bestehen bleiben hätten können: Nicht nur hat Rut mit ihm keine Unzucht getrieben, sondern auch zuvor hat sie mit keinem Jungen - ob arm oder reich - angebandelt (V. 10). Und nicht nur dies ist ein Erweis der Rechtschaffenheit Ruts, sondern es ist sogar so, dass das gesamte Volk des Boas ohnehin schon weiß, dass es sich bei Rut um eine „tolle Frau“ handelt - und daher wird er ihrem Wunsch nachkommen und sie ehelichen. Rut 3,1-11 bringt also gleich zwei Gründe, warum Boas trotz geltendem Recht Rut heiraten wird: (1) Es ist das „Gute“ und damit das Richtige; (2) die Gründe, die gegen eine Heirat mit Moabiterinnen sprechen - in diesem Fall ihre Unzüchtigkeit (s. Num 25 und die dortigen Anmerkungen) treffen zumindest im Falle der Rut ohnehin nicht zu. </w:t>
        <w:br/>
        <w:br/>
        <w:t>[[@BibleTOBIBLE:Ru 3:1]]</w:t>
      </w:r>
      <w:r>
        <w:rPr>
          <w:b/>
        </w:rPr>
        <w:t>1</w:t>
      </w:r>
      <w:r>
        <w:rPr/>
        <w:t xml:space="preserve"> {{field-on:bible}} </w:t>
      </w:r>
      <w:r>
        <w:rPr>
          <w:rStyle w:val="Funotenanker"/>
        </w:rPr>
        <w:footnoteReference w:customMarkFollows="1" w:id="290"/>
        <w:t>Status</w:t>
      </w:r>
      <w:r>
        <w:rPr/>
        <w:t xml:space="preserve"> </w:t>
      </w:r>
      <w:r>
        <w:rPr>
          <w:b/>
          <w:color w:val="808080"/>
        </w:rPr>
        <w:t>[</w:t>
      </w:r>
      <w:r>
        <w:rPr/>
        <w:t>Eines Tages</w:t>
      </w:r>
      <w:r>
        <w:rPr>
          <w:b/>
          <w:color w:val="808080"/>
        </w:rPr>
        <w:t>]</w:t>
      </w:r>
      <w:r>
        <w:rPr/>
        <w:t xml:space="preserve"> sprach Noomi, ihre Schwiegermutter, zu ihr: „Meine Tochter, will ich nicht</w:t>
      </w:r>
      <w:r>
        <w:rPr>
          <w:rStyle w:val="Funotenanker"/>
        </w:rPr>
        <w:footnoteReference w:customMarkFollows="1" w:id="291"/>
        <w:t>u</w:t>
      </w:r>
      <w:r>
        <w:rPr/>
        <w:t xml:space="preserve"> für dich Ruhe </w:t>
      </w:r>
      <w:r>
        <w:rPr>
          <w:color w:val="808080"/>
        </w:rPr>
        <w:t>(eine Heimstatt)</w:t>
      </w:r>
      <w:r>
        <w:rPr/>
        <w:t xml:space="preserve"> </w:t>
      </w:r>
      <w:r>
        <w:rPr>
          <w:rStyle w:val="Funotenanker"/>
        </w:rPr>
        <w:footnoteReference w:customMarkFollows="1" w:id="292"/>
        <w:t>v</w:t>
      </w:r>
      <w:r>
        <w:rPr/>
        <w:t xml:space="preserve"> suchen, damit </w:t>
      </w:r>
      <w:r>
        <w:rPr>
          <w:color w:val="808080"/>
        </w:rPr>
        <w:t>(wo)</w:t>
      </w:r>
      <w:r>
        <w:rPr/>
        <w:t xml:space="preserve"> es dir gut geht?</w:t>
      </w:r>
      <w:r>
        <w:rPr>
          <w:rStyle w:val="Funotenanker"/>
        </w:rPr>
        <w:footnoteReference w:customMarkFollows="1" w:id="293"/>
        <w:t>w</w:t>
      </w:r>
      <w:r>
        <w:rPr/>
        <w:t xml:space="preserve"> {{field-off:bible}} </w:t>
        <w:br/>
        <w:t>[[@BibleTOBIBLE:Ru 3:2]]</w:t>
      </w:r>
      <w:r>
        <w:rPr>
          <w:b/>
        </w:rPr>
        <w:t>2</w:t>
      </w:r>
      <w:r>
        <w:rPr/>
        <w:t xml:space="preserve"> {{field-on:bible}}Und weiter</w:t>
      </w:r>
      <w:r>
        <w:rPr>
          <w:rStyle w:val="Funotenanker"/>
        </w:rPr>
        <w:footnoteReference w:customMarkFollows="1" w:id="294"/>
        <w:t>x</w:t>
      </w:r>
      <w:r>
        <w:rPr/>
        <w:t>: Ist nicht Boas, bei dessen Mägden du warst, unser Verwandter</w:t>
      </w:r>
      <w:r>
        <w:rPr>
          <w:rStyle w:val="Funotenanker"/>
        </w:rPr>
        <w:footnoteReference w:customMarkFollows="1" w:id="295"/>
        <w:t>y</w:t>
      </w:r>
      <w:r>
        <w:rPr/>
        <w:t xml:space="preserve"> </w:t>
      </w:r>
      <w:r>
        <w:rPr>
          <w:color w:val="808080"/>
        </w:rPr>
        <w:t>(ist nicht Boas unser Verwandter, bei dessen Mägden du warst)</w:t>
      </w:r>
      <w:r>
        <w:rPr/>
        <w:t>? Siehe, dieser wird heute Nacht Gerste auf der Gerstentenne worfeln</w:t>
      </w:r>
      <w:r>
        <w:rPr>
          <w:rStyle w:val="Funotenanker"/>
        </w:rPr>
        <w:footnoteReference w:customMarkFollows="1" w:id="296"/>
        <w:t>z</w:t>
      </w:r>
      <w:r>
        <w:rPr/>
        <w:t xml:space="preserve">.{{field-off:bible}} </w:t>
        <w:br/>
        <w:t>[[@BibleTOBIBLE:Ru 3:3]]</w:t>
      </w:r>
      <w:r>
        <w:rPr>
          <w:b/>
        </w:rPr>
        <w:t>3</w:t>
      </w:r>
      <w:r>
        <w:rPr/>
        <w:t xml:space="preserve"> {{field-on:bible}} </w:t>
      </w:r>
      <w:r>
        <w:rPr>
          <w:b/>
          <w:color w:val="808080"/>
        </w:rPr>
        <w:t>[</w:t>
      </w:r>
      <w:r>
        <w:rPr/>
        <w:t>Daher</w:t>
      </w:r>
      <w:r>
        <w:rPr>
          <w:b/>
          <w:color w:val="808080"/>
        </w:rPr>
        <w:t>]</w:t>
      </w:r>
      <w:r>
        <w:rPr/>
        <w:t xml:space="preserve"> </w:t>
      </w:r>
      <w:r>
        <w:rPr>
          <w:rStyle w:val="Funotenanker"/>
        </w:rPr>
        <w:footnoteReference w:customMarkFollows="1" w:id="297"/>
        <w:t>aa</w:t>
      </w:r>
      <w:r>
        <w:rPr/>
        <w:t xml:space="preserve"> wasche dich, salbe dich, wirf deine Kleider </w:t>
      </w:r>
      <w:r>
        <w:rPr>
          <w:color w:val="808080"/>
        </w:rPr>
        <w:t>(dein Kleid)</w:t>
      </w:r>
      <w:r>
        <w:rPr/>
        <w:t xml:space="preserve"> </w:t>
      </w:r>
      <w:r>
        <w:rPr>
          <w:rStyle w:val="Funotenanker"/>
        </w:rPr>
        <w:footnoteReference w:customMarkFollows="1" w:id="298"/>
        <w:t>ab</w:t>
      </w:r>
      <w:r>
        <w:rPr/>
        <w:t xml:space="preserve"> um dich </w:t>
      </w:r>
      <w:r>
        <w:rPr>
          <w:color w:val="808080"/>
        </w:rPr>
        <w:t>(zieh deine Kleider/dein Kleid an)</w:t>
      </w:r>
      <w:r>
        <w:rPr/>
        <w:t xml:space="preserve"> </w:t>
      </w:r>
      <w:r>
        <w:rPr>
          <w:rStyle w:val="Funotenanker"/>
        </w:rPr>
        <w:footnoteReference w:customMarkFollows="1" w:id="299"/>
        <w:t>ac</w:t>
      </w:r>
      <w:r>
        <w:rPr/>
        <w:t xml:space="preserve"> und geh zur Tenne hinab</w:t>
      </w:r>
      <w:r>
        <w:rPr>
          <w:rStyle w:val="Funotenanker"/>
        </w:rPr>
        <w:footnoteReference w:customMarkFollows="1" w:id="300"/>
        <w:t>ad</w:t>
      </w:r>
      <w:r>
        <w:rPr/>
        <w:t xml:space="preserve">! Lass dich </w:t>
      </w:r>
      <w:r>
        <w:rPr>
          <w:b/>
          <w:color w:val="808080"/>
        </w:rPr>
        <w:t>[</w:t>
      </w:r>
      <w:r>
        <w:rPr/>
        <w:t>aber</w:t>
      </w:r>
      <w:r>
        <w:rPr>
          <w:b/>
          <w:color w:val="808080"/>
        </w:rPr>
        <w:t>]</w:t>
      </w:r>
      <w:r>
        <w:rPr/>
        <w:t xml:space="preserve"> nicht von dem Mann </w:t>
      </w:r>
      <w:r>
        <w:rPr>
          <w:color w:val="808080"/>
        </w:rPr>
        <w:t>(von niemandem)</w:t>
      </w:r>
      <w:r>
        <w:rPr/>
        <w:t xml:space="preserve"> erkennen, bis er mit Essen und Trinken fertig ist!{{field-off:bible}} </w:t>
        <w:br/>
        <w:t>[[@BibleTOBIBLE:Ru 3:4]]</w:t>
      </w:r>
      <w:r>
        <w:rPr>
          <w:b/>
        </w:rPr>
        <w:t>4</w:t>
      </w:r>
      <w:r>
        <w:rPr/>
        <w:t xml:space="preserve"> {{field-on:bible}}Und es soll sein, wenn er sich legt: </w:t>
      </w:r>
      <w:r>
        <w:rPr>
          <w:color w:val="808080"/>
        </w:rPr>
        <w:t>(Wenn er sich legt,)</w:t>
      </w:r>
      <w:r>
        <w:rPr/>
        <w:t xml:space="preserve"> </w:t>
      </w:r>
      <w:r>
        <w:rPr>
          <w:rStyle w:val="Funotenanker"/>
        </w:rPr>
        <w:footnoteReference w:customMarkFollows="1" w:id="301"/>
        <w:t>ae</w:t>
      </w:r>
      <w:r>
        <w:rPr/>
        <w:t xml:space="preserve"> merke dir den Ort, wo er liegt </w:t>
      </w:r>
      <w:r>
        <w:rPr>
          <w:color w:val="808080"/>
        </w:rPr>
        <w:t>(wohin er sich legt)</w:t>
      </w:r>
      <w:r>
        <w:rPr/>
        <w:t xml:space="preserve">, gehe, entblöße seine Beine </w:t>
      </w:r>
      <w:r>
        <w:rPr>
          <w:color w:val="808080"/>
        </w:rPr>
        <w:t>(seine Scham?, decke den Ort seiner Beine auf? Entblöße dich zu seinen Füßen?)</w:t>
      </w:r>
      <w:r>
        <w:rPr/>
        <w:t xml:space="preserve"> </w:t>
      </w:r>
      <w:r>
        <w:rPr>
          <w:rStyle w:val="Funotenanker"/>
        </w:rPr>
        <w:footnoteReference w:customMarkFollows="1" w:id="302"/>
        <w:t>af</w:t>
      </w:r>
      <w:r>
        <w:rPr/>
        <w:t xml:space="preserve"> und lege dich. Er wird dir dann erzählen, was du tun sollst </w:t>
      </w:r>
      <w:r>
        <w:rPr>
          <w:color w:val="808080"/>
        </w:rPr>
        <w:t>(musst)</w:t>
      </w:r>
      <w:r>
        <w:rPr/>
        <w:t xml:space="preserve">.“{{field-off:bible}} </w:t>
        <w:br/>
        <w:t>[[@BibleTOBIBLE:Ru 3:5]]</w:t>
      </w:r>
      <w:r>
        <w:rPr>
          <w:b/>
        </w:rPr>
        <w:t>5</w:t>
      </w:r>
      <w:r>
        <w:rPr/>
        <w:t xml:space="preserve"> {{field-on:bible}}Da antwortete sie ihr: „Alles, was du </w:t>
      </w:r>
      <w:r>
        <w:rPr>
          <w:color w:val="808080"/>
        </w:rPr>
        <w:t>(</w:t>
      </w:r>
      <w:r>
        <w:rPr>
          <w:b/>
          <w:color w:val="808080"/>
        </w:rPr>
        <w:t>[</w:t>
      </w:r>
      <w:r>
        <w:rPr>
          <w:color w:val="808080"/>
        </w:rPr>
        <w:t>mir</w:t>
      </w:r>
      <w:r>
        <w:rPr>
          <w:b/>
          <w:color w:val="808080"/>
        </w:rPr>
        <w:t>]</w:t>
      </w:r>
      <w:r>
        <w:rPr>
          <w:color w:val="808080"/>
        </w:rPr>
        <w:t>)</w:t>
      </w:r>
      <w:r>
        <w:rPr/>
        <w:t xml:space="preserve"> </w:t>
      </w:r>
      <w:r>
        <w:rPr>
          <w:rStyle w:val="Funotenanker"/>
        </w:rPr>
        <w:footnoteReference w:customMarkFollows="1" w:id="303"/>
        <w:t>ag</w:t>
      </w:r>
      <w:r>
        <w:rPr/>
        <w:t xml:space="preserve"> sagst </w:t>
      </w:r>
      <w:r>
        <w:rPr>
          <w:color w:val="808080"/>
        </w:rPr>
        <w:t>(je sagen wirst)</w:t>
      </w:r>
      <w:r>
        <w:rPr/>
        <w:t xml:space="preserve"> </w:t>
      </w:r>
      <w:r>
        <w:rPr>
          <w:rStyle w:val="Funotenanker"/>
        </w:rPr>
        <w:footnoteReference w:customMarkFollows="1" w:id="304"/>
        <w:t>ah</w:t>
      </w:r>
      <w:r>
        <w:rPr/>
        <w:t xml:space="preserve">, will ich tun.“{{field-off:bible}} </w:t>
        <w:br/>
        <w:t>[[@BibleTOBIBLE:Ru 3:6]]</w:t>
      </w:r>
      <w:r>
        <w:rPr>
          <w:b/>
        </w:rPr>
        <w:t>6</w:t>
      </w:r>
      <w:r>
        <w:rPr/>
        <w:t xml:space="preserve"> {{field-on:bible}}Sie ging also hinab zur Tenne und befolgte alles</w:t>
      </w:r>
      <w:r>
        <w:rPr>
          <w:rStyle w:val="Funotenanker"/>
        </w:rPr>
        <w:footnoteReference w:customMarkFollows="1" w:id="305"/>
        <w:t>ai</w:t>
      </w:r>
      <w:r>
        <w:rPr/>
        <w:t xml:space="preserve">, was ihr die Schwiegermutter geboten hatte:{{field-off:bible}} </w:t>
        <w:br/>
        <w:t>[[@BibleTOBIBLE:Ru 3:7]]</w:t>
      </w:r>
      <w:r>
        <w:rPr>
          <w:b/>
        </w:rPr>
        <w:t>7</w:t>
      </w:r>
      <w:r>
        <w:rPr/>
        <w:t xml:space="preserve"> {{field-on:bible}}Boas aß, trank, sein Herz wurde fröhlich,</w:t>
      </w:r>
      <w:r>
        <w:rPr>
          <w:rStyle w:val="Funotenanker"/>
        </w:rPr>
        <w:footnoteReference w:customMarkFollows="1" w:id="306"/>
        <w:t>aj</w:t>
      </w:r>
      <w:r>
        <w:rPr/>
        <w:t xml:space="preserve"> er kam, um sich am Fuß des Getreidehaufens zu legen; sie kam im Geheimen </w:t>
      </w:r>
      <w:r>
        <w:rPr>
          <w:color w:val="808080"/>
        </w:rPr>
        <w:t>(sie schlich sich zu ihm)</w:t>
      </w:r>
      <w:r>
        <w:rPr/>
        <w:t>, entblößte seine Beine</w:t>
      </w:r>
      <w:r>
        <w:rPr>
          <w:rStyle w:val="Funotenanker"/>
        </w:rPr>
        <w:footnoteReference w:customMarkFollows="1" w:id="307"/>
        <w:t>ak</w:t>
      </w:r>
      <w:r>
        <w:rPr/>
        <w:t xml:space="preserve"> und legte sich.{{field-off:bible}} </w:t>
        <w:br/>
        <w:t>[[@BibleTOBIBLE:Ru 3:8]]</w:t>
      </w:r>
      <w:r>
        <w:rPr>
          <w:b/>
        </w:rPr>
        <w:t>8</w:t>
      </w:r>
      <w:r>
        <w:rPr/>
        <w:t xml:space="preserve"> {{field-on:bible}} </w:t>
      </w:r>
      <w:r>
        <w:rPr>
          <w:strike/>
          <w:color w:val="808080"/>
        </w:rPr>
        <w:t>{Und es war}</w:t>
      </w:r>
      <w:r>
        <w:rPr/>
        <w:t xml:space="preserve"> um Mitternacht zitterte</w:t>
      </w:r>
      <w:r>
        <w:rPr>
          <w:rStyle w:val="Funotenanker"/>
        </w:rPr>
        <w:footnoteReference w:customMarkFollows="1" w:id="308"/>
        <w:t>al</w:t>
      </w:r>
      <w:r>
        <w:rPr/>
        <w:t xml:space="preserve"> der Mann, tastete </w:t>
      </w:r>
      <w:r>
        <w:rPr>
          <w:b/>
          <w:color w:val="808080"/>
        </w:rPr>
        <w:t>[</w:t>
      </w:r>
      <w:r>
        <w:rPr/>
        <w:t>um sich</w:t>
      </w:r>
      <w:r>
        <w:rPr>
          <w:b/>
          <w:color w:val="808080"/>
        </w:rPr>
        <w:t>]</w:t>
      </w:r>
      <w:r>
        <w:rPr/>
        <w:t xml:space="preserve"> </w:t>
      </w:r>
      <w:r>
        <w:rPr>
          <w:color w:val="808080"/>
        </w:rPr>
        <w:t>(sah sich um)</w:t>
      </w:r>
      <w:r>
        <w:rPr/>
        <w:t xml:space="preserve"> </w:t>
      </w:r>
      <w:r>
        <w:rPr>
          <w:rStyle w:val="Funotenanker"/>
        </w:rPr>
        <w:footnoteReference w:customMarkFollows="1" w:id="309"/>
        <w:t>am</w:t>
      </w:r>
      <w:r>
        <w:rPr/>
        <w:t xml:space="preserve"> und, siehe da! - eine Frau lag </w:t>
      </w:r>
      <w:r>
        <w:rPr>
          <w:b/>
          <w:color w:val="808080"/>
        </w:rPr>
        <w:t>[</w:t>
      </w:r>
      <w:r>
        <w:rPr/>
        <w:t>an</w:t>
      </w:r>
      <w:r>
        <w:rPr>
          <w:b/>
          <w:color w:val="808080"/>
        </w:rPr>
        <w:t>]</w:t>
      </w:r>
      <w:r>
        <w:rPr/>
        <w:t xml:space="preserve"> </w:t>
      </w:r>
      <w:r>
        <w:rPr>
          <w:color w:val="808080"/>
        </w:rPr>
        <w:t>(</w:t>
      </w:r>
      <w:r>
        <w:rPr>
          <w:b/>
          <w:color w:val="808080"/>
        </w:rPr>
        <w:t>[</w:t>
      </w:r>
      <w:r>
        <w:rPr>
          <w:color w:val="808080"/>
        </w:rPr>
        <w:t>bei</w:t>
      </w:r>
      <w:r>
        <w:rPr>
          <w:b/>
          <w:color w:val="808080"/>
        </w:rPr>
        <w:t>]</w:t>
      </w:r>
      <w:r>
        <w:rPr>
          <w:color w:val="808080"/>
        </w:rPr>
        <w:t>)</w:t>
      </w:r>
      <w:r>
        <w:rPr/>
        <w:t xml:space="preserve"> seinen Beinen!{{field-off:bible}} </w:t>
        <w:br/>
        <w:t>[[@BibleTOBIBLE:Ru 3:9]]</w:t>
      </w:r>
      <w:r>
        <w:rPr>
          <w:b/>
        </w:rPr>
        <w:t>9</w:t>
      </w:r>
      <w:r>
        <w:rPr/>
        <w:t xml:space="preserve"> {{field-on:bible}}Er fragte: „Wer bist du?“ Sie antwortete: „Ich bin Rut, deine Magd</w:t>
      </w:r>
      <w:r>
        <w:rPr>
          <w:rStyle w:val="Funotenanker"/>
        </w:rPr>
        <w:footnoteReference w:customMarkFollows="1" w:id="310"/>
        <w:t>an</w:t>
      </w:r>
      <w:r>
        <w:rPr/>
        <w:t xml:space="preserve"> - daher breite deinen Gewandzipfel </w:t>
      </w:r>
      <w:r>
        <w:rPr>
          <w:color w:val="808080"/>
        </w:rPr>
        <w:t>(deine Decke, deine Flügel)</w:t>
      </w:r>
      <w:r>
        <w:rPr/>
        <w:t xml:space="preserve"> </w:t>
      </w:r>
      <w:r>
        <w:rPr>
          <w:rStyle w:val="Funotenanker"/>
        </w:rPr>
        <w:footnoteReference w:customMarkFollows="1" w:id="311"/>
        <w:t>ao</w:t>
      </w:r>
      <w:r>
        <w:rPr/>
        <w:t xml:space="preserve"> über deine Magd, denn du bist Goel!</w:t>
      </w:r>
      <w:r>
        <w:rPr>
          <w:rStyle w:val="Funotenanker"/>
        </w:rPr>
        <w:footnoteReference w:customMarkFollows="1" w:id="312"/>
        <w:t>ap</w:t>
      </w:r>
      <w:r>
        <w:rPr/>
        <w:t xml:space="preserve">“{{field-off:bible}} </w:t>
        <w:br/>
        <w:t>[[@BibleTOBIBLE:Ru 3:10]]</w:t>
      </w:r>
      <w:r>
        <w:rPr>
          <w:b/>
        </w:rPr>
        <w:t>10</w:t>
      </w:r>
      <w:r>
        <w:rPr/>
        <w:t xml:space="preserve"> {{field-on:bible}}Da sagte er: „Gesegnet </w:t>
      </w:r>
      <w:r>
        <w:rPr>
          <w:b/>
          <w:color w:val="808080"/>
        </w:rPr>
        <w:t>[</w:t>
      </w:r>
      <w:r>
        <w:rPr/>
        <w:t>seist</w:t>
      </w:r>
      <w:r>
        <w:rPr>
          <w:b/>
          <w:color w:val="808080"/>
        </w:rPr>
        <w:t>]</w:t>
      </w:r>
      <w:r>
        <w:rPr/>
        <w:t xml:space="preserve"> du von </w:t>
      </w:r>
      <w:r>
        <w:rPr>
          <w:smallCaps/>
          <w:color w:val="FF0000"/>
        </w:rPr>
        <w:t>JHWH</w:t>
      </w:r>
      <w:r>
        <w:rPr/>
        <w:t xml:space="preserve"> </w:t>
      </w:r>
      <w:r>
        <w:rPr>
          <w:rStyle w:val="Funotenanker"/>
        </w:rPr>
        <w:footnoteReference w:customMarkFollows="1" w:id="313"/>
        <w:t>aq</w:t>
      </w:r>
      <w:r>
        <w:rPr/>
        <w:t xml:space="preserve">, meine Tochter! Denn deine spätere Güte hast du besser getan </w:t>
      </w:r>
      <w:r>
        <w:rPr>
          <w:color w:val="808080"/>
        </w:rPr>
        <w:t>(deine spätere gute Tat ist noch besser)</w:t>
      </w:r>
      <w:r>
        <w:rPr/>
        <w:t xml:space="preserve"> als deine vorige, nicht den jungen Männern nachgelaufen</w:t>
      </w:r>
      <w:r>
        <w:rPr>
          <w:rStyle w:val="Funotenanker"/>
        </w:rPr>
        <w:footnoteReference w:customMarkFollows="1" w:id="314"/>
        <w:t>ar</w:t>
      </w:r>
      <w:r>
        <w:rPr/>
        <w:t xml:space="preserve"> zu sein </w:t>
      </w:r>
      <w:r>
        <w:rPr>
          <w:color w:val="808080"/>
        </w:rPr>
        <w:t>(indem du nicht den jungen Männern nachgelaufen bist)</w:t>
      </w:r>
      <w:r>
        <w:rPr/>
        <w:t xml:space="preserve"> - egal, ob arm oder reich.</w:t>
      </w:r>
      <w:r>
        <w:rPr>
          <w:rStyle w:val="Funotenanker"/>
        </w:rPr>
        <w:footnoteReference w:customMarkFollows="1" w:id="315"/>
        <w:t>as</w:t>
      </w:r>
      <w:r>
        <w:rPr/>
        <w:t xml:space="preserve"> {{field-off:bible}} </w:t>
        <w:br/>
        <w:t>[[@BibleTOBIBLE:Ru 3:11]]</w:t>
      </w:r>
      <w:r>
        <w:rPr>
          <w:b/>
        </w:rPr>
        <w:t>11</w:t>
      </w:r>
      <w:r>
        <w:rPr/>
        <w:t xml:space="preserve"> {{field-on:bible}}Nun denn, meine Tochter: Fürchte dich nicht - alles, was du sagst </w:t>
      </w:r>
      <w:r>
        <w:rPr>
          <w:color w:val="808080"/>
        </w:rPr>
        <w:t>(je sagen wirst)</w:t>
      </w:r>
      <w:r>
        <w:rPr/>
        <w:t xml:space="preserve">, will ich für dich tun, denn es weiß das ganze Tor meines Volkes </w:t>
      </w:r>
      <w:r>
        <w:rPr>
          <w:color w:val="808080"/>
        </w:rPr>
        <w:t>(mein ganzes Volk)</w:t>
      </w:r>
      <w:r>
        <w:rPr/>
        <w:t xml:space="preserve"> </w:t>
      </w:r>
      <w:r>
        <w:rPr>
          <w:rStyle w:val="Funotenanker"/>
        </w:rPr>
        <w:footnoteReference w:customMarkFollows="1" w:id="316"/>
        <w:t>at</w:t>
      </w:r>
      <w:r>
        <w:rPr/>
        <w:t>, dass du eine fähige Frau</w:t>
      </w:r>
      <w:r>
        <w:rPr>
          <w:rStyle w:val="Funotenanker"/>
        </w:rPr>
        <w:footnoteReference w:customMarkFollows="1" w:id="317"/>
        <w:t>au</w:t>
      </w:r>
      <w:r>
        <w:rPr/>
        <w:t xml:space="preserve"> bist.{{field-off:bible}} </w:t>
        <w:br/>
        <w:t>[[@BibleTOBIBLE:Ru 3:12]]</w:t>
      </w:r>
      <w:r>
        <w:rPr>
          <w:b/>
        </w:rPr>
        <w:t>12</w:t>
      </w:r>
      <w:r>
        <w:rPr/>
        <w:t xml:space="preserve"> {{field-on:bible}}Nun denn... - Ach, </w:t>
      </w:r>
      <w:r>
        <w:rPr>
          <w:b/>
          <w:color w:val="808080"/>
        </w:rPr>
        <w:t>[</w:t>
      </w:r>
      <w:r>
        <w:rPr/>
        <w:t>wäre das</w:t>
      </w:r>
      <w:r>
        <w:rPr>
          <w:b/>
          <w:color w:val="808080"/>
        </w:rPr>
        <w:t>]</w:t>
      </w:r>
      <w:r>
        <w:rPr/>
        <w:t xml:space="preserve"> wahr! Ach, wenn ich doch Löser </w:t>
      </w:r>
      <w:r>
        <w:rPr>
          <w:b/>
          <w:color w:val="808080"/>
        </w:rPr>
        <w:t>[</w:t>
      </w:r>
      <w:r>
        <w:rPr/>
        <w:t>wäre</w:t>
      </w:r>
      <w:r>
        <w:rPr>
          <w:b/>
          <w:color w:val="808080"/>
        </w:rPr>
        <w:t>]</w:t>
      </w:r>
      <w:r>
        <w:rPr/>
        <w:t>! Jedoch</w:t>
      </w:r>
      <w:r>
        <w:rPr>
          <w:rStyle w:val="Funotenanker"/>
        </w:rPr>
        <w:footnoteReference w:customMarkFollows="1" w:id="318"/>
        <w:t>av</w:t>
      </w:r>
      <w:r>
        <w:rPr/>
        <w:t xml:space="preserve"> es gibt </w:t>
      </w:r>
      <w:r>
        <w:rPr>
          <w:color w:val="808080"/>
        </w:rPr>
        <w:t>(ihr habt)</w:t>
      </w:r>
      <w:r>
        <w:rPr/>
        <w:t xml:space="preserve"> einen Löser, </w:t>
      </w:r>
      <w:r>
        <w:rPr>
          <w:b/>
          <w:color w:val="808080"/>
        </w:rPr>
        <w:t>[</w:t>
      </w:r>
      <w:r>
        <w:rPr/>
        <w:t>der euch</w:t>
      </w:r>
      <w:r>
        <w:rPr>
          <w:b/>
          <w:color w:val="808080"/>
        </w:rPr>
        <w:t>]</w:t>
      </w:r>
      <w:r>
        <w:rPr/>
        <w:t xml:space="preserve"> näher </w:t>
      </w:r>
      <w:r>
        <w:rPr>
          <w:b/>
          <w:color w:val="808080"/>
        </w:rPr>
        <w:t>[</w:t>
      </w:r>
      <w:r>
        <w:rPr/>
        <w:t>verwandt ist</w:t>
      </w:r>
      <w:r>
        <w:rPr>
          <w:b/>
          <w:color w:val="808080"/>
        </w:rPr>
        <w:t>]</w:t>
      </w:r>
      <w:r>
        <w:rPr/>
        <w:t xml:space="preserve"> als ich </w:t>
      </w:r>
      <w:r>
        <w:rPr>
          <w:color w:val="808080"/>
        </w:rPr>
        <w:t>(es gibt einen näheren Löser als mich</w:t>
      </w:r>
      <w:r>
        <w:rPr/>
        <w:t xml:space="preserve"> </w:t>
      </w:r>
      <w:r>
        <w:rPr>
          <w:rStyle w:val="Funotenanker"/>
        </w:rPr>
        <w:footnoteReference w:customMarkFollows="1" w:id="319"/>
        <w:t>aw</w:t>
      </w:r>
      <w:r>
        <w:rPr/>
        <w:t xml:space="preserve"> </w:t>
      </w:r>
      <w:r>
        <w:rPr>
          <w:color w:val="808080"/>
        </w:rPr>
        <w:t>)</w:t>
      </w:r>
      <w:r>
        <w:rPr/>
        <w:t xml:space="preserve">.{{field-off:bible}} </w:t>
        <w:br/>
        <w:t>[[@BibleTOBIBLE:Ru 3:13]]</w:t>
      </w:r>
      <w:r>
        <w:rPr>
          <w:b/>
        </w:rPr>
        <w:t>13</w:t>
      </w:r>
      <w:r>
        <w:rPr/>
        <w:t xml:space="preserve"> {{field-on:bible}}Bleibe diese Nacht </w:t>
      </w:r>
      <w:r>
        <w:rPr>
          <w:b/>
          <w:color w:val="808080"/>
        </w:rPr>
        <w:t>[</w:t>
      </w:r>
      <w:r>
        <w:rPr/>
        <w:t>hier</w:t>
      </w:r>
      <w:r>
        <w:rPr>
          <w:b/>
          <w:color w:val="808080"/>
        </w:rPr>
        <w:t>]</w:t>
      </w:r>
      <w:r>
        <w:rPr/>
        <w:t>, und wenn er dich am Morgen lösen wird</w:t>
      </w:r>
      <w:r>
        <w:rPr>
          <w:rStyle w:val="Funotenanker"/>
        </w:rPr>
        <w:footnoteReference w:customMarkFollows="1" w:id="320"/>
        <w:t>ax</w:t>
      </w:r>
      <w:r>
        <w:rPr/>
        <w:t xml:space="preserve"> - schön! Dann soll er dich lösen! Doch wenn er </w:t>
      </w:r>
      <w:r>
        <w:rPr>
          <w:b/>
          <w:color w:val="808080"/>
        </w:rPr>
        <w:t>[</w:t>
      </w:r>
      <w:r>
        <w:rPr/>
        <w:t>dann</w:t>
      </w:r>
      <w:r>
        <w:rPr>
          <w:b/>
          <w:color w:val="808080"/>
        </w:rPr>
        <w:t>]</w:t>
      </w:r>
      <w:r>
        <w:rPr/>
        <w:t xml:space="preserve"> keine Lust hat, dich zu lösen - dann werde ich dich lösen, </w:t>
      </w:r>
      <w:r>
        <w:rPr>
          <w:b/>
          <w:color w:val="808080"/>
        </w:rPr>
        <w:t>[</w:t>
      </w:r>
      <w:r>
        <w:rPr/>
        <w:t>so wahr</w:t>
      </w:r>
      <w:r>
        <w:rPr>
          <w:b/>
          <w:color w:val="808080"/>
        </w:rPr>
        <w:t>]</w:t>
      </w:r>
      <w:r>
        <w:rPr/>
        <w:t xml:space="preserve"> Gott lebt!</w:t>
      </w:r>
      <w:r>
        <w:rPr>
          <w:rStyle w:val="Funotenanker"/>
        </w:rPr>
        <w:footnoteReference w:customMarkFollows="1" w:id="321"/>
        <w:t>ay</w:t>
      </w:r>
      <w:r>
        <w:rPr/>
        <w:t xml:space="preserve"> Liege bis zum Morgen!“{{field-off:bible}} </w:t>
        <w:br/>
        <w:t>[[@BibleTOBIBLE:Ru 3:14]]</w:t>
      </w:r>
      <w:r>
        <w:rPr>
          <w:b/>
        </w:rPr>
        <w:t>14</w:t>
      </w:r>
      <w:r>
        <w:rPr/>
        <w:t xml:space="preserve"> {{field-on:bible}}Und sie lag </w:t>
      </w:r>
      <w:r>
        <w:rPr>
          <w:b/>
          <w:color w:val="808080"/>
        </w:rPr>
        <w:t>[</w:t>
      </w:r>
      <w:r>
        <w:rPr/>
        <w:t>an</w:t>
      </w:r>
      <w:r>
        <w:rPr>
          <w:b/>
          <w:color w:val="808080"/>
        </w:rPr>
        <w:t>]</w:t>
      </w:r>
      <w:r>
        <w:rPr/>
        <w:t xml:space="preserve"> </w:t>
      </w:r>
      <w:r>
        <w:rPr>
          <w:color w:val="808080"/>
        </w:rPr>
        <w:t>(bei)</w:t>
      </w:r>
      <w:r>
        <w:rPr/>
        <w:t xml:space="preserve"> seinen Beinen </w:t>
      </w:r>
      <w:r>
        <w:rPr>
          <w:color w:val="808080"/>
        </w:rPr>
        <w:t>(</w:t>
      </w:r>
      <w:r>
        <w:rPr>
          <w:b/>
          <w:color w:val="808080"/>
        </w:rPr>
        <w:t>[</w:t>
      </w:r>
      <w:r>
        <w:rPr>
          <w:color w:val="808080"/>
        </w:rPr>
        <w:t>an</w:t>
      </w:r>
      <w:r>
        <w:rPr>
          <w:b/>
          <w:color w:val="808080"/>
        </w:rPr>
        <w:t>]</w:t>
      </w:r>
      <w:r>
        <w:rPr>
          <w:color w:val="808080"/>
        </w:rPr>
        <w:t xml:space="preserve"> seinem Bein</w:t>
      </w:r>
      <w:r>
        <w:rPr/>
        <w:t xml:space="preserve"> </w:t>
      </w:r>
      <w:r>
        <w:rPr>
          <w:rStyle w:val="Funotenanker"/>
        </w:rPr>
        <w:footnoteReference w:customMarkFollows="1" w:id="322"/>
        <w:t>az</w:t>
      </w:r>
      <w:r>
        <w:rPr/>
        <w:t xml:space="preserve"> </w:t>
      </w:r>
      <w:r>
        <w:rPr>
          <w:color w:val="808080"/>
        </w:rPr>
        <w:t>)</w:t>
      </w:r>
      <w:r>
        <w:rPr/>
        <w:t xml:space="preserve"> bis zum Morgen. </w:t>
      </w:r>
      <w:r>
        <w:rPr>
          <w:b/>
          <w:color w:val="808080"/>
        </w:rPr>
        <w:t>[</w:t>
      </w:r>
      <w:r>
        <w:rPr/>
        <w:t>Doch</w:t>
      </w:r>
      <w:r>
        <w:rPr>
          <w:b/>
          <w:color w:val="808080"/>
        </w:rPr>
        <w:t>]</w:t>
      </w:r>
      <w:r>
        <w:rPr/>
        <w:t xml:space="preserve"> noch bevor ein Mann seinen Nächsten </w:t>
      </w:r>
      <w:r>
        <w:rPr>
          <w:color w:val="808080"/>
        </w:rPr>
        <w:t>(bevor man einander, bevor einer den andern)</w:t>
      </w:r>
      <w:r>
        <w:rPr/>
        <w:t xml:space="preserve"> </w:t>
      </w:r>
      <w:r>
        <w:rPr>
          <w:rStyle w:val="Funotenanker"/>
        </w:rPr>
        <w:footnoteReference w:customMarkFollows="1" w:id="323"/>
        <w:t>ba</w:t>
      </w:r>
      <w:r>
        <w:rPr/>
        <w:t xml:space="preserve"> erkennen konnte, stand sie auf.Er sagte </w:t>
      </w:r>
      <w:r>
        <w:rPr>
          <w:b/>
          <w:color w:val="808080"/>
        </w:rPr>
        <w:t>[</w:t>
      </w:r>
      <w:r>
        <w:rPr/>
        <w:t>sich</w:t>
      </w:r>
      <w:r>
        <w:rPr>
          <w:b/>
          <w:color w:val="808080"/>
        </w:rPr>
        <w:t>]</w:t>
      </w:r>
      <w:r>
        <w:rPr/>
        <w:t>:</w:t>
      </w:r>
      <w:r>
        <w:rPr>
          <w:rStyle w:val="Funotenanker"/>
        </w:rPr>
        <w:footnoteReference w:customMarkFollows="1" w:id="324"/>
        <w:t>bb</w:t>
      </w:r>
      <w:r>
        <w:rPr/>
        <w:t xml:space="preserve"> „Es soll nicht bekannt sein, dass die Frau zur Tenne gekommen ist!“{{field-off:bible}} </w:t>
        <w:br/>
        <w:t>[[@BibleTOBIBLE:Ru 3:15]]</w:t>
      </w:r>
      <w:r>
        <w:rPr>
          <w:b/>
        </w:rPr>
        <w:t>15</w:t>
      </w:r>
      <w:r>
        <w:rPr/>
        <w:t xml:space="preserve"> {{field-on:bible}} </w:t>
      </w:r>
      <w:r>
        <w:rPr>
          <w:b/>
          <w:color w:val="808080"/>
        </w:rPr>
        <w:t>[</w:t>
      </w:r>
      <w:r>
        <w:rPr/>
        <w:t>Daher</w:t>
      </w:r>
      <w:r>
        <w:rPr>
          <w:b/>
          <w:color w:val="808080"/>
        </w:rPr>
        <w:t>]</w:t>
      </w:r>
      <w:r>
        <w:rPr/>
        <w:t xml:space="preserve"> sagte er: „Gib den </w:t>
      </w:r>
      <w:r>
        <w:rPr>
          <w:color w:val="808080"/>
        </w:rPr>
        <w:t>(deinen)</w:t>
      </w:r>
      <w:r>
        <w:rPr/>
        <w:t xml:space="preserve"> Mantel, der um dich </w:t>
      </w:r>
      <w:r>
        <w:rPr>
          <w:b/>
          <w:color w:val="808080"/>
        </w:rPr>
        <w:t>[</w:t>
      </w:r>
      <w:r>
        <w:rPr/>
        <w:t>ist</w:t>
      </w:r>
      <w:r>
        <w:rPr>
          <w:b/>
          <w:color w:val="808080"/>
        </w:rPr>
        <w:t>]</w:t>
      </w:r>
      <w:r>
        <w:rPr/>
        <w:t xml:space="preserve"> </w:t>
      </w:r>
      <w:r>
        <w:rPr>
          <w:color w:val="808080"/>
        </w:rPr>
        <w:t>(den du an hast)</w:t>
      </w:r>
      <w:r>
        <w:rPr/>
        <w:t xml:space="preserve">, und halte ihn </w:t>
      </w:r>
      <w:r>
        <w:rPr>
          <w:b/>
          <w:color w:val="808080"/>
        </w:rPr>
        <w:t>[</w:t>
      </w:r>
      <w:r>
        <w:rPr/>
        <w:t>gut fest</w:t>
      </w:r>
      <w:r>
        <w:rPr>
          <w:b/>
          <w:color w:val="808080"/>
        </w:rPr>
        <w:t>]</w:t>
      </w:r>
      <w:r>
        <w:rPr/>
        <w:t xml:space="preserve"> </w:t>
      </w:r>
      <w:r>
        <w:rPr>
          <w:rStyle w:val="Funotenanker"/>
        </w:rPr>
        <w:footnoteReference w:customMarkFollows="1" w:id="325"/>
        <w:t>bc</w:t>
      </w:r>
      <w:r>
        <w:rPr/>
        <w:t xml:space="preserve">!“ Also hielt sie ihn </w:t>
      </w:r>
      <w:r>
        <w:rPr>
          <w:b/>
          <w:color w:val="808080"/>
        </w:rPr>
        <w:t>[</w:t>
      </w:r>
      <w:r>
        <w:rPr/>
        <w:t>fest</w:t>
      </w:r>
      <w:r>
        <w:rPr>
          <w:b/>
          <w:color w:val="808080"/>
        </w:rPr>
        <w:t>]</w:t>
      </w:r>
      <w:r>
        <w:rPr/>
        <w:t xml:space="preserve"> und er maß ihr sechs der Gerste</w:t>
      </w:r>
      <w:r>
        <w:rPr>
          <w:rStyle w:val="Funotenanker"/>
        </w:rPr>
        <w:footnoteReference w:customMarkFollows="1" w:id="326"/>
        <w:t>bd</w:t>
      </w:r>
      <w:r>
        <w:rPr/>
        <w:t xml:space="preserve"> </w:t>
      </w:r>
      <w:r>
        <w:rPr>
          <w:b/>
          <w:color w:val="808080"/>
        </w:rPr>
        <w:t>[</w:t>
      </w:r>
      <w:r>
        <w:rPr/>
        <w:t>hinein</w:t>
      </w:r>
      <w:r>
        <w:rPr>
          <w:b/>
          <w:color w:val="808080"/>
        </w:rPr>
        <w:t>]</w:t>
      </w:r>
      <w:r>
        <w:rPr/>
        <w:t xml:space="preserve">, lud ihn ihr auf und kam zur Stadt </w:t>
      </w:r>
      <w:r>
        <w:rPr>
          <w:color w:val="808080"/>
        </w:rPr>
        <w:t>(und sie kam zur Stadt)</w:t>
      </w:r>
      <w:r>
        <w:rPr/>
        <w:t xml:space="preserve"> </w:t>
      </w:r>
      <w:r>
        <w:rPr>
          <w:rStyle w:val="Funotenanker"/>
        </w:rPr>
        <w:footnoteReference w:customMarkFollows="1" w:id="327"/>
        <w:t>be</w:t>
      </w:r>
      <w:r>
        <w:rPr/>
        <w:t xml:space="preserve"> {{field-off:bible}} </w:t>
        <w:br/>
        <w:t>[[@BibleTOBIBLE:Ru 3:16]]</w:t>
      </w:r>
      <w:r>
        <w:rPr>
          <w:b/>
        </w:rPr>
        <w:t>16</w:t>
      </w:r>
      <w:r>
        <w:rPr/>
        <w:t xml:space="preserve"> {{field-on:bible}}Und sie kam zur Schwiegermutter, und </w:t>
      </w:r>
      <w:r>
        <w:rPr>
          <w:b/>
          <w:color w:val="808080"/>
        </w:rPr>
        <w:t>[</w:t>
      </w:r>
      <w:r>
        <w:rPr/>
        <w:t>diese</w:t>
      </w:r>
      <w:r>
        <w:rPr>
          <w:b/>
          <w:color w:val="808080"/>
        </w:rPr>
        <w:t>]</w:t>
      </w:r>
      <w:r>
        <w:rPr/>
        <w:t xml:space="preserve"> fragte: „Wie ist es gelaufen, meine Tochter? </w:t>
      </w:r>
      <w:r>
        <w:rPr>
          <w:color w:val="808080"/>
        </w:rPr>
        <w:t xml:space="preserve">(Als was/Wie/Was </w:t>
      </w:r>
      <w:r>
        <w:rPr>
          <w:b/>
          <w:color w:val="808080"/>
        </w:rPr>
        <w:t>[</w:t>
      </w:r>
      <w:r>
        <w:rPr>
          <w:color w:val="808080"/>
        </w:rPr>
        <w:t>bist</w:t>
      </w:r>
      <w:r>
        <w:rPr>
          <w:b/>
          <w:color w:val="808080"/>
        </w:rPr>
        <w:t>]</w:t>
      </w:r>
      <w:r>
        <w:rPr>
          <w:color w:val="808080"/>
        </w:rPr>
        <w:t xml:space="preserve"> du, meine Tochter?, Wer bist du - meine Tochter?)</w:t>
      </w:r>
      <w:r>
        <w:rPr/>
        <w:t>“</w:t>
      </w:r>
      <w:r>
        <w:rPr>
          <w:rStyle w:val="Funotenanker"/>
        </w:rPr>
        <w:footnoteReference w:customMarkFollows="1" w:id="328"/>
        <w:t>bf</w:t>
      </w:r>
      <w:r>
        <w:rPr/>
        <w:t xml:space="preserve"> Da berichtete sie ihr alles, was ihr der Mann getan hatte.{{field-off:bible}} </w:t>
        <w:br/>
        <w:t>[[@BibleTOBIBLE:Ru 3:17]]</w:t>
      </w:r>
      <w:r>
        <w:rPr>
          <w:b/>
        </w:rPr>
        <w:t>17</w:t>
      </w:r>
      <w:r>
        <w:rPr/>
        <w:t xml:space="preserve"> {{field-on:bible}}Und sie sagte: ''Diese sechs der Gerste'' hat er mir gegeben, denn er hat </w:t>
      </w:r>
      <w:r>
        <w:rPr>
          <w:color w:val="808080"/>
        </w:rPr>
        <w:t>(</w:t>
      </w:r>
      <w:r>
        <w:rPr>
          <w:b/>
          <w:color w:val="808080"/>
        </w:rPr>
        <w:t>[</w:t>
      </w:r>
      <w:r>
        <w:rPr>
          <w:color w:val="808080"/>
        </w:rPr>
        <w:t>zu mir</w:t>
      </w:r>
      <w:r>
        <w:rPr>
          <w:b/>
          <w:color w:val="808080"/>
        </w:rPr>
        <w:t>]</w:t>
      </w:r>
      <w:r>
        <w:rPr>
          <w:color w:val="808080"/>
        </w:rPr>
        <w:t>)</w:t>
      </w:r>
      <w:r>
        <w:rPr/>
        <w:t xml:space="preserve"> gesagt: „Du darfst nicht leer zur Schwiegermutter kommen!“</w:t>
      </w:r>
      <w:r>
        <w:rPr>
          <w:rStyle w:val="Funotenanker"/>
        </w:rPr>
        <w:footnoteReference w:customMarkFollows="1" w:id="329"/>
        <w:t>bg</w:t>
      </w:r>
      <w:r>
        <w:rPr/>
        <w:t xml:space="preserve"> {{field-off:bible}} </w:t>
        <w:br/>
        <w:t>[[@BibleTOBIBLE:Ru 3:18]]</w:t>
      </w:r>
      <w:r>
        <w:rPr>
          <w:b/>
        </w:rPr>
        <w:t>18</w:t>
      </w:r>
      <w:r>
        <w:rPr/>
        <w:t xml:space="preserve"> {{field-on:bible}}Da sagte sie: „Warte ab, meine Tochter, bis du weißt, wie die Sache ausfallen wird. Denn der Mann wird nich ruhen bis er </w:t>
      </w:r>
      <w:r>
        <w:rPr>
          <w:b/>
          <w:color w:val="808080"/>
        </w:rPr>
        <w:t>[</w:t>
      </w:r>
      <w:r>
        <w:rPr/>
        <w:t>noch</w:t>
      </w:r>
      <w:r>
        <w:rPr>
          <w:b/>
          <w:color w:val="808080"/>
        </w:rPr>
        <w:t>]</w:t>
      </w:r>
      <w:r>
        <w:rPr/>
        <w:t xml:space="preserve"> heute die Sache beendet hat.“{{field-off:bible}} </w:t>
      </w:r>
    </w:p>
    <w:p>
      <w:pPr>
        <w:pStyle w:val="Berschrift3"/>
        <w:rPr/>
      </w:pPr>
      <w:r>
        <w:rPr/>
        <w:t>[[@BibleTOBIBLE:Ru 4]]Kapitel 4</w:t>
      </w:r>
    </w:p>
    <w:p>
      <w:pPr>
        <w:pStyle w:val="Textkrper"/>
        <w:rPr/>
      </w:pPr>
      <w:r>
        <w:rPr/>
        <w:t>Was zu Beginn von Kapitel 4 geschieht, lässt sich nicht mehr ganz erschließen, da uns die das nötige Wissen über die rechtlichen Hintergründe fehlt. So viel ist gewiss:Grundbesitz gehörte im Alten Israel immer untrennbar zu einer Familie. Weil das Land eine Gabe Gottes an seine Besitzer war (s. Lev 25,23), musste es idealiter immer im Besitz dieser Familie bleiben - ihr „Name musste auf diesem Besitz immer aufgerichtet bleiben“ (V. 5) - und konnte daher auch nicht letztgültig verkauft werden (s. dazu näher Bodenrecht (AT) (WiBiLex)). Zu diesem Zweck war im Alten Israel auch das Erbfolgerecht genau geregelt (s. dazu näher Erbe/Erbrecht (AT) (WiBiLex)); die Erbfolge war: Sohn =&gt; Tochter =&gt; Bruder d. Vaters =&gt; nächste Verwandte (s. Num 27,8-11). Wichtig für das folgende: Witwen waren erst in persischer Zeit erbberechtigt und hatten dies früher wegen der beiden folgenden rechtlichen Hintergründe auch gar nicht nötig. Trotz dieser genauen Erbfolgeregelungen existierten zwei Gefahren: (1) Eine Familie konnte verarmen und deshalb gezwungen sein ihren Erbbesitz verkaufen zu müssen; (2) eine Familie konnte aussterben. Vor der ersten Gefahr sollte die „Löserinstitution“ schützen, vor der zweiten die „Schwagerehe“. Die Löserinstitution (s. dazu näher Löser/Loskauf (WiBiLex); gut auch Gordis 1974, S. 252f.) sollte sicherstellen, dass Land nicht auf Dauer verkauft werden musste und auch nur möglichst kurz aus dem Besitz einer Familie geriet. Sie ist geregelt in Lev 25,25-34; eine alternative Anwendung findet sich in Jer 32,7-10. Aus beiden Stellen ergibt sich für der Löserinstitution in etwa, dass im Falle eines zeitweiligen „Verkaufs“ von Land der sog. „Löser“ entweder das Vorkaufsrecht für das Land seines verarmten Verwandten hatte oder bei bereits erfolgtem Verkauf das Recht und die Pflicht hatte, es von den Käufern wieder zurückzuerwerben. Auch die Löser-Reihenfolge ist genau geregelt, sie war: Bruder =&gt; Onkel =&gt; Cousin =&gt; nächster Verwandter (s. Lev 25,48-50). Die Schwagerehe (s. dazu näher Levirat/Leviratsehe (WiBiLex); gut auch Olanisebe/Oladosu 2014) schließlich sollte sicherstellen, dass eine Familie nicht ausstarb. Sie ist geregelt in Dtn 25,5-10 und besagt dort, dass im Falle des Todes eines kinderlosen Mannes der Bruder dieses Mannes dessen Frau heiraten sollte. Das erste Kind aus dieser Verbindung galt rechtlich dann als Sohn des Verstorbenen, konnte dessen Erbe antreten und damit auch seine Mutter versorgen. In Gen 38 wird außerdem von einer „Schwagerehe“ zwischen Tamar und ihrem Schwiegervater Juda berichtet, und das Rutbuch legt nahe, dass wohl auch noch entferntere Verwandte schwagerehen-berechtigt waren.</w:t>
      </w:r>
      <w:r>
        <w:rPr>
          <w:rStyle w:val="Funotenanker"/>
        </w:rPr>
        <w:footnoteReference w:customMarkFollows="1" w:id="330"/>
        <w:t>a</w:t>
      </w:r>
      <w:r>
        <w:rPr/>
        <w:t xml:space="preserve"> S. auch noch mal die Zusammenfassung in FN y. Sicher ist, dass diese rechtlichen Hintergründe irgendwie in Rut 4,1-12 zur Anwendung kommen. Unsicher ist, wie genau. &lt;small&gt;&lt;u&gt;Exkurs&lt;/u&gt;: Einige Unsicherheiten: Überraschend ist schon im ersten Vers das Feld, das sich offenbar in Noomis Besitz befindet - erstens, weil der Besitz eines Feldes wahrscheinlich Ruts Ährenlesen in Kap. 2 „illegal“ gemacht hätte (s. die Anmerkungen zu Kap. 2; so z.B. auch Köhlmoos 2010, S. 72); zweitens, weil nach der obigen Erbfolge Noomi überhaupt kein Feld besitzen dürfte: Witwen waren wie gesagt nicht erbberechtigt. Selbst, wenn sie es gewesen wären, wäre nach dem Tod Elimelechs das Feld zunächst in den Besitz von Machlon und Kiljon und danach in den Besitz von deren Witwen Rut und Orpa übergegangen, und da sie es nicht waren, wäre nach der oben dargestellten Erb- und Löserfolge verrückterweise gerade der Löser der Erbe des Feldes und damit der einzige, der das Feld nicht erst erwerben müsste. Genug: Irgendwie hat Noomi hier ein Feld, das sie gerne verkaufen möchte. Weiter: Wegen Rut 3 und Rut 4,11-17 dürfen wir sicher sein, dass primär von Interesse nicht die Lösung des Feldes, sondern die Schwagerehe Boas mit Rut ist. Die Rolle dieses Feldes ist dann aber unklar; gerade die Schwagerehe ist ja unproblematisch, da der Löser sie ohnehin nicht vollziehen will. Warum geht dann aber der Erzähler den Umweg über das Feld? Warum weiterhin in V. 5 die Lösung an die Schwagerehe gekoppelt zu sein scheint, ist gleichfalls unklar. Und schließlich ist die Antwort des Lösers in V. 6 nicht verständlich: Durch die Schwagerehe mit Rut würde er zweifellos wegen des Unterhalts, den er für Rut und „Machlons“ Sohn zu zahlen hätte, Verlust machen - wie er damit aber seinen Erbbesitz schädigen würde, ist für uns nicht mehr ersichtlich. Auch für die Alten offenbar nicht; TgRut z.B. erfindet einfach eine Hintergrundgeschichte, um sich die Weigerung des Lösers erklären zu können (Der Löser wäre bereits verheiratet gewesen und eine weitere Frau hätte zu Missstimmung in seinem Haus geführt).&lt;/small&gt; Sofern wir dem Text vertrauen können, scheint es sich in etwa so zu verhalten: Aus irgendeinem Grund ist die Lösung von Elimelechs Grundstück tatsächlich an eine Schwagerehe mit Rut gekoppelt und aus irgendeinem Grund ist es für die Schwagerehe von Rut und Boas wichtig, dass der Löser sich zunächst bereit erklärt, Elimelechs Feld zu lösen, und erst dann einen Rückzieher macht. Und eben dies geschieht hier: Der Löser macht einen Rückzieher; Boas rückt in der Löserfolge nach, löst Elimelechs Feld, geht die Schwagerehe ein und zeugt mit Rut einen Sohn, der rechtlich als Sohn Machlons gilt, dessen Erbe antreten und mithilfe dieses Erbes seine Großmutter Noomi im Alter versorgen kann. Ob wir allerdings dem Text vertrauen können, ist unsicher - denn neben den rechtlichen Vorgängen selbst liegt der Fokus der Vv. 1-12 gerade darauf, wie völlig korrekt Boas hier vorgeht: Ordnungsgemäß bespricht er die Angelegenheit mit dem Löser im Tor; ordnungsgemäß bestellt er sich dazu auch gleich zehn der Dorfältesten; sämtliche Vorgänge werden von einer Vielzahl von Zeuen abgesegnet. Die Besiegelung ihrer Übereinkunft wird ordnungsgemäß mit dem Schuhritus besiegelt, der zu diesem Zweck in V. 7 sogar extra noch mal erklärt wird. Letztlich haben wohl auch die beiden Ausrufe des Frauenchors in in Vv. 14f. und V. 17 v.a. die Funktion, noch einmal zu betonen, dass das Kind aus der Verbindung von Rut und Boas in der Tat ein ordnungsgemäßes Schwagerehen-Kind ist, und vermutlich soll auch die Verknüpfung dieses Kindes mit dem Stammbaum Davids in V. 17 die Stellung dieses Kindes noch einmal über jeden Zweifel erhaben sein lassen. Gerade vor dem Hintergrund der letzten drei Kapitel macht das diese ersten Verse sehr verdächtig: Offenbar geht auch hier irgend etwas nicht „mit rechten Dingen zu“ - und das wir nicht mehr erkennen können, was das ist, ist ärgerlich. Mindestens aber geht dies „nicht mit rechten Dingen zu“: Nach wie vor ist ja die Ehe zwischen einem Israeliten und einer Moabiterin untersagt (s. die Anmerkungen zu Kap. 1) - und der größte Teil des Kapitels 4 dient dann dazu, noch einmal zu unterstreichen, dass sie dennoch stattfindet und trotz widersprechender Regelungen rechtens stattfindet: Von allem Volk und von zehn Ältesten wurde sie sozusagen im Gerichtssaal selbst abgesegnet; ihr Kind wird von allen Frauen Bethlehems als rechtmäßiges Schwagerehen-Kind anerkannt, und vor dem Hintergrund, dass aus dieser Verbindung sogar der legendäre König David hervorging, kann diese Verbindung gar nicht illegal sein - ganz gleich, welche Regelungen dem entgegenstehen. </w:t>
        <w:br/>
        <w:br/>
        <w:t>[[@BibleTOBIBLE:Ru 4:1]]</w:t>
      </w:r>
      <w:r>
        <w:rPr>
          <w:b/>
        </w:rPr>
        <w:t>1</w:t>
      </w:r>
      <w:r>
        <w:rPr/>
        <w:t xml:space="preserve"> {{field-on:bible}} </w:t>
      </w:r>
      <w:r>
        <w:rPr>
          <w:rStyle w:val="Funotenanker"/>
        </w:rPr>
        <w:footnoteReference w:customMarkFollows="1" w:id="331"/>
        <w:t>Status</w:t>
      </w:r>
      <w:r>
        <w:rPr/>
        <w:t xml:space="preserve"> Boas aber ging ins Tor</w:t>
      </w:r>
      <w:r>
        <w:rPr>
          <w:rStyle w:val="Funotenanker"/>
        </w:rPr>
        <w:footnoteReference w:customMarkFollows="1" w:id="332"/>
        <w:t>b</w:t>
      </w:r>
      <w:r>
        <w:rPr/>
        <w:t xml:space="preserve"> hinauf und setzte sich dort hin. Und, siehe da!,</w:t>
      </w:r>
      <w:r>
        <w:rPr>
          <w:rStyle w:val="Funotenanker"/>
        </w:rPr>
        <w:footnoteReference w:customMarkFollows="1" w:id="333"/>
        <w:t>c</w:t>
      </w:r>
      <w:r>
        <w:rPr/>
        <w:t xml:space="preserve"> der Löser</w:t>
      </w:r>
      <w:r>
        <w:rPr>
          <w:rStyle w:val="Funotenanker"/>
        </w:rPr>
        <w:footnoteReference w:customMarkFollows="1" w:id="334"/>
        <w:t>d</w:t>
      </w:r>
      <w:r>
        <w:rPr/>
        <w:t xml:space="preserve"> kam vorüber, von dem Boas gesprochen hatte. Da sagte er: „Bieg ab!</w:t>
      </w:r>
      <w:r>
        <w:rPr>
          <w:rStyle w:val="Funotenanker"/>
        </w:rPr>
        <w:footnoteReference w:customMarkFollows="1" w:id="335"/>
        <w:t>e</w:t>
      </w:r>
      <w:r>
        <w:rPr/>
        <w:t xml:space="preserve"> Setz dich hier irgendwo hin </w:t>
      </w:r>
      <w:r>
        <w:rPr>
          <w:color w:val="808080"/>
        </w:rPr>
        <w:t>(setz dich hier hin, Soundso)</w:t>
      </w:r>
      <w:r>
        <w:rPr/>
        <w:t>!“</w:t>
      </w:r>
      <w:r>
        <w:rPr>
          <w:rStyle w:val="Funotenanker"/>
        </w:rPr>
        <w:footnoteReference w:customMarkFollows="1" w:id="336"/>
        <w:t>f</w:t>
      </w:r>
      <w:r>
        <w:rPr/>
        <w:t xml:space="preserve"> Und dieser bog ab und setzte sich hin.{{field-off:bible}} </w:t>
        <w:br/>
        <w:t>[[@BibleTOBIBLE:Ru 4:2]]</w:t>
      </w:r>
      <w:r>
        <w:rPr>
          <w:b/>
        </w:rPr>
        <w:t>2</w:t>
      </w:r>
      <w:r>
        <w:rPr/>
        <w:t xml:space="preserve"> {{field-on:bible}}Dann nahm </w:t>
      </w:r>
      <w:r>
        <w:rPr>
          <w:b/>
          <w:color w:val="808080"/>
        </w:rPr>
        <w:t>[</w:t>
      </w:r>
      <w:r>
        <w:rPr/>
        <w:t>Boas</w:t>
      </w:r>
      <w:r>
        <w:rPr>
          <w:b/>
          <w:color w:val="808080"/>
        </w:rPr>
        <w:t>]</w:t>
      </w:r>
      <w:r>
        <w:rPr/>
        <w:t xml:space="preserve"> sich zehn Männer von den Ältesten</w:t>
      </w:r>
      <w:r>
        <w:rPr>
          <w:rStyle w:val="Funotenanker"/>
        </w:rPr>
        <w:footnoteReference w:customMarkFollows="1" w:id="337"/>
        <w:t>g</w:t>
      </w:r>
      <w:r>
        <w:rPr/>
        <w:t xml:space="preserve"> der Stadt und sagte: „Setzt euch hier hin!“ Und sie setzten sich.{{field-off:bible}} </w:t>
        <w:br/>
        <w:t>[[@BibleTOBIBLE:Ru 4:3]]</w:t>
      </w:r>
      <w:r>
        <w:rPr>
          <w:b/>
        </w:rPr>
        <w:t>3</w:t>
      </w:r>
      <w:r>
        <w:rPr/>
        <w:t xml:space="preserve"> {{field-on:bible}}Dann sagte er zum Löser: „</w:t>
      </w:r>
      <w:r>
        <w:rPr>
          <w:b/>
          <w:color w:val="808080"/>
        </w:rPr>
        <w:t>[</w:t>
      </w:r>
      <w:r>
        <w:rPr/>
        <w:t>Das</w:t>
      </w:r>
      <w:r>
        <w:rPr>
          <w:b/>
          <w:color w:val="808080"/>
        </w:rPr>
        <w:t>]</w:t>
      </w:r>
      <w:r>
        <w:rPr/>
        <w:t xml:space="preserve"> Feldstück,</w:t>
      </w:r>
      <w:r>
        <w:rPr>
          <w:rStyle w:val="Funotenanker"/>
        </w:rPr>
        <w:footnoteReference w:customMarkFollows="1" w:id="338"/>
        <w:t>h</w:t>
      </w:r>
      <w:r>
        <w:rPr/>
        <w:t xml:space="preserve"> das unserem Bruder</w:t>
      </w:r>
      <w:r>
        <w:rPr>
          <w:rStyle w:val="Funotenanker"/>
        </w:rPr>
        <w:footnoteReference w:customMarkFollows="1" w:id="339"/>
        <w:t>i</w:t>
      </w:r>
      <w:r>
        <w:rPr/>
        <w:t xml:space="preserve">, dem Elimelech, </w:t>
      </w:r>
      <w:r>
        <w:rPr>
          <w:b/>
          <w:color w:val="808080"/>
        </w:rPr>
        <w:t>[</w:t>
      </w:r>
      <w:r>
        <w:rPr/>
        <w:t xml:space="preserve">war </w:t>
      </w:r>
      <w:r>
        <w:rPr>
          <w:color w:val="808080"/>
        </w:rPr>
        <w:t>(gehörte)</w:t>
      </w:r>
      <w:r>
        <w:rPr>
          <w:b/>
          <w:color w:val="808080"/>
        </w:rPr>
        <w:t>]</w:t>
      </w:r>
      <w:r>
        <w:rPr/>
        <w:t>, verkauft</w:t>
      </w:r>
      <w:r>
        <w:rPr>
          <w:rStyle w:val="Funotenanker"/>
        </w:rPr>
        <w:footnoteReference w:customMarkFollows="1" w:id="340"/>
        <w:t>j</w:t>
      </w:r>
      <w:r>
        <w:rPr/>
        <w:t xml:space="preserve"> Noomi, die zurückgekehrt ist aus </w:t>
      </w:r>
      <w:r>
        <w:rPr>
          <w:strike/>
          <w:color w:val="808080"/>
        </w:rPr>
        <w:t>{dem Gebiet von}</w:t>
      </w:r>
      <w:r>
        <w:rPr/>
        <w:t xml:space="preserve"> </w:t>
      </w:r>
      <w:r>
        <w:rPr>
          <w:color w:val="808080"/>
        </w:rPr>
        <w:t>(dem Feld von)</w:t>
      </w:r>
      <w:r>
        <w:rPr/>
        <w:t xml:space="preserve"> </w:t>
      </w:r>
      <w:r>
        <w:rPr>
          <w:rStyle w:val="Funotenanker"/>
        </w:rPr>
        <w:footnoteReference w:customMarkFollows="1" w:id="341"/>
        <w:t>k</w:t>
      </w:r>
      <w:r>
        <w:rPr/>
        <w:t xml:space="preserve"> Moab.{{field-off:bible}} </w:t>
        <w:br/>
        <w:t>[[@BibleTOBIBLE:Ru 4:4]]</w:t>
      </w:r>
      <w:r>
        <w:rPr>
          <w:b/>
        </w:rPr>
        <w:t>4</w:t>
      </w:r>
      <w:r>
        <w:rPr/>
        <w:t xml:space="preserve"> {{field-on:bible}}Und ich habe gesagt </w:t>
      </w:r>
      <w:r>
        <w:rPr>
          <w:color w:val="808080"/>
        </w:rPr>
        <w:t>(</w:t>
      </w:r>
      <w:r>
        <w:rPr>
          <w:b/>
          <w:color w:val="808080"/>
        </w:rPr>
        <w:t>[</w:t>
      </w:r>
      <w:r>
        <w:rPr>
          <w:color w:val="808080"/>
        </w:rPr>
        <w:t>mir</w:t>
      </w:r>
      <w:r>
        <w:rPr>
          <w:b/>
          <w:color w:val="808080"/>
        </w:rPr>
        <w:t>]</w:t>
      </w:r>
      <w:r>
        <w:rPr>
          <w:color w:val="808080"/>
        </w:rPr>
        <w:t xml:space="preserve"> gedacht)</w:t>
      </w:r>
      <w:r>
        <w:rPr/>
        <w:t>,</w:t>
      </w:r>
      <w:r>
        <w:rPr>
          <w:rStyle w:val="Funotenanker"/>
        </w:rPr>
        <w:footnoteReference w:customMarkFollows="1" w:id="342"/>
        <w:t>l</w:t>
      </w:r>
      <w:r>
        <w:rPr/>
        <w:t xml:space="preserve"> ich will dir folgendes zu Gehör bringen:</w:t>
      </w:r>
      <w:r>
        <w:rPr>
          <w:rStyle w:val="Funotenanker"/>
        </w:rPr>
        <w:footnoteReference w:customMarkFollows="1" w:id="343"/>
        <w:t>m</w:t>
      </w:r>
      <w:r>
        <w:rPr/>
        <w:t xml:space="preserve"> Kaufe </w:t>
      </w:r>
      <w:r>
        <w:rPr>
          <w:b/>
          <w:color w:val="808080"/>
        </w:rPr>
        <w:t>[</w:t>
      </w:r>
      <w:r>
        <w:rPr/>
        <w:t>es</w:t>
      </w:r>
      <w:r>
        <w:rPr>
          <w:b/>
          <w:color w:val="808080"/>
        </w:rPr>
        <w:t>]</w:t>
      </w:r>
      <w:r>
        <w:rPr/>
        <w:t xml:space="preserve"> in Gegenwart der Sitzenden und in Gegenwart der Ältesten meines Volkes</w:t>
      </w:r>
      <w:r>
        <w:rPr>
          <w:rStyle w:val="Funotenanker"/>
        </w:rPr>
        <w:footnoteReference w:customMarkFollows="1" w:id="344"/>
        <w:t>n</w:t>
      </w:r>
      <w:r>
        <w:rPr/>
        <w:t xml:space="preserve"> - wenn du lösen willst, dann löse.</w:t>
      </w:r>
      <w:r>
        <w:rPr>
          <w:rStyle w:val="Funotenanker"/>
        </w:rPr>
        <w:footnoteReference w:customMarkFollows="1" w:id="345"/>
        <w:t>o</w:t>
      </w:r>
      <w:r>
        <w:rPr/>
        <w:t xml:space="preserve"> Wenn aber niemand lösen will </w:t>
      </w:r>
      <w:r>
        <w:rPr>
          <w:color w:val="808080"/>
        </w:rPr>
        <w:t>(wenn du aber nicht lösen willst)</w:t>
      </w:r>
      <w:r>
        <w:rPr/>
        <w:t>,</w:t>
      </w:r>
      <w:r>
        <w:rPr>
          <w:rStyle w:val="Funotenanker"/>
        </w:rPr>
        <w:footnoteReference w:customMarkFollows="1" w:id="346"/>
        <w:t>p</w:t>
      </w:r>
      <w:r>
        <w:rPr/>
        <w:t xml:space="preserve"> dann verrate es mir, damit ich es weiß! Denn </w:t>
      </w:r>
      <w:r>
        <w:rPr>
          <w:b/>
          <w:color w:val="808080"/>
        </w:rPr>
        <w:t>[</w:t>
      </w:r>
      <w:r>
        <w:rPr/>
        <w:t xml:space="preserve">es ist </w:t>
      </w:r>
      <w:r>
        <w:rPr>
          <w:color w:val="808080"/>
        </w:rPr>
        <w:t>(es gibt)</w:t>
      </w:r>
      <w:r>
        <w:rPr>
          <w:b/>
          <w:color w:val="808080"/>
        </w:rPr>
        <w:t>]</w:t>
      </w:r>
      <w:r>
        <w:rPr/>
        <w:t xml:space="preserve"> niemanden außer dir, der lösen </w:t>
      </w:r>
      <w:r>
        <w:rPr>
          <w:b/>
          <w:color w:val="808080"/>
        </w:rPr>
        <w:t>[</w:t>
      </w:r>
      <w:r>
        <w:rPr/>
        <w:t>könnte</w:t>
      </w:r>
      <w:r>
        <w:rPr>
          <w:b/>
          <w:color w:val="808080"/>
        </w:rPr>
        <w:t>]</w:t>
      </w:r>
      <w:r>
        <w:rPr/>
        <w:t xml:space="preserve">. Und ich </w:t>
      </w:r>
      <w:r>
        <w:rPr>
          <w:b/>
          <w:color w:val="808080"/>
        </w:rPr>
        <w:t>[</w:t>
      </w:r>
      <w:r>
        <w:rPr/>
        <w:t xml:space="preserve">bin </w:t>
      </w:r>
      <w:r>
        <w:rPr>
          <w:color w:val="808080"/>
        </w:rPr>
        <w:t>(komme)</w:t>
      </w:r>
      <w:r>
        <w:rPr>
          <w:b/>
          <w:color w:val="808080"/>
        </w:rPr>
        <w:t>]</w:t>
      </w:r>
      <w:r>
        <w:rPr/>
        <w:t xml:space="preserve"> nach dir.“Da sagte er: „Ich will lösen“.{{field-off:bible}} </w:t>
        <w:br/>
        <w:t>[[@BibleTOBIBLE:Ru 4:5]]</w:t>
      </w:r>
      <w:r>
        <w:rPr>
          <w:b/>
        </w:rPr>
        <w:t>5</w:t>
      </w:r>
      <w:r>
        <w:rPr/>
        <w:t xml:space="preserve"> {{field-on:bible}}Da sagte Boas: „An dem Tag, an dem du das Feld von Noomi kaufst, kaufst</w:t>
      </w:r>
      <w:r>
        <w:rPr>
          <w:rStyle w:val="Funotenanker"/>
        </w:rPr>
        <w:footnoteReference w:customMarkFollows="1" w:id="347"/>
        <w:t>q</w:t>
      </w:r>
      <w:r>
        <w:rPr/>
        <w:t xml:space="preserve"> du auch die </w:t>
      </w:r>
      <w:r>
        <w:rPr>
          <w:color w:val="808080"/>
        </w:rPr>
        <w:t>(kaufe ich die, kaufst du es auch von der, kaufe ich es von der)</w:t>
      </w:r>
      <w:r>
        <w:rPr/>
        <w:t xml:space="preserve"> Moabiterin Rut,</w:t>
      </w:r>
      <w:r>
        <w:rPr>
          <w:rStyle w:val="Funotenanker"/>
        </w:rPr>
        <w:footnoteReference w:customMarkFollows="1" w:id="348"/>
        <w:t>r</w:t>
      </w:r>
      <w:r>
        <w:rPr/>
        <w:t xml:space="preserve"> die Frau des Toten, um den Namen des Toten auf seinem Erbbesitz </w:t>
      </w:r>
      <w:r>
        <w:rPr>
          <w:b/>
          <w:color w:val="808080"/>
        </w:rPr>
        <w:t>[</w:t>
      </w:r>
      <w:r>
        <w:rPr/>
        <w:t>wieder</w:t>
      </w:r>
      <w:r>
        <w:rPr>
          <w:b/>
          <w:color w:val="808080"/>
        </w:rPr>
        <w:t>]</w:t>
      </w:r>
      <w:r>
        <w:rPr/>
        <w:t xml:space="preserve"> aufzurichten.“</w:t>
      </w:r>
      <w:r>
        <w:rPr>
          <w:rStyle w:val="Funotenanker"/>
        </w:rPr>
        <w:footnoteReference w:customMarkFollows="1" w:id="349"/>
        <w:t>s</w:t>
      </w:r>
      <w:r>
        <w:rPr/>
        <w:t xml:space="preserve"> {{field-off:bible}} </w:t>
        <w:br/>
        <w:t>[[@BibleTOBIBLE:Ru 4:6]]</w:t>
      </w:r>
      <w:r>
        <w:rPr>
          <w:b/>
        </w:rPr>
        <w:t>6</w:t>
      </w:r>
      <w:r>
        <w:rPr/>
        <w:t xml:space="preserve"> {{field-on:bible}}Da sagte der Löser: „Ich vermag </w:t>
      </w:r>
      <w:r>
        <w:rPr>
          <w:b/>
          <w:color w:val="808080"/>
        </w:rPr>
        <w:t>[</w:t>
      </w:r>
      <w:r>
        <w:rPr/>
        <w:t>es</w:t>
      </w:r>
      <w:r>
        <w:rPr>
          <w:b/>
          <w:color w:val="808080"/>
        </w:rPr>
        <w:t>]</w:t>
      </w:r>
      <w:r>
        <w:rPr/>
        <w:t xml:space="preserve"> nicht, </w:t>
      </w:r>
      <w:r>
        <w:rPr>
          <w:strike/>
          <w:color w:val="808080"/>
        </w:rPr>
        <w:t>{für mich}</w:t>
      </w:r>
      <w:r>
        <w:rPr/>
        <w:t xml:space="preserve"> </w:t>
      </w:r>
      <w:r>
        <w:rPr>
          <w:rStyle w:val="Funotenanker"/>
        </w:rPr>
        <w:footnoteReference w:customMarkFollows="1" w:id="350"/>
        <w:t>t</w:t>
      </w:r>
      <w:r>
        <w:rPr/>
        <w:t xml:space="preserve"> zu lösen, sonst verdürbe ich </w:t>
      </w:r>
      <w:r>
        <w:rPr>
          <w:b/>
          <w:color w:val="808080"/>
        </w:rPr>
        <w:t>[</w:t>
      </w:r>
      <w:r>
        <w:rPr/>
        <w:t>ja</w:t>
      </w:r>
      <w:r>
        <w:rPr>
          <w:b/>
          <w:color w:val="808080"/>
        </w:rPr>
        <w:t>]</w:t>
      </w:r>
      <w:r>
        <w:rPr/>
        <w:t xml:space="preserve"> meinen </w:t>
      </w:r>
      <w:r>
        <w:rPr>
          <w:b/>
          <w:color w:val="808080"/>
        </w:rPr>
        <w:t>[</w:t>
      </w:r>
      <w:r>
        <w:rPr/>
        <w:t>eigenen</w:t>
      </w:r>
      <w:r>
        <w:rPr>
          <w:b/>
          <w:color w:val="808080"/>
        </w:rPr>
        <w:t>]</w:t>
      </w:r>
      <w:r>
        <w:rPr/>
        <w:t xml:space="preserve"> Erbbesitz. Löse du </w:t>
      </w:r>
      <w:r>
        <w:rPr>
          <w:strike/>
          <w:color w:val="808080"/>
        </w:rPr>
        <w:t>{für dich}</w:t>
      </w:r>
      <w:r>
        <w:rPr/>
        <w:t xml:space="preserve"> das </w:t>
      </w:r>
      <w:r>
        <w:rPr>
          <w:b/>
          <w:color w:val="808080"/>
        </w:rPr>
        <w:t>[</w:t>
      </w:r>
      <w:r>
        <w:rPr/>
        <w:t>eigentlich</w:t>
      </w:r>
      <w:r>
        <w:rPr>
          <w:b/>
          <w:color w:val="808080"/>
        </w:rPr>
        <w:t>]</w:t>
      </w:r>
      <w:r>
        <w:rPr/>
        <w:t xml:space="preserve"> von mir zu Lösende, denn ich vermag es nicht, zu lösen.“{{field-off:bible}} </w:t>
        <w:br/>
        <w:t>[[@BibleTOBIBLE:Ru 4:7]]</w:t>
      </w:r>
      <w:r>
        <w:rPr>
          <w:b/>
        </w:rPr>
        <w:t>7</w:t>
      </w:r>
      <w:r>
        <w:rPr/>
        <w:t xml:space="preserve"> {{field-on:bible}}In Israel </w:t>
      </w:r>
      <w:r>
        <w:rPr>
          <w:b/>
          <w:color w:val="808080"/>
        </w:rPr>
        <w:t>[</w:t>
      </w:r>
      <w:r>
        <w:rPr/>
        <w:t xml:space="preserve">war </w:t>
      </w:r>
      <w:r>
        <w:rPr>
          <w:color w:val="808080"/>
        </w:rPr>
        <w:t>(galt)</w:t>
      </w:r>
      <w:r>
        <w:rPr>
          <w:b/>
          <w:color w:val="808080"/>
        </w:rPr>
        <w:t>]</w:t>
      </w:r>
      <w:r>
        <w:rPr/>
        <w:t xml:space="preserve"> früher dies bezüglich Lösung und Tauschgeschäft,</w:t>
      </w:r>
      <w:r>
        <w:rPr>
          <w:rStyle w:val="Funotenanker"/>
        </w:rPr>
        <w:footnoteReference w:customMarkFollows="1" w:id="351"/>
        <w:t>u</w:t>
      </w:r>
      <w:r>
        <w:rPr/>
        <w:t xml:space="preserve"> um irgendetwas</w:t>
      </w:r>
      <w:r>
        <w:rPr>
          <w:rStyle w:val="Funotenanker"/>
        </w:rPr>
        <w:footnoteReference w:customMarkFollows="1" w:id="352"/>
        <w:t>v</w:t>
      </w:r>
      <w:r>
        <w:rPr/>
        <w:t xml:space="preserve"> Gültigkeit zu verleihen: Man zog seinen Schuh aus und gab ihn dem anderen </w:t>
      </w:r>
      <w:r>
        <w:rPr>
          <w:color w:val="808080"/>
        </w:rPr>
        <w:t>(man zog seinen seinen Schuh aus und gab ihn einander)</w:t>
      </w:r>
      <w:r>
        <w:rPr/>
        <w:t xml:space="preserve">. Und dies </w:t>
      </w:r>
      <w:r>
        <w:rPr>
          <w:b/>
          <w:color w:val="808080"/>
        </w:rPr>
        <w:t>[</w:t>
      </w:r>
      <w:r>
        <w:rPr/>
        <w:t xml:space="preserve">war </w:t>
      </w:r>
      <w:r>
        <w:rPr>
          <w:color w:val="808080"/>
        </w:rPr>
        <w:t>(galt)</w:t>
      </w:r>
      <w:r>
        <w:rPr>
          <w:b/>
          <w:color w:val="808080"/>
        </w:rPr>
        <w:t>]</w:t>
      </w:r>
      <w:r>
        <w:rPr/>
        <w:t xml:space="preserve"> </w:t>
      </w:r>
      <w:r>
        <w:rPr>
          <w:b/>
          <w:color w:val="808080"/>
        </w:rPr>
        <w:t>[</w:t>
      </w:r>
      <w:r>
        <w:rPr/>
        <w:t>dann</w:t>
      </w:r>
      <w:r>
        <w:rPr>
          <w:b/>
          <w:color w:val="808080"/>
        </w:rPr>
        <w:t>]</w:t>
      </w:r>
      <w:r>
        <w:rPr/>
        <w:t xml:space="preserve"> in Israel </w:t>
      </w:r>
      <w:r>
        <w:rPr>
          <w:b/>
          <w:color w:val="808080"/>
        </w:rPr>
        <w:t>[</w:t>
      </w:r>
      <w:r>
        <w:rPr/>
        <w:t>als</w:t>
      </w:r>
      <w:r>
        <w:rPr>
          <w:b/>
          <w:color w:val="808080"/>
        </w:rPr>
        <w:t>]</w:t>
      </w:r>
      <w:r>
        <w:rPr/>
        <w:t xml:space="preserve"> Bezeugung.</w:t>
      </w:r>
      <w:r>
        <w:rPr>
          <w:rStyle w:val="Funotenanker"/>
        </w:rPr>
        <w:footnoteReference w:customMarkFollows="1" w:id="353"/>
        <w:t>w</w:t>
      </w:r>
      <w:r>
        <w:rPr/>
        <w:t xml:space="preserve"> {{field-off:bible}} </w:t>
        <w:br/>
        <w:t>[[@BibleTOBIBLE:Ru 4:8]]</w:t>
      </w:r>
      <w:r>
        <w:rPr>
          <w:b/>
        </w:rPr>
        <w:t>8</w:t>
      </w:r>
      <w:r>
        <w:rPr/>
        <w:t xml:space="preserve"> {{field-on:bible}}Der Löser sprach </w:t>
      </w:r>
      <w:r>
        <w:rPr>
          <w:b/>
          <w:color w:val="808080"/>
        </w:rPr>
        <w:t>[</w:t>
      </w:r>
      <w:r>
        <w:rPr/>
        <w:t>also</w:t>
      </w:r>
      <w:r>
        <w:rPr>
          <w:b/>
          <w:color w:val="808080"/>
        </w:rPr>
        <w:t>]</w:t>
      </w:r>
      <w:r>
        <w:rPr/>
        <w:t xml:space="preserve"> zu Boas: „Kaufe </w:t>
      </w:r>
      <w:r>
        <w:rPr>
          <w:strike/>
          <w:color w:val="808080"/>
        </w:rPr>
        <w:t>{für dich}</w:t>
      </w:r>
      <w:r>
        <w:rPr/>
        <w:t xml:space="preserve">!“ und zog </w:t>
      </w:r>
      <w:r>
        <w:rPr>
          <w:color w:val="808080"/>
        </w:rPr>
        <w:t>(und dieser zog)</w:t>
      </w:r>
      <w:r>
        <w:rPr/>
        <w:t xml:space="preserve"> </w:t>
      </w:r>
      <w:r>
        <w:rPr>
          <w:rStyle w:val="Funotenanker"/>
        </w:rPr>
        <w:footnoteReference w:customMarkFollows="1" w:id="354"/>
        <w:t>x</w:t>
      </w:r>
      <w:r>
        <w:rPr/>
        <w:t xml:space="preserve"> seinen Schuh aus.{{field-off:bible}} </w:t>
        <w:br/>
        <w:t>[[@BibleTOBIBLE:Ru 4:9]]</w:t>
      </w:r>
      <w:r>
        <w:rPr>
          <w:b/>
        </w:rPr>
        <w:t>9</w:t>
      </w:r>
      <w:r>
        <w:rPr/>
        <w:t xml:space="preserve"> {{field-on:bible}}Da sprach Boas zu den Ältesten und zum ganzen Volk: „Ihr seid heute Zeugen, dass ich von Noomi alles gekauft habe, was dem Elimelech </w:t>
      </w:r>
      <w:r>
        <w:rPr>
          <w:b/>
          <w:color w:val="808080"/>
        </w:rPr>
        <w:t>[</w:t>
      </w:r>
      <w:r>
        <w:rPr/>
        <w:t xml:space="preserve">war </w:t>
      </w:r>
      <w:r>
        <w:rPr>
          <w:color w:val="808080"/>
        </w:rPr>
        <w:t>(gehörte)</w:t>
      </w:r>
      <w:r>
        <w:rPr>
          <w:b/>
          <w:color w:val="808080"/>
        </w:rPr>
        <w:t>]</w:t>
      </w:r>
      <w:r>
        <w:rPr/>
        <w:t xml:space="preserve"> und alles, was dem Kiljon und Machlon </w:t>
      </w:r>
      <w:r>
        <w:rPr>
          <w:b/>
          <w:color w:val="808080"/>
        </w:rPr>
        <w:t>[</w:t>
      </w:r>
      <w:r>
        <w:rPr/>
        <w:t xml:space="preserve">war </w:t>
      </w:r>
      <w:r>
        <w:rPr>
          <w:color w:val="808080"/>
        </w:rPr>
        <w:t>(gehörte)</w:t>
      </w:r>
      <w:r>
        <w:rPr>
          <w:b/>
          <w:color w:val="808080"/>
        </w:rPr>
        <w:t>]</w:t>
      </w:r>
      <w:r>
        <w:rPr/>
        <w:t xml:space="preserve">.{{field-off:bible}} </w:t>
        <w:br/>
        <w:t>[[@BibleTOBIBLE:Ru 4:10]]</w:t>
      </w:r>
      <w:r>
        <w:rPr>
          <w:b/>
        </w:rPr>
        <w:t>10</w:t>
      </w:r>
      <w:r>
        <w:rPr/>
        <w:t xml:space="preserve"> {{field-on:bible}}Und auch die Moabiterin Rut, die Frau Machlons, habe ich mir zur Frau gekauft,</w:t>
      </w:r>
      <w:r>
        <w:rPr>
          <w:rStyle w:val="Funotenanker"/>
        </w:rPr>
        <w:footnoteReference w:customMarkFollows="1" w:id="355"/>
        <w:t>y</w:t>
      </w:r>
      <w:r>
        <w:rPr/>
        <w:t xml:space="preserve"> um </w:t>
      </w:r>
      <w:r>
        <w:rPr>
          <w:b/>
          <w:color w:val="808080"/>
        </w:rPr>
        <w:t>[</w:t>
      </w:r>
      <w:r>
        <w:rPr/>
        <w:t>wieder</w:t>
      </w:r>
      <w:r>
        <w:rPr>
          <w:b/>
          <w:color w:val="808080"/>
        </w:rPr>
        <w:t>]</w:t>
      </w:r>
      <w:r>
        <w:rPr/>
        <w:t xml:space="preserve"> aufzurichten den Namen des Toten auf seinem Erbbesitz, so dass nicht ausgerottet werde der Name des Toten</w:t>
      </w:r>
      <w:r>
        <w:rPr>
          <w:rStyle w:val="Funotenanker"/>
        </w:rPr>
        <w:footnoteReference w:customMarkFollows="1" w:id="356"/>
        <w:t>z</w:t>
      </w:r>
      <w:r>
        <w:rPr/>
        <w:t xml:space="preserve"> aus dem Volk seiner Brüder und aus dem Tor seines Ortes.</w:t>
      </w:r>
      <w:r>
        <w:rPr>
          <w:rStyle w:val="Funotenanker"/>
        </w:rPr>
        <w:footnoteReference w:customMarkFollows="1" w:id="357"/>
        <w:t>aa</w:t>
      </w:r>
      <w:r>
        <w:rPr/>
        <w:t xml:space="preserve"> Ihr seid heute Zeugen!“{{field-off:bible}} </w:t>
        <w:br/>
        <w:t>[[@BibleTOBIBLE:Ru 4:11]]</w:t>
      </w:r>
      <w:r>
        <w:rPr>
          <w:b/>
        </w:rPr>
        <w:t>11</w:t>
      </w:r>
      <w:r>
        <w:rPr/>
        <w:t xml:space="preserve"> {{field-on:bible}}Und das ganze Volk, das im Tor </w:t>
      </w:r>
      <w:r>
        <w:rPr>
          <w:b/>
          <w:color w:val="808080"/>
        </w:rPr>
        <w:t>[</w:t>
      </w:r>
      <w:r>
        <w:rPr/>
        <w:t>war</w:t>
      </w:r>
      <w:r>
        <w:rPr>
          <w:b/>
          <w:color w:val="808080"/>
        </w:rPr>
        <w:t>]</w:t>
      </w:r>
      <w:r>
        <w:rPr/>
        <w:t>, antwortete, und die Ältesten:</w:t>
      </w:r>
      <w:r>
        <w:rPr>
          <w:rStyle w:val="Funotenanker"/>
        </w:rPr>
        <w:footnoteReference w:customMarkFollows="1" w:id="358"/>
        <w:t>ab</w:t>
      </w:r>
      <w:r>
        <w:rPr/>
        <w:t xml:space="preserve"> „</w:t>
      </w:r>
      <w:r>
        <w:rPr>
          <w:b/>
          <w:color w:val="808080"/>
        </w:rPr>
        <w:t>[</w:t>
      </w:r>
      <w:r>
        <w:rPr/>
        <w:t>Wir sind</w:t>
      </w:r>
      <w:r>
        <w:rPr>
          <w:b/>
          <w:color w:val="808080"/>
        </w:rPr>
        <w:t>]</w:t>
      </w:r>
      <w:r>
        <w:rPr/>
        <w:t xml:space="preserve"> Zeugen! </w:t>
        <w:br/>
      </w:r>
      <w:r>
        <w:rPr>
          <w:smallCaps/>
          <w:color w:val="FF0000"/>
        </w:rPr>
        <w:t>JHWH</w:t>
      </w:r>
      <w:r>
        <w:rPr/>
        <w:t xml:space="preserve"> gebe, </w:t>
      </w:r>
      <w:r>
        <w:rPr>
          <w:b/>
          <w:color w:val="808080"/>
        </w:rPr>
        <w:t>[</w:t>
      </w:r>
      <w:r>
        <w:rPr/>
        <w:t>dass</w:t>
      </w:r>
      <w:r>
        <w:rPr>
          <w:b/>
          <w:color w:val="808080"/>
        </w:rPr>
        <w:t>]</w:t>
      </w:r>
      <w:r>
        <w:rPr/>
        <w:t xml:space="preserve"> </w:t>
      </w:r>
      <w:r>
        <w:rPr>
          <w:color w:val="808080"/>
        </w:rPr>
        <w:t>(</w:t>
      </w:r>
      <w:r>
        <w:rPr>
          <w:smallCaps/>
          <w:color w:val="FF0000"/>
        </w:rPr>
        <w:t>JHWH</w:t>
      </w:r>
      <w:r>
        <w:rPr>
          <w:color w:val="808080"/>
        </w:rPr>
        <w:t xml:space="preserve"> mache)</w:t>
      </w:r>
      <w:r>
        <w:rPr/>
        <w:t xml:space="preserve"> diese Frau,Die in dein Haus kommt,</w:t>
        <w:br/>
        <w:t>Wie Rahel und wie Lea</w:t>
      </w:r>
      <w:r>
        <w:rPr>
          <w:rStyle w:val="Funotenanker"/>
        </w:rPr>
        <w:footnoteReference w:customMarkFollows="1" w:id="359"/>
        <w:t>ac</w:t>
      </w:r>
      <w:r>
        <w:rPr/>
        <w:t xml:space="preserve"> </w:t>
      </w:r>
      <w:r>
        <w:rPr>
          <w:b/>
          <w:color w:val="808080"/>
        </w:rPr>
        <w:t>[</w:t>
      </w:r>
      <w:r>
        <w:rPr/>
        <w:t>werde</w:t>
      </w:r>
      <w:r>
        <w:rPr>
          <w:b/>
          <w:color w:val="808080"/>
        </w:rPr>
        <w:t>]</w:t>
      </w:r>
      <w:r>
        <w:rPr/>
        <w:t>,Die beide</w:t>
      </w:r>
      <w:r>
        <w:rPr>
          <w:rStyle w:val="Funotenanker"/>
        </w:rPr>
        <w:footnoteReference w:customMarkFollows="1" w:id="360"/>
        <w:t>ad</w:t>
      </w:r>
      <w:r>
        <w:rPr/>
        <w:t xml:space="preserve"> das Haus Israel erbauten!</w:t>
      </w:r>
      <w:r>
        <w:rPr>
          <w:rStyle w:val="Funotenanker"/>
        </w:rPr>
        <w:footnoteReference w:customMarkFollows="1" w:id="361"/>
        <w:t>ae</w:t>
      </w:r>
      <w:r>
        <w:rPr/>
        <w:t xml:space="preserve"> </w:t>
        <w:br/>
        <w:t xml:space="preserve">Vollbringe </w:t>
      </w:r>
      <w:r>
        <w:rPr>
          <w:color w:val="808080"/>
        </w:rPr>
        <w:t>(erzeuge)</w:t>
      </w:r>
      <w:r>
        <w:rPr/>
        <w:t xml:space="preserve"> Tüchtiges</w:t>
      </w:r>
      <w:r>
        <w:rPr>
          <w:rStyle w:val="Funotenanker"/>
        </w:rPr>
        <w:footnoteReference w:customMarkFollows="1" w:id="362"/>
        <w:t>af</w:t>
      </w:r>
      <w:r>
        <w:rPr/>
        <w:t xml:space="preserve"> in EphratahUnd rufe </w:t>
      </w:r>
      <w:r>
        <w:rPr>
          <w:b/>
          <w:color w:val="808080"/>
        </w:rPr>
        <w:t>[</w:t>
      </w:r>
      <w:r>
        <w:rPr/>
        <w:t>einen</w:t>
      </w:r>
      <w:r>
        <w:rPr>
          <w:b/>
          <w:color w:val="808080"/>
        </w:rPr>
        <w:t>]</w:t>
      </w:r>
      <w:r>
        <w:rPr/>
        <w:t xml:space="preserve"> Namen</w:t>
      </w:r>
      <w:r>
        <w:rPr>
          <w:rStyle w:val="Funotenanker"/>
        </w:rPr>
        <w:footnoteReference w:customMarkFollows="1" w:id="363"/>
        <w:t>ag</w:t>
      </w:r>
      <w:r>
        <w:rPr/>
        <w:t xml:space="preserve"> in Bethlehem!</w:t>
        <w:br/>
        <w:t xml:space="preserve">{{field-off:bible}} </w:t>
        <w:br/>
        <w:t>[[@BibleTOBIBLE:Ru 4:12]]</w:t>
      </w:r>
      <w:r>
        <w:rPr>
          <w:b/>
        </w:rPr>
        <w:t>12</w:t>
      </w:r>
      <w:r>
        <w:rPr/>
        <w:t xml:space="preserve"> {{field-on:bible}} </w:t>
        <w:br/>
        <w:t>Es sei dein Haus wie das Haus des Perez,</w:t>
      </w:r>
      <w:r>
        <w:rPr>
          <w:rStyle w:val="Funotenanker"/>
        </w:rPr>
        <w:footnoteReference w:customMarkFollows="1" w:id="364"/>
        <w:t>ah</w:t>
      </w:r>
      <w:r>
        <w:rPr/>
        <w:t xml:space="preserve"> Den Tamar dem Juda gebar</w:t>
        <w:br/>
        <w:t xml:space="preserve">Durch den Nachwuchs,Den </w:t>
      </w:r>
      <w:r>
        <w:rPr>
          <w:smallCaps/>
          <w:color w:val="FF0000"/>
        </w:rPr>
        <w:t>JHWH</w:t>
      </w:r>
      <w:r>
        <w:rPr/>
        <w:t xml:space="preserve"> dir gebe</w:t>
      </w:r>
      <w:r>
        <w:rPr>
          <w:rStyle w:val="Funotenanker"/>
        </w:rPr>
        <w:footnoteReference w:customMarkFollows="1" w:id="365"/>
        <w:t>ai</w:t>
      </w:r>
      <w:r>
        <w:rPr/>
        <w:t xml:space="preserve"> durch diese junge Frau!“</w:t>
        <w:br/>
        <w:t xml:space="preserve">{{field-off:bible}} </w:t>
        <w:br/>
        <w:t>[[@BibleTOBIBLE:Ru 4:13]]</w:t>
      </w:r>
      <w:r>
        <w:rPr>
          <w:b/>
        </w:rPr>
        <w:t>13</w:t>
      </w:r>
      <w:r>
        <w:rPr/>
        <w:t xml:space="preserve"> {{field-on:bible}}Boas nahm Rut,</w:t>
      </w:r>
      <w:r>
        <w:rPr>
          <w:rStyle w:val="Funotenanker"/>
        </w:rPr>
        <w:footnoteReference w:customMarkFollows="1" w:id="366"/>
        <w:t>aj</w:t>
      </w:r>
      <w:r>
        <w:rPr/>
        <w:t xml:space="preserve"> sie wurde seine Frau,</w:t>
      </w:r>
      <w:r>
        <w:rPr>
          <w:rStyle w:val="Funotenanker"/>
        </w:rPr>
        <w:footnoteReference w:customMarkFollows="1" w:id="367"/>
        <w:t>ak</w:t>
      </w:r>
      <w:r>
        <w:rPr/>
        <w:t xml:space="preserve"> er ging zu ihr,</w:t>
      </w:r>
      <w:r>
        <w:rPr>
          <w:rStyle w:val="Funotenanker"/>
        </w:rPr>
        <w:footnoteReference w:customMarkFollows="1" w:id="368"/>
        <w:t>al</w:t>
      </w:r>
      <w:r>
        <w:rPr/>
        <w:t xml:space="preserve"> </w:t>
      </w:r>
      <w:r>
        <w:rPr>
          <w:smallCaps/>
          <w:color w:val="FF0000"/>
        </w:rPr>
        <w:t>JHWH</w:t>
      </w:r>
      <w:r>
        <w:rPr/>
        <w:t xml:space="preserve"> gab ihr Schwangerschaft, sie gebar einen Sohn{{field-off:bible}} </w:t>
        <w:br/>
        <w:t>[[@BibleTOBIBLE:Ru 4:14]]</w:t>
      </w:r>
      <w:r>
        <w:rPr>
          <w:b/>
        </w:rPr>
        <w:t>14</w:t>
      </w:r>
      <w:r>
        <w:rPr/>
        <w:t xml:space="preserve"> {{field-on:bible}}und die Frauen sagten zu Noomi: </w:t>
        <w:br/>
        <w:t xml:space="preserve">„Gepriesen sei </w:t>
      </w:r>
      <w:r>
        <w:rPr>
          <w:smallCaps/>
          <w:color w:val="FF0000"/>
        </w:rPr>
        <w:t>JHWH</w:t>
      </w:r>
      <w:r>
        <w:rPr/>
        <w:t>,Der</w:t>
      </w:r>
      <w:r>
        <w:rPr>
          <w:rStyle w:val="Funotenanker"/>
        </w:rPr>
        <w:footnoteReference w:customMarkFollows="1" w:id="369"/>
        <w:t>am</w:t>
      </w:r>
      <w:r>
        <w:rPr/>
        <w:t xml:space="preserve"> dir heute einen Löser nicht hat fehlen lassen,Sein Name werde gerufen</w:t>
      </w:r>
      <w:r>
        <w:rPr>
          <w:rStyle w:val="Funotenanker"/>
        </w:rPr>
        <w:footnoteReference w:customMarkFollows="1" w:id="370"/>
        <w:t>an</w:t>
      </w:r>
      <w:r>
        <w:rPr/>
        <w:t xml:space="preserve"> in Israel!</w:t>
        <w:br/>
        <w:t xml:space="preserve">{{field-off:bible}} </w:t>
        <w:br/>
        <w:t>[[@BibleTOBIBLE:Ru 4:15]]</w:t>
      </w:r>
      <w:r>
        <w:rPr>
          <w:b/>
        </w:rPr>
        <w:t>15</w:t>
      </w:r>
      <w:r>
        <w:rPr/>
        <w:t xml:space="preserve"> {{field-on:bible}} </w:t>
        <w:br/>
        <w:t xml:space="preserve">Möge er dir </w:t>
      </w:r>
      <w:r>
        <w:rPr>
          <w:color w:val="808080"/>
        </w:rPr>
        <w:t>(er wird dir)</w:t>
      </w:r>
      <w:r>
        <w:rPr/>
        <w:t xml:space="preserve"> </w:t>
      </w:r>
      <w:r>
        <w:rPr>
          <w:b/>
          <w:color w:val="808080"/>
        </w:rPr>
        <w:t>[</w:t>
      </w:r>
      <w:r>
        <w:rPr/>
        <w:t>der</w:t>
      </w:r>
      <w:r>
        <w:rPr>
          <w:b/>
          <w:color w:val="808080"/>
        </w:rPr>
        <w:t>]</w:t>
      </w:r>
      <w:r>
        <w:rPr/>
        <w:t xml:space="preserve"> sein, </w:t>
      </w:r>
      <w:r>
        <w:rPr>
          <w:b/>
          <w:color w:val="808080"/>
        </w:rPr>
        <w:t>[</w:t>
      </w:r>
      <w:r>
        <w:rPr/>
        <w:t>der</w:t>
      </w:r>
      <w:r>
        <w:rPr>
          <w:b/>
          <w:color w:val="808080"/>
        </w:rPr>
        <w:t>]</w:t>
      </w:r>
      <w:r>
        <w:rPr/>
        <w:t xml:space="preserve"> Lebenskraft zurückkehren lässt</w:t>
      </w:r>
      <w:r>
        <w:rPr>
          <w:rStyle w:val="Funotenanker"/>
        </w:rPr>
        <w:footnoteReference w:customMarkFollows="1" w:id="371"/>
        <w:t>ao</w:t>
      </w:r>
      <w:r>
        <w:rPr/>
        <w:t xml:space="preserve">Und </w:t>
      </w:r>
      <w:r>
        <w:rPr>
          <w:b/>
          <w:color w:val="808080"/>
        </w:rPr>
        <w:t>[</w:t>
      </w:r>
      <w:r>
        <w:rPr/>
        <w:t>der</w:t>
      </w:r>
      <w:r>
        <w:rPr>
          <w:b/>
          <w:color w:val="808080"/>
        </w:rPr>
        <w:t>]</w:t>
      </w:r>
      <w:r>
        <w:rPr/>
        <w:t xml:space="preserve"> dein Alter erhält!</w:t>
        <w:br/>
        <w:t xml:space="preserve">Ja!, </w:t>
      </w:r>
      <w:r>
        <w:rPr>
          <w:color w:val="808080"/>
        </w:rPr>
        <w:t>(denn)</w:t>
      </w:r>
      <w:r>
        <w:rPr/>
        <w:t xml:space="preserve"> </w:t>
      </w:r>
      <w:r>
        <w:rPr>
          <w:rStyle w:val="Funotenanker"/>
        </w:rPr>
        <w:footnoteReference w:customMarkFollows="1" w:id="372"/>
        <w:t>ap</w:t>
      </w:r>
      <w:r>
        <w:rPr/>
        <w:t xml:space="preserve"> deine Schwiegertochter, die dich liebt, hat ihn geboren,Sie, die besser für dich </w:t>
      </w:r>
      <w:r>
        <w:rPr>
          <w:b/>
          <w:color w:val="808080"/>
        </w:rPr>
        <w:t>[</w:t>
      </w:r>
      <w:r>
        <w:rPr/>
        <w:t>ist</w:t>
      </w:r>
      <w:r>
        <w:rPr>
          <w:b/>
          <w:color w:val="808080"/>
        </w:rPr>
        <w:t>]</w:t>
      </w:r>
      <w:r>
        <w:rPr/>
        <w:t xml:space="preserve"> als sieben Söhne!“</w:t>
        <w:br/>
        <w:t xml:space="preserve">{{field-off:bible}} </w:t>
        <w:br/>
        <w:t>[[@BibleTOBIBLE:Ru 4:16]]</w:t>
      </w:r>
      <w:r>
        <w:rPr>
          <w:b/>
        </w:rPr>
        <w:t>16</w:t>
      </w:r>
      <w:r>
        <w:rPr/>
        <w:t xml:space="preserve"> {{field-on:bible}}Noomi nahm den Säugling, hob ihn an ihre Brust,</w:t>
      </w:r>
      <w:r>
        <w:rPr>
          <w:rStyle w:val="Funotenanker"/>
        </w:rPr>
        <w:footnoteReference w:customMarkFollows="1" w:id="373"/>
        <w:t>aq</w:t>
      </w:r>
      <w:r>
        <w:rPr/>
        <w:t xml:space="preserve"> wurde seine Kinderfrau{{field-off:bible}} </w:t>
        <w:br/>
        <w:t>[[@BibleTOBIBLE:Ru 4:17]]</w:t>
      </w:r>
      <w:r>
        <w:rPr>
          <w:b/>
        </w:rPr>
        <w:t>17</w:t>
      </w:r>
      <w:r>
        <w:rPr/>
        <w:t xml:space="preserve"> {{field-on:bible}}und die Bürgerinnen </w:t>
      </w:r>
      <w:r>
        <w:rPr>
          <w:color w:val="808080"/>
        </w:rPr>
        <w:t>(Nachbarinnen)</w:t>
      </w:r>
      <w:r>
        <w:rPr/>
        <w:t xml:space="preserve"> gaben ihm einen Namen </w:t>
      </w:r>
      <w:r>
        <w:rPr>
          <w:color w:val="808080"/>
        </w:rPr>
        <w:t>(riefen)</w:t>
      </w:r>
      <w:r>
        <w:rPr/>
        <w:t xml:space="preserve">, indem sie sagten </w:t>
      </w:r>
      <w:r>
        <w:rPr>
          <w:color w:val="808080"/>
        </w:rPr>
        <w:t>(wie folgt)</w:t>
      </w:r>
      <w:r>
        <w:rPr/>
        <w:t xml:space="preserve">: „Ein Sohn ist der Noomi geboren!“, und sie nannten seinen Namen „Obed </w:t>
      </w:r>
      <w:r>
        <w:rPr>
          <w:color w:val="808080"/>
        </w:rPr>
        <w:t>(Diener)</w:t>
      </w:r>
      <w:r>
        <w:rPr/>
        <w:t>“.</w:t>
      </w:r>
      <w:r>
        <w:rPr>
          <w:rStyle w:val="Funotenanker"/>
        </w:rPr>
        <w:footnoteReference w:customMarkFollows="1" w:id="374"/>
        <w:t>ar</w:t>
      </w:r>
      <w:r>
        <w:rPr/>
        <w:t xml:space="preserve"> Dieser war der Vater von Isai, dem Vater Davids.{{field-off:bible}} </w:t>
        <w:br/>
        <w:t>[[@BibleTOBIBLE:Ru 4:18]]</w:t>
      </w:r>
      <w:r>
        <w:rPr>
          <w:b/>
        </w:rPr>
        <w:t>18</w:t>
      </w:r>
      <w:r>
        <w:rPr/>
        <w:t xml:space="preserve"> {{field-on:bible}}Dies </w:t>
      </w:r>
      <w:r>
        <w:rPr>
          <w:b/>
          <w:color w:val="808080"/>
        </w:rPr>
        <w:t>[</w:t>
      </w:r>
      <w:r>
        <w:rPr/>
        <w:t>also</w:t>
      </w:r>
      <w:r>
        <w:rPr>
          <w:b/>
          <w:color w:val="808080"/>
        </w:rPr>
        <w:t>]</w:t>
      </w:r>
      <w:r>
        <w:rPr/>
        <w:t xml:space="preserve"> sind die Zeugungen von Perez:</w:t>
      </w:r>
      <w:r>
        <w:rPr>
          <w:rStyle w:val="Funotenanker"/>
        </w:rPr>
        <w:footnoteReference w:customMarkFollows="1" w:id="375"/>
        <w:t>as</w:t>
      </w:r>
      <w:r>
        <w:rPr/>
        <w:t xml:space="preserve"> Perez zeugte den Hezron,{{field-off:bible}} </w:t>
        <w:br/>
        <w:t>[[@BibleTOBIBLE:Ru 4:19]]</w:t>
      </w:r>
      <w:r>
        <w:rPr>
          <w:b/>
        </w:rPr>
        <w:t>19</w:t>
      </w:r>
      <w:r>
        <w:rPr/>
        <w:t xml:space="preserve"> {{field-on:bible}}Hezron zeugte Ram, Ram zeugte Amminadab,{{field-off:bible}} </w:t>
        <w:br/>
        <w:t>[[@BibleTOBIBLE:Ru 4:20]]</w:t>
      </w:r>
      <w:r>
        <w:rPr>
          <w:b/>
        </w:rPr>
        <w:t>20</w:t>
      </w:r>
      <w:r>
        <w:rPr/>
        <w:t xml:space="preserve"> {{field-on:bible}}Amminadab zeugte Nachschon, Nachschon zeugte Salmon,{{field-off:bible}} </w:t>
        <w:br/>
        <w:t>[[@BibleTOBIBLE:Ru 4:21]]</w:t>
      </w:r>
      <w:r>
        <w:rPr>
          <w:b/>
        </w:rPr>
        <w:t>21</w:t>
      </w:r>
      <w:r>
        <w:rPr/>
        <w:t xml:space="preserve"> {{field-on:bible}}Salmon zeugte Boas, Boas zeugte Obed,{{field-off:bible}} </w:t>
        <w:br/>
        <w:t>[[@BibleTOBIBLE:Ru 4:22]]</w:t>
      </w:r>
      <w:r>
        <w:rPr>
          <w:b/>
        </w:rPr>
        <w:t>22</w:t>
      </w:r>
      <w:r>
        <w:rPr/>
        <w:t xml:space="preserve"> {{field-on:bible}}Obed zeugte Isai, Isai zeugte David.</w:t>
      </w:r>
      <w:r>
        <w:rPr>
          <w:rStyle w:val="Funotenanker"/>
        </w:rPr>
        <w:footnoteReference w:customMarkFollows="1" w:id="376"/>
        <w:t>at</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br/>
      </w:r>
      <w:r>
        <w:rPr>
          <w:rStyle w:val="Funotenanker"/>
        </w:rPr>
        <w:footnoteReference w:customMarkFollows="1" w:id="377"/>
        <w:t>Status</w:t>
      </w:r>
      <w:r>
        <w:rPr/>
        <w:t xml:space="preserve"> </w:t>
      </w:r>
      <w:r>
        <w:rPr>
          <w:b/>
          <w:color w:val="808080"/>
        </w:rPr>
        <w:t>[</w:t>
      </w:r>
      <w:r>
        <w:rPr/>
        <w:t>Wie</w:t>
      </w:r>
      <w:r>
        <w:rPr>
          <w:b/>
          <w:color w:val="808080"/>
        </w:rPr>
        <w:t>]</w:t>
      </w:r>
      <w:r>
        <w:rPr/>
        <w:t xml:space="preserve"> glücklich </w:t>
      </w:r>
      <w:r>
        <w:rPr>
          <w:color w:val="808080"/>
        </w:rPr>
        <w:t>(gesegnet)</w:t>
      </w:r>
      <w:r>
        <w:rPr/>
        <w:t xml:space="preserve"> </w:t>
      </w:r>
      <w:r>
        <w:rPr>
          <w:rStyle w:val="Funotenanker"/>
        </w:rPr>
        <w:footnoteReference w:customMarkFollows="1" w:id="378"/>
        <w:t>a</w:t>
      </w:r>
      <w:r>
        <w:rPr/>
        <w:t xml:space="preserve">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379"/>
        <w:t>b</w:t>
      </w:r>
      <w:r>
        <w:rPr/>
        <w:t xml:space="preserve">, </w:t>
        <w:br/>
        <w:t xml:space="preserve">der nicht dem Rat </w:t>
      </w:r>
      <w:r>
        <w:rPr>
          <w:color w:val="808080"/>
        </w:rPr>
        <w:t>(den Plänen)</w:t>
      </w:r>
      <w:r>
        <w:rPr/>
        <w:t xml:space="preserve"> </w:t>
      </w:r>
      <w:r>
        <w:rPr>
          <w:rStyle w:val="Funotenanker"/>
        </w:rPr>
        <w:footnoteReference w:customMarkFollows="1" w:id="380"/>
        <w:t>c</w:t>
      </w:r>
      <w:r>
        <w:rPr/>
        <w:t xml:space="preserve"> der Gottlosen </w:t>
      </w:r>
      <w:r>
        <w:rPr>
          <w:color w:val="808080"/>
        </w:rPr>
        <w:t>(Übeltäter)</w:t>
      </w:r>
      <w:r>
        <w:rPr/>
        <w:t xml:space="preserve"> </w:t>
      </w:r>
      <w:r>
        <w:rPr>
          <w:rStyle w:val="Funotenanker"/>
        </w:rPr>
        <w:footnoteReference w:customMarkFollows="1" w:id="381"/>
        <w:t>d</w:t>
      </w:r>
      <w:r>
        <w:rPr/>
        <w:t xml:space="preserve"> folgt </w:t>
      </w:r>
      <w:r>
        <w:rPr>
          <w:color w:val="808080"/>
        </w:rPr>
        <w:t>(gefolgt ist)</w:t>
      </w:r>
      <w:r>
        <w:rPr/>
        <w:t xml:space="preserve"> </w:t>
      </w:r>
      <w:r>
        <w:rPr>
          <w:rStyle w:val="Funotenanker"/>
        </w:rPr>
        <w:footnoteReference w:customMarkFollows="1" w:id="382"/>
        <w:t>e</w:t>
      </w:r>
      <w:r>
        <w:rPr/>
        <w:t xml:space="preserve">, </w:t>
      </w:r>
      <w:r>
        <w:rPr>
          <w:strike/>
          <w:color w:val="808080"/>
        </w:rPr>
        <w:t>{und}</w:t>
      </w:r>
      <w:r>
        <w:rPr/>
        <w:t xml:space="preserve"> nicht auf </w:t>
      </w:r>
      <w:r>
        <w:rPr>
          <w:color w:val="808080"/>
        </w:rPr>
        <w:t>(mit)</w:t>
      </w:r>
      <w:r>
        <w:rPr/>
        <w:t xml:space="preserve"> dem Weg der Sünder steht </w:t>
      </w:r>
      <w:r>
        <w:rPr>
          <w:color w:val="808080"/>
        </w:rPr>
        <w:t>(betritt; gestanden hat)</w:t>
      </w:r>
      <w:r>
        <w:rPr/>
        <w:t xml:space="preserve"> und nicht an dem Ort </w:t>
      </w:r>
      <w:r>
        <w:rPr>
          <w:color w:val="808080"/>
        </w:rPr>
        <w:t>(auf dem Sitz, im Kreis</w:t>
      </w:r>
      <w:r>
        <w:rPr/>
        <w:t xml:space="preserve"> </w:t>
      </w:r>
      <w:r>
        <w:rPr>
          <w:rStyle w:val="Funotenanker"/>
        </w:rPr>
        <w:footnoteReference w:customMarkFollows="1" w:id="383"/>
        <w:t>f</w:t>
      </w:r>
      <w:r>
        <w:rPr/>
        <w:t xml:space="preserve"> </w:t>
      </w:r>
      <w:r>
        <w:rPr>
          <w:color w:val="808080"/>
        </w:rPr>
        <w:t>)</w:t>
      </w:r>
      <w:r>
        <w:rPr/>
        <w:t xml:space="preserve"> der Spötter sitzt </w:t>
      </w:r>
      <w:r>
        <w:rPr>
          <w:color w:val="808080"/>
        </w:rPr>
        <w:t>(saß)</w:t>
      </w:r>
      <w:r>
        <w:rPr/>
        <w:t xml:space="preserve"> </w:t>
      </w:r>
      <w:r>
        <w:rPr>
          <w:rStyle w:val="Funotenanker"/>
        </w:rPr>
        <w:footnoteReference w:customMarkFollows="1" w:id="384"/>
        <w:t>g</w:t>
      </w:r>
      <w:r>
        <w:rPr/>
        <w:t xml:space="preserve">, </w:t>
        <w:br/>
        <w:t xml:space="preserve">{{field-off:bible}} </w:t>
        <w:br/>
        <w:t>[[@BibleTOBIBLE:Ps 1:2]]</w:t>
      </w:r>
      <w:r>
        <w:rPr>
          <w:b/>
        </w:rPr>
        <w:t>2</w:t>
      </w:r>
      <w:r>
        <w:rPr/>
        <w:t xml:space="preserve"> {{field-on:bible}} </w:t>
        <w:br/>
        <w:t xml:space="preserve">sondern am Gesetz </w:t>
      </w:r>
      <w:r>
        <w:rPr>
          <w:color w:val="808080"/>
        </w:rPr>
        <w:t>(Weisung, Tora)</w:t>
      </w:r>
      <w:r>
        <w:rPr/>
        <w:t xml:space="preserve"> </w:t>
      </w:r>
      <w:r>
        <w:rPr>
          <w:smallCaps/>
          <w:color w:val="FF0000"/>
        </w:rPr>
        <w:t>JHWH</w:t>
      </w:r>
      <w:r>
        <w:rPr/>
        <w:t xml:space="preserve">s </w:t>
      </w:r>
      <w:r>
        <w:rPr>
          <w:strike/>
          <w:color w:val="808080"/>
        </w:rPr>
        <w:t>{seine}</w:t>
      </w:r>
      <w:r>
        <w:rPr/>
        <w:t xml:space="preserve"> Freude </w:t>
      </w:r>
      <w:r>
        <w:rPr>
          <w:color w:val="808080"/>
        </w:rPr>
        <w:t>(Verlangen, Lust)</w:t>
      </w:r>
      <w:r>
        <w:rPr/>
        <w:t xml:space="preserve"> </w:t>
      </w:r>
      <w:r>
        <w:rPr>
          <w:b/>
          <w:color w:val="808080"/>
        </w:rPr>
        <w:t>[</w:t>
      </w:r>
      <w:r>
        <w:rPr/>
        <w:t>hat</w:t>
      </w:r>
      <w:r>
        <w:rPr>
          <w:b/>
          <w:color w:val="808080"/>
        </w:rPr>
        <w:t>]</w:t>
      </w:r>
      <w:r>
        <w:rPr/>
        <w:t xml:space="preserve"> und über sein Gesetz Tag und Nacht nachdenkt </w:t>
      </w:r>
      <w:r>
        <w:rPr>
          <w:color w:val="808080"/>
        </w:rPr>
        <w:t>(grübelt; leise liest oder rezitiert; nachdenken wird)</w:t>
      </w:r>
      <w:r>
        <w:rPr/>
        <w:t xml:space="preserve"> </w:t>
      </w:r>
      <w:r>
        <w:rPr>
          <w:rStyle w:val="Funotenanker"/>
        </w:rPr>
        <w:footnoteReference w:customMarkFollows="1" w:id="385"/>
        <w:t>h</w:t>
      </w:r>
      <w:r>
        <w:rPr/>
        <w:t xml:space="preserve">. </w:t>
        <w:br/>
        <w:t xml:space="preserve">{{field-off:bible}} </w:t>
        <w:br/>
        <w:t>[[@BibleTOBIBLE:Ps 1:3]]</w:t>
      </w:r>
      <w:r>
        <w:rPr>
          <w:b/>
        </w:rPr>
        <w:t>3</w:t>
      </w:r>
      <w:r>
        <w:rPr/>
        <w:t xml:space="preserve"> {{field-on:bible}} </w:t>
        <w:br/>
      </w:r>
      <w:r>
        <w:rPr>
          <w:strike/>
          <w:color w:val="808080"/>
        </w:rPr>
        <w:t>{Und (Dann)}</w:t>
      </w:r>
      <w:r>
        <w:rPr/>
        <w:t xml:space="preserve"> Er ist </w:t>
      </w:r>
      <w:r>
        <w:rPr>
          <w:color w:val="808080"/>
        </w:rPr>
        <w:t>(wird sein)</w:t>
      </w:r>
      <w:r>
        <w:rPr/>
        <w:t xml:space="preserve"> wie ein Baum, gepflanzt an Wasserkanälen </w:t>
      </w:r>
      <w:r>
        <w:rPr>
          <w:color w:val="808080"/>
        </w:rPr>
        <w:t>(Wasserbächen)</w:t>
      </w:r>
      <w:r>
        <w:rPr/>
        <w:t xml:space="preserve"> </w:t>
      </w:r>
      <w:r>
        <w:rPr>
          <w:rStyle w:val="Funotenanker"/>
        </w:rPr>
        <w:footnoteReference w:customMarkFollows="1" w:id="386"/>
        <w:t>i</w:t>
      </w:r>
      <w:r>
        <w:rPr/>
        <w:t>,</w:t>
      </w:r>
      <w:r>
        <w:rPr>
          <w:position w:val="8"/>
          <w:sz w:val="19"/>
        </w:rPr>
        <w:t>[[ ℘ &gt;&gt; BibleTOBIBLE:Ps 92:13]][[ ℘ &gt;&gt; BibleTOBIBLE:Je 11:19]][[ ℘ &gt;&gt; BibleTOBIBLE:Eze 17:5]]</w:t>
      </w:r>
      <w:r>
        <w:rPr/>
        <w:t xml:space="preserve"> der seine Frucht bringt </w:t>
      </w:r>
      <w:r>
        <w:rPr>
          <w:color w:val="808080"/>
        </w:rPr>
        <w:t>(gibt; bringen wird)</w:t>
      </w:r>
      <w:r>
        <w:rPr/>
        <w:t xml:space="preserve"> zu seiner Zeit</w:t>
      </w:r>
      <w:r>
        <w:rPr>
          <w:rStyle w:val="Funotenanker"/>
        </w:rPr>
        <w:footnoteReference w:customMarkFollows="1" w:id="387"/>
        <w:t>j</w:t>
      </w:r>
      <w:r>
        <w:rPr/>
        <w:t xml:space="preserve"> und dessen Blätter nicht welken. </w:t>
        <w:br/>
        <w:t xml:space="preserve">Und alles, was er tut, gedeiht </w:t>
      </w:r>
      <w:r>
        <w:rPr>
          <w:color w:val="808080"/>
        </w:rPr>
        <w:t>(gelingt; wird gedeihen)</w:t>
      </w:r>
      <w:r>
        <w:rPr/>
        <w:t xml:space="preserve"> </w:t>
      </w:r>
      <w:r>
        <w:rPr>
          <w:rStyle w:val="Funotenanker"/>
        </w:rPr>
        <w:footnoteReference w:customMarkFollows="1" w:id="388"/>
        <w:t>k</w:t>
      </w:r>
      <w:r>
        <w:rPr/>
        <w:t>.</w:t>
      </w:r>
      <w:r>
        <w:rPr>
          <w:rStyle w:val="Funotenanker"/>
        </w:rPr>
        <w:footnoteReference w:customMarkFollows="1" w:id="389"/>
        <w:t>l</w:t>
      </w:r>
      <w:r>
        <w:rPr/>
        <w:t xml:space="preserve"> </w:t>
      </w:r>
      <w:r>
        <w:rPr>
          <w:position w:val="8"/>
          <w:sz w:val="19"/>
        </w:rPr>
        <w:t>[[ ℘ &gt;&gt; BibleTOBIBLE:Jos 1:8]]</w:t>
      </w:r>
      <w:r>
        <w:rPr/>
        <w:t xml:space="preserve"> </w:t>
        <w:br/>
        <w:br/>
        <w:t xml:space="preserve">{{field-off:bible}} </w:t>
        <w:br/>
        <w:t>[[@BibleTOBIBLE:Ps 1:4]]</w:t>
      </w:r>
      <w:r>
        <w:rPr>
          <w:b/>
        </w:rPr>
        <w:t>4</w:t>
      </w:r>
      <w:r>
        <w:rPr/>
        <w:t xml:space="preserve"> {{field-on:bible}} </w:t>
        <w:br/>
        <w:t xml:space="preserve">Nicht so die Gottlosen </w:t>
      </w:r>
      <w:r>
        <w:rPr>
          <w:color w:val="808080"/>
        </w:rPr>
        <w:t>(Übeltäter)</w:t>
      </w:r>
      <w:r>
        <w:rPr/>
        <w:t xml:space="preserve">! </w:t>
      </w:r>
      <w:r>
        <w:rPr>
          <w:strike/>
          <w:color w:val="808080"/>
        </w:rPr>
        <w:t>{sondern (vielmehr)}</w:t>
      </w:r>
      <w:r>
        <w:rPr/>
        <w:t xml:space="preserve"> </w:t>
      </w:r>
      <w:r>
        <w:rPr>
          <w:b/>
          <w:color w:val="808080"/>
        </w:rPr>
        <w:t>[</w:t>
      </w:r>
      <w:r>
        <w:rPr/>
        <w:t>Sie sind</w:t>
      </w:r>
      <w:r>
        <w:rPr>
          <w:b/>
          <w:color w:val="808080"/>
        </w:rPr>
        <w:t>]</w:t>
      </w:r>
      <w:r>
        <w:rPr/>
        <w:t xml:space="preserve"> wie Spreu</w:t>
      </w:r>
      <w:r>
        <w:rPr>
          <w:rStyle w:val="Funotenanker"/>
        </w:rPr>
        <w:footnoteReference w:customMarkFollows="1" w:id="390"/>
        <w:t>m</w:t>
      </w:r>
      <w:r>
        <w:rPr/>
        <w:t xml:space="preserve">, die </w:t>
      </w:r>
      <w:r>
        <w:rPr>
          <w:b/>
          <w:color w:val="808080"/>
        </w:rPr>
        <w:t>[</w:t>
      </w:r>
      <w:r>
        <w:rPr/>
        <w:t>der</w:t>
      </w:r>
      <w:r>
        <w:rPr>
          <w:b/>
          <w:color w:val="808080"/>
        </w:rPr>
        <w:t>]</w:t>
      </w:r>
      <w:r>
        <w:rPr/>
        <w:t xml:space="preserve"> Wind wegbläst </w:t>
      </w:r>
      <w:r>
        <w:rPr>
          <w:color w:val="808080"/>
        </w:rPr>
        <w:t>(wegblasen wird)</w:t>
      </w:r>
      <w:r>
        <w:rPr/>
        <w:t>.</w:t>
      </w:r>
      <w:r>
        <w:rPr>
          <w:position w:val="8"/>
          <w:sz w:val="19"/>
        </w:rPr>
        <w:t>[[ ℘ &gt;&gt; BibleTOBIBLE:Lk 3:17]]</w:t>
      </w:r>
      <w:r>
        <w:rPr/>
        <w:t xml:space="preserve"> </w:t>
        <w:br/>
        <w:t xml:space="preserve">{{field-off:bible}} </w:t>
        <w:br/>
        <w:t>[[@BibleTOBIBLE:Ps 1:5]]</w:t>
      </w:r>
      <w:r>
        <w:rPr>
          <w:b/>
        </w:rPr>
        <w:t>5</w:t>
      </w:r>
      <w:r>
        <w:rPr/>
        <w:t xml:space="preserve"> {{field-on:bible}} </w:t>
        <w:br/>
        <w:t xml:space="preserve">Deshalb bestehen </w:t>
      </w:r>
      <w:r>
        <w:rPr>
          <w:color w:val="808080"/>
        </w:rPr>
        <w:t>(stehen auf; werden bestehen)</w:t>
      </w:r>
      <w:r>
        <w:rPr/>
        <w:t xml:space="preserve"> Gottlose nicht vor dem </w:t>
      </w:r>
      <w:r>
        <w:rPr>
          <w:color w:val="808080"/>
        </w:rPr>
        <w:t>(nicht im)</w:t>
      </w:r>
      <w:r>
        <w:rPr/>
        <w:t xml:space="preserve"> Gericht</w:t>
      </w:r>
      <w:r>
        <w:rPr>
          <w:rStyle w:val="Funotenanker"/>
        </w:rPr>
        <w:footnoteReference w:customMarkFollows="1" w:id="391"/>
        <w:t>n</w:t>
      </w:r>
      <w:r>
        <w:rPr/>
        <w:t xml:space="preserve"> und Sünder </w:t>
      </w:r>
      <w:r>
        <w:rPr>
          <w:b/>
          <w:color w:val="808080"/>
        </w:rPr>
        <w:t>[</w:t>
      </w:r>
      <w:r>
        <w:rPr/>
        <w:t>nicht</w:t>
      </w:r>
      <w:r>
        <w:rPr>
          <w:b/>
          <w:color w:val="808080"/>
        </w:rPr>
        <w:t>]</w:t>
      </w:r>
      <w:r>
        <w:rPr/>
        <w:t xml:space="preserve"> in der Versammlung der Gerechten</w:t>
      </w:r>
      <w:r>
        <w:rPr>
          <w:rStyle w:val="Funotenanker"/>
        </w:rPr>
        <w:footnoteReference w:customMarkFollows="1" w:id="392"/>
        <w:t>o</w:t>
      </w:r>
      <w:r>
        <w:rPr/>
        <w:t xml:space="preserve">. </w:t>
        <w:br/>
        <w:t xml:space="preserve">{{field-off:bible}} </w:t>
        <w:br/>
        <w:t>[[@BibleTOBIBLE:Ps 1:6]]</w:t>
      </w:r>
      <w:r>
        <w:rPr>
          <w:b/>
        </w:rPr>
        <w:t>6</w:t>
      </w:r>
      <w:r>
        <w:rPr/>
        <w:t xml:space="preserve"> {{field-on:bible}} </w:t>
        <w:br/>
        <w:t xml:space="preserve">Denn </w:t>
      </w:r>
      <w:r>
        <w:rPr>
          <w:color w:val="808080"/>
        </w:rPr>
        <w:t>(ja)</w:t>
      </w:r>
      <w:r>
        <w:rPr/>
        <w:t xml:space="preserve"> </w:t>
      </w:r>
      <w:r>
        <w:rPr>
          <w:smallCaps/>
          <w:color w:val="FF0000"/>
        </w:rPr>
        <w:t>JHWH</w:t>
      </w:r>
      <w:r>
        <w:rPr/>
        <w:t xml:space="preserve"> kennt </w:t>
      </w:r>
      <w:r>
        <w:rPr>
          <w:color w:val="808080"/>
        </w:rPr>
        <w:t>(wacht über)</w:t>
      </w:r>
      <w:r>
        <w:rPr/>
        <w:t xml:space="preserve"> den Weg der Gerechten, aber </w:t>
      </w:r>
      <w:r>
        <w:rPr>
          <w:color w:val="808080"/>
        </w:rPr>
        <w:t>(und)</w:t>
      </w:r>
      <w:r>
        <w:rPr/>
        <w:t xml:space="preserve"> der Weg der Gottlosen </w:t>
      </w:r>
      <w:r>
        <w:rPr>
          <w:color w:val="808080"/>
        </w:rPr>
        <w:t>(Übeltäter)</w:t>
      </w:r>
      <w:r>
        <w:rPr/>
        <w:t xml:space="preserve"> führt ins Verderben </w:t>
      </w:r>
      <w:r>
        <w:rPr>
          <w:color w:val="808080"/>
        </w:rPr>
        <w:t>(vergeht)</w:t>
      </w:r>
      <w:r>
        <w:rPr/>
        <w:t xml:space="preserve"> </w:t>
      </w:r>
      <w:r>
        <w:rPr>
          <w:rStyle w:val="Funotenanker"/>
        </w:rPr>
        <w:footnoteReference w:customMarkFollows="1" w:id="393"/>
        <w:t>p</w:t>
      </w:r>
      <w:r>
        <w:rPr/>
        <w: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br/>
      </w:r>
      <w:r>
        <w:rPr>
          <w:rStyle w:val="Funotenanker"/>
        </w:rPr>
        <w:footnoteReference w:customMarkFollows="1" w:id="394"/>
        <w:t>Status</w:t>
      </w:r>
      <w:r>
        <w:rPr/>
        <w:t xml:space="preserve"> Warum </w:t>
      </w:r>
      <w:r>
        <w:rPr>
          <w:color w:val="808080"/>
        </w:rPr>
        <w:t>(wozu)</w:t>
      </w:r>
      <w:r>
        <w:rPr/>
        <w:t xml:space="preserve"> verschwören sich </w:t>
      </w:r>
      <w:r>
        <w:rPr>
          <w:color w:val="808080"/>
        </w:rPr>
        <w:t>(befinden sich in Unruhe, murren; haben sich verschworen)</w:t>
      </w:r>
      <w:r>
        <w:rPr/>
        <w:t xml:space="preserve"> </w:t>
      </w:r>
      <w:r>
        <w:rPr>
          <w:rStyle w:val="Funotenanker"/>
        </w:rPr>
        <w:footnoteReference w:customMarkFollows="1" w:id="395"/>
        <w:t>a</w:t>
      </w:r>
      <w:r>
        <w:rPr/>
        <w:t xml:space="preserve"> </w:t>
      </w:r>
      <w:r>
        <w:rPr>
          <w:rStyle w:val="Funotenanker"/>
        </w:rPr>
        <w:footnoteReference w:customMarkFollows="1" w:id="396"/>
        <w:t>b</w:t>
      </w:r>
      <w:r>
        <w:rPr/>
        <w:t xml:space="preserve"> </w:t>
      </w:r>
      <w:r>
        <w:rPr>
          <w:b/>
          <w:color w:val="808080"/>
        </w:rPr>
        <w:t>[</w:t>
      </w:r>
      <w:r>
        <w:rPr/>
        <w:t>die</w:t>
      </w:r>
      <w:r>
        <w:rPr>
          <w:b/>
          <w:color w:val="808080"/>
        </w:rPr>
        <w:t>]</w:t>
      </w:r>
      <w:r>
        <w:rPr/>
        <w:t xml:space="preserve"> </w:t>
      </w:r>
      <w:r>
        <w:rPr>
          <w:color w:val="808080"/>
        </w:rPr>
        <w:t>(heidnischen)</w:t>
      </w:r>
      <w:r>
        <w:rPr/>
        <w:t xml:space="preserve"> Völker </w:t>
      </w:r>
      <w:r>
        <w:rPr>
          <w:color w:val="808080"/>
        </w:rPr>
        <w:t>(Nationen)</w:t>
      </w:r>
      <w:r>
        <w:rPr/>
        <w:t>,</w:t>
        <w:br/>
        <w:t xml:space="preserve">und </w:t>
      </w:r>
      <w:r>
        <w:rPr>
          <w:b/>
          <w:color w:val="808080"/>
        </w:rPr>
        <w:t>[</w:t>
      </w:r>
      <w:r>
        <w:rPr/>
        <w:t>warum</w:t>
      </w:r>
      <w:r>
        <w:rPr>
          <w:b/>
          <w:color w:val="808080"/>
        </w:rPr>
        <w:t>]</w:t>
      </w:r>
      <w:r>
        <w:rPr/>
        <w:t xml:space="preserve"> schmieden </w:t>
      </w:r>
      <w:r>
        <w:rPr>
          <w:color w:val="808080"/>
        </w:rPr>
        <w:t>(werden schmieden)</w:t>
      </w:r>
      <w:r>
        <w:rPr/>
        <w:t xml:space="preserve"> </w:t>
      </w:r>
      <w:r>
        <w:rPr>
          <w:b/>
          <w:color w:val="808080"/>
        </w:rPr>
        <w:t>[</w:t>
      </w:r>
      <w:r>
        <w:rPr/>
        <w:t>die</w:t>
      </w:r>
      <w:r>
        <w:rPr>
          <w:b/>
          <w:color w:val="808080"/>
        </w:rPr>
        <w:t>]</w:t>
      </w:r>
      <w:r>
        <w:rPr/>
        <w:t xml:space="preserve"> Völker </w:t>
      </w:r>
      <w:r>
        <w:rPr>
          <w:color w:val="808080"/>
        </w:rPr>
        <w:t>(Volksgruppen)</w:t>
      </w:r>
      <w:r>
        <w:rPr/>
        <w:t xml:space="preserve"> vergeblich Pläne</w:t>
      </w:r>
      <w:r>
        <w:rPr>
          <w:rStyle w:val="Funotenanker"/>
        </w:rPr>
        <w:footnoteReference w:customMarkFollows="1" w:id="397"/>
        <w:t>c</w:t>
      </w:r>
      <w:r>
        <w:rPr/>
        <w:t xml:space="preserve"> </w:t>
      </w:r>
      <w:r>
        <w:rPr>
          <w:color w:val="808080"/>
        </w:rPr>
        <w:t>(Vergebliches, Nichtiges)</w:t>
      </w:r>
      <w:r>
        <w:rPr/>
        <w:t xml:space="preserve"> </w:t>
      </w:r>
      <w:r>
        <w:rPr>
          <w:color w:val="808080"/>
        </w:rPr>
        <w:t>(knurren, grummeln sie)</w:t>
      </w:r>
      <w:r>
        <w:rPr/>
        <w:t>?</w:t>
      </w:r>
      <w:r>
        <w:rPr>
          <w:position w:val="8"/>
          <w:sz w:val="19"/>
        </w:rPr>
        <w:t>[[ ℘ &gt;&gt; BibleTOBIBLE:Ac 4:25]]</w:t>
      </w:r>
      <w:r>
        <w:rPr/>
        <w:t xml:space="preserve"> </w:t>
        <w:br/>
        <w:t xml:space="preserve">{{field-off:bible}} </w:t>
        <w:br/>
        <w:t>[[@BibleTOBIBLE:Ps 2:2]]</w:t>
      </w:r>
      <w:r>
        <w:rPr>
          <w:b/>
        </w:rPr>
        <w:t>2</w:t>
      </w:r>
      <w:r>
        <w:rPr/>
        <w:t xml:space="preserve"> {{field-on:bible}} </w:t>
        <w:br/>
      </w:r>
      <w:r>
        <w:rPr>
          <w:b/>
          <w:color w:val="808080"/>
        </w:rPr>
        <w:t>[</w:t>
      </w:r>
      <w:r>
        <w:rPr/>
        <w:t>Warum</w:t>
      </w:r>
      <w:r>
        <w:rPr>
          <w:b/>
          <w:color w:val="808080"/>
        </w:rPr>
        <w:t>]</w:t>
      </w:r>
      <w:r>
        <w:rPr/>
        <w:t xml:space="preserve"> </w:t>
      </w:r>
      <w:r>
        <w:rPr>
          <w:rStyle w:val="Funotenanker"/>
        </w:rPr>
        <w:footnoteReference w:customMarkFollows="1" w:id="398"/>
        <w:t>d</w:t>
      </w:r>
      <w:r>
        <w:rPr/>
        <w:t xml:space="preserve"> stellen die Könige der Erde </w:t>
      </w:r>
      <w:r>
        <w:rPr>
          <w:color w:val="808080"/>
        </w:rPr>
        <w:t>(des Landes; irdischen Könige)</w:t>
      </w:r>
      <w:r>
        <w:rPr/>
        <w:t xml:space="preserve"> </w:t>
      </w:r>
      <w:r>
        <w:rPr>
          <w:rStyle w:val="Funotenanker"/>
        </w:rPr>
        <w:footnoteReference w:customMarkFollows="1" w:id="399"/>
        <w:t>e</w:t>
      </w:r>
      <w:r>
        <w:rPr/>
        <w:t xml:space="preserve"> sich </w:t>
      </w:r>
      <w:r>
        <w:rPr>
          <w:b/>
          <w:color w:val="808080"/>
        </w:rPr>
        <w:t>[</w:t>
      </w:r>
      <w:r>
        <w:rPr/>
        <w:t>zum Kampf</w:t>
      </w:r>
      <w:r>
        <w:rPr>
          <w:b/>
          <w:color w:val="808080"/>
        </w:rPr>
        <w:t>]</w:t>
      </w:r>
      <w:r>
        <w:rPr/>
        <w:t xml:space="preserve"> </w:t>
      </w:r>
      <w:r>
        <w:rPr>
          <w:rStyle w:val="Funotenanker"/>
        </w:rPr>
        <w:footnoteReference w:customMarkFollows="1" w:id="400"/>
        <w:t>f</w:t>
      </w:r>
      <w:r>
        <w:rPr/>
        <w:t xml:space="preserve"> auf </w:t>
      </w:r>
      <w:r>
        <w:rPr>
          <w:color w:val="808080"/>
        </w:rPr>
        <w:t xml:space="preserve">(lehnen sich auf, leisten Widerstand; stellen sich </w:t>
      </w:r>
      <w:r>
        <w:rPr>
          <w:b/>
          <w:color w:val="808080"/>
        </w:rPr>
        <w:t>[</w:t>
      </w:r>
      <w:r>
        <w:rPr>
          <w:color w:val="808080"/>
        </w:rPr>
        <w:t>gerade</w:t>
      </w:r>
      <w:r>
        <w:rPr>
          <w:b/>
          <w:color w:val="808080"/>
        </w:rPr>
        <w:t>]</w:t>
      </w:r>
      <w:r>
        <w:rPr>
          <w:color w:val="808080"/>
        </w:rPr>
        <w:t xml:space="preserve"> auf, werden sich aufstellen)</w:t>
      </w:r>
      <w:r>
        <w:rPr/>
        <w:t xml:space="preserve"> </w:t>
        <w:br/>
        <w:t xml:space="preserve">und </w:t>
      </w:r>
      <w:r>
        <w:rPr>
          <w:b/>
          <w:color w:val="808080"/>
        </w:rPr>
        <w:t>[</w:t>
      </w:r>
      <w:r>
        <w:rPr/>
        <w:t>warum</w:t>
      </w:r>
      <w:r>
        <w:rPr>
          <w:b/>
          <w:color w:val="808080"/>
        </w:rPr>
        <w:t>]</w:t>
      </w:r>
      <w:r>
        <w:rPr/>
        <w:t xml:space="preserve"> verbünden </w:t>
      </w:r>
      <w:r>
        <w:rPr>
          <w:color w:val="808080"/>
        </w:rPr>
        <w:t>(stellen)</w:t>
      </w:r>
      <w:r>
        <w:rPr/>
        <w:t xml:space="preserve"> sich </w:t>
      </w:r>
      <w:r>
        <w:rPr>
          <w:color w:val="808080"/>
        </w:rPr>
        <w:t>(haben sich verbündet)</w:t>
      </w:r>
      <w:r>
        <w:rPr/>
        <w:t xml:space="preserve"> </w:t>
      </w:r>
      <w:r>
        <w:rPr>
          <w:rStyle w:val="Funotenanker"/>
        </w:rPr>
        <w:footnoteReference w:customMarkFollows="1" w:id="401"/>
        <w:t>g</w:t>
      </w:r>
      <w:r>
        <w:rPr/>
        <w:t xml:space="preserve"> die Herrscher</w:t>
        <w:br/>
        <w:t xml:space="preserve">gegen </w:t>
      </w:r>
      <w:r>
        <w:rPr>
          <w:smallCaps/>
          <w:color w:val="FF0000"/>
        </w:rPr>
        <w:t>JHWH</w:t>
      </w:r>
      <w:r>
        <w:rPr/>
        <w:t xml:space="preserve"> und gegen seinen Gesalbten</w:t>
      </w:r>
      <w:r>
        <w:rPr>
          <w:rStyle w:val="Funotenanker"/>
        </w:rPr>
        <w:footnoteReference w:customMarkFollows="1" w:id="402"/>
        <w:t>h</w:t>
      </w:r>
      <w:r>
        <w:rPr/>
        <w:t>:</w:t>
      </w:r>
      <w:r>
        <w:rPr>
          <w:position w:val="8"/>
          <w:sz w:val="19"/>
        </w:rPr>
        <w:t>[[ ℘ &gt;&gt; BibleTOBIBLE:Ps 2:10]][[ ℘ &gt;&gt; BibleTOBIBLE:Ac 4:26]]</w:t>
      </w:r>
      <w:r>
        <w:rPr/>
        <w:t xml:space="preserve"> </w:t>
        <w:br/>
        <w:t xml:space="preserve">{{field-off:bible}} </w:t>
        <w:br/>
        <w:t>[[@BibleTOBIBLE:Ps 2:3]]</w:t>
      </w:r>
      <w:r>
        <w:rPr>
          <w:b/>
        </w:rPr>
        <w:t>3</w:t>
      </w:r>
      <w:r>
        <w:rPr/>
        <w:t xml:space="preserve"> {{field-on:bible}} </w:t>
        <w:br/>
      </w:r>
      <w:r>
        <w:rPr>
          <w:rStyle w:val="Funotenanker"/>
        </w:rPr>
        <w:footnoteReference w:customMarkFollows="1" w:id="403"/>
        <w:t>i</w:t>
      </w:r>
      <w:r>
        <w:rPr/>
        <w:t xml:space="preserve">„Wir wollen </w:t>
      </w:r>
      <w:r>
        <w:rPr>
          <w:color w:val="808080"/>
        </w:rPr>
        <w:t>(lasst uns, zerreißen wir doch)</w:t>
      </w:r>
      <w:r>
        <w:rPr/>
        <w:t xml:space="preserve"> ihre Fesseln </w:t>
      </w:r>
      <w:r>
        <w:rPr>
          <w:color w:val="808080"/>
        </w:rPr>
        <w:t>(Bande)</w:t>
      </w:r>
      <w:r>
        <w:rPr/>
        <w:t xml:space="preserve"> zerreißen</w:t>
        <w:br/>
        <w:t xml:space="preserve">und ihre Stricke </w:t>
      </w:r>
      <w:r>
        <w:rPr>
          <w:color w:val="808080"/>
        </w:rPr>
        <w:t>(Bande)</w:t>
      </w:r>
      <w:r>
        <w:rPr/>
        <w:t xml:space="preserve"> von uns abwerfen!“</w:t>
        <w:br/>
        <w:t xml:space="preserve">{{field-off:bible}} </w:t>
        <w:br/>
        <w:t>[[@BibleTOBIBLE:Ps 2:4]]</w:t>
      </w:r>
      <w:r>
        <w:rPr>
          <w:b/>
        </w:rPr>
        <w:t>4</w:t>
      </w:r>
      <w:r>
        <w:rPr/>
        <w:t xml:space="preserve"> {{field-on:bible}} </w:t>
        <w:br/>
        <w:t xml:space="preserve">Der im Himmel thront </w:t>
      </w:r>
      <w:r>
        <w:rPr>
          <w:color w:val="808080"/>
        </w:rPr>
        <w:t>(sitzt, wohnt)</w:t>
      </w:r>
      <w:r>
        <w:rPr/>
        <w:t xml:space="preserve"> </w:t>
      </w:r>
      <w:r>
        <w:rPr>
          <w:rStyle w:val="Funotenanker"/>
        </w:rPr>
        <w:footnoteReference w:customMarkFollows="1" w:id="404"/>
        <w:t>j</w:t>
      </w:r>
      <w:r>
        <w:rPr/>
        <w:t xml:space="preserve">, lacht </w:t>
      </w:r>
      <w:r>
        <w:rPr>
          <w:color w:val="808080"/>
        </w:rPr>
        <w:t>(wird lachen)</w:t>
      </w:r>
      <w:r>
        <w:rPr/>
        <w:t xml:space="preserve"> </w:t>
      </w:r>
      <w:r>
        <w:rPr>
          <w:b/>
          <w:color w:val="808080"/>
        </w:rPr>
        <w:t>[</w:t>
      </w:r>
      <w:r>
        <w:rPr/>
        <w:t>über sie</w:t>
      </w:r>
      <w:r>
        <w:rPr>
          <w:b/>
          <w:color w:val="808080"/>
        </w:rPr>
        <w:t>]</w:t>
      </w:r>
      <w:r>
        <w:rPr/>
        <w:t xml:space="preserve"> </w:t>
      </w:r>
      <w:r>
        <w:rPr>
          <w:rStyle w:val="Funotenanker"/>
        </w:rPr>
        <w:footnoteReference w:customMarkFollows="1" w:id="405"/>
        <w:t>k</w:t>
      </w:r>
      <w:r>
        <w:rPr/>
        <w:t>,</w:t>
        <w:br/>
      </w:r>
      <w:r>
        <w:rPr>
          <w:b/>
          <w:color w:val="808080"/>
        </w:rPr>
        <w:t>[</w:t>
      </w:r>
      <w:r>
        <w:rPr/>
        <w:t>der</w:t>
      </w:r>
      <w:r>
        <w:rPr>
          <w:b/>
          <w:color w:val="808080"/>
        </w:rPr>
        <w:t>]</w:t>
      </w:r>
      <w:r>
        <w:rPr/>
        <w:t xml:space="preserve"> </w:t>
      </w:r>
      <w:r>
        <w:rPr>
          <w:strike/>
          <w:color w:val="808080"/>
        </w:rPr>
        <w:t>{mein}</w:t>
      </w:r>
      <w:r>
        <w:rPr/>
        <w:t xml:space="preserve"> Herr </w:t>
      </w:r>
      <w:r>
        <w:rPr>
          <w:color w:val="808080"/>
        </w:rPr>
        <w:t>(Adonai)</w:t>
      </w:r>
      <w:r>
        <w:rPr/>
        <w:t xml:space="preserve"> spottet </w:t>
      </w:r>
      <w:r>
        <w:rPr>
          <w:color w:val="808080"/>
        </w:rPr>
        <w:t>(verhöhnt; wird spotten)</w:t>
      </w:r>
      <w:r>
        <w:rPr/>
        <w:t xml:space="preserve"> über sie.</w:t>
        <w:br/>
        <w:t xml:space="preserve">{{field-off:bible}} </w:t>
        <w:br/>
        <w:t>[[@BibleTOBIBLE:Ps 2:5]]</w:t>
      </w:r>
      <w:r>
        <w:rPr>
          <w:b/>
        </w:rPr>
        <w:t>5</w:t>
      </w:r>
      <w:r>
        <w:rPr/>
        <w:t xml:space="preserve"> {{field-on:bible}} </w:t>
        <w:br/>
        <w:t xml:space="preserve">Dann </w:t>
      </w:r>
      <w:r>
        <w:rPr>
          <w:color w:val="808080"/>
        </w:rPr>
        <w:t>(daraufhin)</w:t>
      </w:r>
      <w:r>
        <w:rPr/>
        <w:t xml:space="preserve"> spricht er </w:t>
      </w:r>
      <w:r>
        <w:rPr>
          <w:color w:val="808080"/>
        </w:rPr>
        <w:t>(wird er sprechen)</w:t>
      </w:r>
      <w:r>
        <w:rPr/>
        <w:t xml:space="preserve"> </w:t>
      </w:r>
      <w:r>
        <w:rPr>
          <w:rStyle w:val="Funotenanker"/>
        </w:rPr>
        <w:footnoteReference w:customMarkFollows="1" w:id="406"/>
        <w:t>l</w:t>
      </w:r>
      <w:r>
        <w:rPr/>
        <w:t xml:space="preserve"> zu ihnen in seinem Zorn</w:t>
        <w:br/>
        <w:t xml:space="preserve">und mit </w:t>
      </w:r>
      <w:r>
        <w:rPr>
          <w:color w:val="808080"/>
        </w:rPr>
        <w:t>(in)</w:t>
      </w:r>
      <w:r>
        <w:rPr/>
        <w:t xml:space="preserve"> seinem Zornesbrennen </w:t>
      </w:r>
      <w:r>
        <w:rPr>
          <w:color w:val="808080"/>
        </w:rPr>
        <w:t>(brennenden Zorn, seiner Zornesglut, Heftigkeit)</w:t>
      </w:r>
      <w:r>
        <w:rPr/>
        <w:t xml:space="preserve"> </w:t>
      </w:r>
      <w:r>
        <w:rPr>
          <w:rStyle w:val="Funotenanker"/>
        </w:rPr>
        <w:footnoteReference w:customMarkFollows="1" w:id="407"/>
        <w:t>m</w:t>
      </w:r>
      <w:r>
        <w:rPr/>
        <w:t xml:space="preserve"> erschreckt </w:t>
      </w:r>
      <w:r>
        <w:rPr>
          <w:color w:val="808080"/>
        </w:rPr>
        <w:t>(wird erschrecken)</w:t>
      </w:r>
      <w:r>
        <w:rPr/>
        <w:t xml:space="preserve"> er sie:</w:t>
        <w:br/>
        <w:t xml:space="preserve">{{field-off:bible}} </w:t>
        <w:br/>
        <w:t>[[@BibleTOBIBLE:Ps 2:6]]</w:t>
      </w:r>
      <w:r>
        <w:rPr>
          <w:b/>
        </w:rPr>
        <w:t>6</w:t>
      </w:r>
      <w:r>
        <w:rPr/>
        <w:t xml:space="preserve"> {{field-on:bible}} </w:t>
        <w:br/>
        <w:t>„</w:t>
      </w:r>
      <w:r>
        <w:rPr>
          <w:strike/>
          <w:color w:val="808080"/>
        </w:rPr>
        <w:t>{und}</w:t>
      </w:r>
      <w:r>
        <w:rPr/>
        <w:t xml:space="preserve"> Ich selbst </w:t>
      </w:r>
      <w:r>
        <w:rPr>
          <w:color w:val="808080"/>
        </w:rPr>
        <w:t>(ich aber)</w:t>
      </w:r>
      <w:r>
        <w:rPr/>
        <w:t xml:space="preserve"> </w:t>
      </w:r>
      <w:r>
        <w:rPr>
          <w:rStyle w:val="Funotenanker"/>
        </w:rPr>
        <w:footnoteReference w:customMarkFollows="1" w:id="408"/>
        <w:t>n</w:t>
      </w:r>
      <w:r>
        <w:rPr/>
        <w:t xml:space="preserve"> habe meinen König auf Zion, meinem heiligen Berg</w:t>
      </w:r>
      <w:r>
        <w:rPr>
          <w:rStyle w:val="Funotenanker"/>
        </w:rPr>
        <w:footnoteReference w:customMarkFollows="1" w:id="409"/>
        <w:t>o</w:t>
      </w:r>
      <w:r>
        <w:rPr/>
        <w:t xml:space="preserve">, eingesetzt </w:t>
      </w:r>
      <w:r>
        <w:rPr>
          <w:color w:val="808080"/>
        </w:rPr>
        <w:t>(geweiht; setze ein)</w:t>
      </w:r>
      <w:r>
        <w:rPr/>
        <w:t xml:space="preserve"> </w:t>
      </w:r>
      <w:r>
        <w:rPr>
          <w:rStyle w:val="Funotenanker"/>
        </w:rPr>
        <w:footnoteReference w:customMarkFollows="1" w:id="410"/>
        <w:t>p</w:t>
      </w:r>
      <w:r>
        <w:rPr/>
        <w:t>.“</w:t>
        <w:br/>
        <w:br/>
        <w:t xml:space="preserve">{{field-off:bible}} </w:t>
        <w:br/>
        <w:t>[[@BibleTOBIBLE:Ps 2:7]]</w:t>
      </w:r>
      <w:r>
        <w:rPr>
          <w:b/>
        </w:rPr>
        <w:t>7</w:t>
      </w:r>
      <w:r>
        <w:rPr/>
        <w:t xml:space="preserve"> {{field-on:bible}} </w:t>
        <w:br/>
      </w:r>
      <w:r>
        <w:rPr>
          <w:rStyle w:val="Funotenanker"/>
        </w:rPr>
        <w:footnoteReference w:customMarkFollows="1" w:id="411"/>
        <w:t>q</w:t>
      </w:r>
      <w:r>
        <w:rPr/>
        <w:t xml:space="preserve">Ich will </w:t>
      </w:r>
      <w:r>
        <w:rPr>
          <w:color w:val="808080"/>
        </w:rPr>
        <w:t>(Lass mich)</w:t>
      </w:r>
      <w:r>
        <w:rPr/>
        <w:t xml:space="preserve"> bezüglich </w:t>
      </w:r>
      <w:r>
        <w:rPr>
          <w:color w:val="808080"/>
        </w:rPr>
        <w:t>(über, in Hinsicht auf, bezüglich)</w:t>
      </w:r>
      <w:r>
        <w:rPr/>
        <w:t xml:space="preserve"> </w:t>
      </w:r>
      <w:r>
        <w:rPr>
          <w:rStyle w:val="Funotenanker"/>
        </w:rPr>
        <w:footnoteReference w:customMarkFollows="1" w:id="412"/>
        <w:t>r</w:t>
      </w:r>
      <w:r>
        <w:rPr/>
        <w:t xml:space="preserve"> der Anordnung </w:t>
      </w:r>
      <w:r>
        <w:rPr>
          <w:color w:val="808080"/>
        </w:rPr>
        <w:t>(Einsetzungsurkunde, Königsprotokoll, Gesetz)</w:t>
      </w:r>
      <w:r>
        <w:rPr/>
        <w:t xml:space="preserve"> </w:t>
      </w:r>
      <w:r>
        <w:rPr>
          <w:rStyle w:val="Funotenanker"/>
        </w:rPr>
        <w:footnoteReference w:customMarkFollows="1" w:id="413"/>
        <w:t>s</w:t>
      </w:r>
      <w:r>
        <w:rPr/>
        <w:t xml:space="preserve"> </w:t>
      </w:r>
      <w:r>
        <w:rPr>
          <w:smallCaps/>
          <w:color w:val="FF0000"/>
        </w:rPr>
        <w:t>JHWH</w:t>
      </w:r>
      <w:r>
        <w:rPr/>
        <w:t xml:space="preserve">s bekannt machen </w:t>
      </w:r>
      <w:r>
        <w:rPr>
          <w:color w:val="808080"/>
        </w:rPr>
        <w:t>(rezitieren, berichten, Rechenschaft ablegen, erzählen)</w:t>
      </w:r>
      <w:r>
        <w:rPr/>
        <w:t>:</w:t>
        <w:br/>
        <w:t>Er hat</w:t>
      </w:r>
      <w:r>
        <w:rPr>
          <w:rStyle w:val="Funotenanker"/>
        </w:rPr>
        <w:footnoteReference w:customMarkFollows="1" w:id="414"/>
        <w:t>t</w:t>
      </w:r>
      <w:r>
        <w:rPr/>
        <w:t xml:space="preserve"> zu mir gesagt: Du </w:t>
      </w:r>
      <w:r>
        <w:rPr>
          <w:b/>
          <w:color w:val="808080"/>
        </w:rPr>
        <w:t>[</w:t>
      </w:r>
      <w:r>
        <w:rPr/>
        <w:t>bist</w:t>
      </w:r>
      <w:r>
        <w:rPr>
          <w:b/>
          <w:color w:val="808080"/>
        </w:rPr>
        <w:t>]</w:t>
      </w:r>
      <w:r>
        <w:rPr/>
        <w:t xml:space="preserve"> mein Sohn.</w:t>
        <w:br/>
        <w:t xml:space="preserve">„Ich selbst habe </w:t>
      </w:r>
      <w:r>
        <w:rPr>
          <w:color w:val="808080"/>
        </w:rPr>
        <w:t>(zeuge)</w:t>
      </w:r>
      <w:r>
        <w:rPr/>
        <w:t xml:space="preserve"> dich heute </w:t>
      </w:r>
      <w:r>
        <w:rPr>
          <w:color w:val="808080"/>
        </w:rPr>
        <w:t>(an diesem Tag)</w:t>
      </w:r>
      <w:r>
        <w:rPr/>
        <w:t xml:space="preserve"> gezeugt</w:t>
      </w:r>
      <w:r>
        <w:rPr>
          <w:rStyle w:val="Funotenanker"/>
        </w:rPr>
        <w:footnoteReference w:customMarkFollows="1" w:id="415"/>
        <w:t>u</w:t>
      </w:r>
      <w:r>
        <w:rPr/>
        <w:t>.</w:t>
      </w:r>
      <w:r>
        <w:rPr>
          <w:position w:val="8"/>
          <w:sz w:val="19"/>
        </w:rPr>
        <w:t>[[ ℘ &gt;&gt; BibleTOBIBLE:2Sa 7:14]][[ ℘ &gt;&gt; BibleTOBIBLE:Ac 13:33]][[ ℘ &gt;&gt; BibleTOBIBLE:Heb 1:5]][[ ℘ &gt;&gt; BibleTOBIBLE:Heb 5:5]]</w:t>
      </w:r>
      <w:r>
        <w:rPr/>
        <w:t xml:space="preserve"> </w:t>
        <w:br/>
        <w:t xml:space="preserve">{{field-off:bible}} </w:t>
        <w:br/>
        <w:t>[[@BibleTOBIBLE:Ps 2:8]]</w:t>
      </w:r>
      <w:r>
        <w:rPr>
          <w:b/>
        </w:rPr>
        <w:t>8</w:t>
      </w:r>
      <w:r>
        <w:rPr/>
        <w:t xml:space="preserve"> {{field-on:bible}} </w:t>
        <w:br/>
        <w:t xml:space="preserve">Bitte mich darum </w:t>
      </w:r>
      <w:r>
        <w:rPr>
          <w:color w:val="808080"/>
        </w:rPr>
        <w:t xml:space="preserve">(verlange/fordere </w:t>
      </w:r>
      <w:r>
        <w:rPr>
          <w:b/>
          <w:color w:val="808080"/>
        </w:rPr>
        <w:t>[</w:t>
      </w:r>
      <w:r>
        <w:rPr>
          <w:color w:val="808080"/>
        </w:rPr>
        <w:t>es</w:t>
      </w:r>
      <w:r>
        <w:rPr>
          <w:b/>
          <w:color w:val="808080"/>
        </w:rPr>
        <w:t>]</w:t>
      </w:r>
      <w:r>
        <w:rPr>
          <w:color w:val="808080"/>
        </w:rPr>
        <w:t xml:space="preserve"> von mir)</w:t>
      </w:r>
      <w:r>
        <w:rPr/>
        <w:t xml:space="preserve"> </w:t>
      </w:r>
      <w:r>
        <w:rPr>
          <w:rStyle w:val="Funotenanker"/>
        </w:rPr>
        <w:footnoteReference w:customMarkFollows="1" w:id="416"/>
        <w:t>v</w:t>
      </w:r>
      <w:r>
        <w:rPr/>
        <w:t>,</w:t>
        <w:br/>
        <w:t xml:space="preserve">dann </w:t>
      </w:r>
      <w:r>
        <w:rPr>
          <w:color w:val="808080"/>
        </w:rPr>
        <w:t>(und)</w:t>
      </w:r>
      <w:r>
        <w:rPr/>
        <w:t xml:space="preserve"> gebe </w:t>
      </w:r>
      <w:r>
        <w:rPr>
          <w:color w:val="808080"/>
        </w:rPr>
        <w:t>(werde geben)</w:t>
      </w:r>
      <w:r>
        <w:rPr/>
        <w:t xml:space="preserve"> ich dir </w:t>
      </w:r>
      <w:r>
        <w:rPr>
          <w:color w:val="808080"/>
        </w:rPr>
        <w:t>(</w:t>
      </w:r>
      <w:r>
        <w:rPr>
          <w:b/>
          <w:color w:val="808080"/>
        </w:rPr>
        <w:t>[</w:t>
      </w:r>
      <w:r>
        <w:rPr>
          <w:color w:val="808080"/>
        </w:rPr>
        <w:t>die</w:t>
      </w:r>
      <w:r>
        <w:rPr>
          <w:b/>
          <w:color w:val="808080"/>
        </w:rPr>
        <w:t>]</w:t>
      </w:r>
      <w:r>
        <w:rPr>
          <w:color w:val="808080"/>
        </w:rPr>
        <w:t>)</w:t>
      </w:r>
      <w:r>
        <w:rPr/>
        <w:t xml:space="preserve"> </w:t>
      </w:r>
      <w:r>
        <w:rPr>
          <w:color w:val="808080"/>
        </w:rPr>
        <w:t>(heidnischen)</w:t>
      </w:r>
      <w:r>
        <w:rPr/>
        <w:t xml:space="preserve"> Völker </w:t>
      </w:r>
      <w:r>
        <w:rPr>
          <w:color w:val="808080"/>
        </w:rPr>
        <w:t>(Nationen)</w:t>
      </w:r>
      <w:r>
        <w:rPr/>
        <w:t xml:space="preserve"> </w:t>
      </w:r>
      <w:r>
        <w:rPr>
          <w:b/>
          <w:color w:val="808080"/>
        </w:rPr>
        <w:t>[</w:t>
      </w:r>
      <w:r>
        <w:rPr/>
        <w:t>als</w:t>
      </w:r>
      <w:r>
        <w:rPr>
          <w:b/>
          <w:color w:val="808080"/>
        </w:rPr>
        <w:t>]</w:t>
      </w:r>
      <w:r>
        <w:rPr/>
        <w:t xml:space="preserve"> deinen Erbbesitz</w:t>
      </w:r>
      <w:r>
        <w:rPr>
          <w:rStyle w:val="Funotenanker"/>
        </w:rPr>
        <w:footnoteReference w:customMarkFollows="1" w:id="417"/>
        <w:t>w</w:t>
      </w:r>
      <w:r>
        <w:rPr/>
        <w:t xml:space="preserve"> </w:t>
        <w:br/>
        <w:t xml:space="preserve">und </w:t>
      </w:r>
      <w:r>
        <w:rPr>
          <w:b/>
          <w:color w:val="808080"/>
        </w:rPr>
        <w:t>[</w:t>
      </w:r>
      <w:r>
        <w:rPr/>
        <w:t>als</w:t>
      </w:r>
      <w:r>
        <w:rPr>
          <w:b/>
          <w:color w:val="808080"/>
        </w:rPr>
        <w:t>]</w:t>
      </w:r>
      <w:r>
        <w:rPr/>
        <w:t xml:space="preserve"> dein Eigentum </w:t>
      </w:r>
      <w:r>
        <w:rPr>
          <w:color w:val="808080"/>
        </w:rPr>
        <w:t>(Besitz)</w:t>
      </w:r>
      <w:r>
        <w:rPr/>
        <w:t xml:space="preserve"> die Enden der Erde </w:t>
      </w:r>
      <w:r>
        <w:rPr>
          <w:color w:val="808080"/>
        </w:rPr>
        <w:t>(die ganze Welt)</w:t>
      </w:r>
      <w:r>
        <w:rPr/>
        <w:t>!</w:t>
        <w:br/>
        <w:t xml:space="preserve">{{field-off:bible}} </w:t>
        <w:br/>
        <w:t>[[@BibleTOBIBLE:Ps 2:9]]</w:t>
      </w:r>
      <w:r>
        <w:rPr>
          <w:b/>
        </w:rPr>
        <w:t>9</w:t>
      </w:r>
      <w:r>
        <w:rPr/>
        <w:t xml:space="preserve"> {{field-on:bible}} </w:t>
        <w:br/>
        <w:t xml:space="preserve">Du wirst </w:t>
      </w:r>
      <w:r>
        <w:rPr>
          <w:color w:val="808080"/>
        </w:rPr>
        <w:t>(sollst, kannst; zerschmettere)</w:t>
      </w:r>
      <w:r>
        <w:rPr/>
        <w:t xml:space="preserve"> </w:t>
      </w:r>
      <w:r>
        <w:rPr>
          <w:rStyle w:val="Funotenanker"/>
        </w:rPr>
        <w:footnoteReference w:customMarkFollows="1" w:id="418"/>
        <w:t>x</w:t>
      </w:r>
      <w:r>
        <w:rPr/>
        <w:t xml:space="preserve"> sie mit einem eisernen Zepter </w:t>
      </w:r>
      <w:r>
        <w:rPr>
          <w:color w:val="808080"/>
        </w:rPr>
        <w:t>(Stab)</w:t>
      </w:r>
      <w:r>
        <w:rPr/>
        <w:t xml:space="preserve"> </w:t>
      </w:r>
      <w:r>
        <w:rPr>
          <w:color w:val="808080"/>
        </w:rPr>
        <w:t>(Zepter aus Eisen)</w:t>
      </w:r>
      <w:r>
        <w:rPr/>
        <w:t xml:space="preserve"> </w:t>
      </w:r>
      <w:r>
        <w:rPr>
          <w:rStyle w:val="Funotenanker"/>
        </w:rPr>
        <w:footnoteReference w:customMarkFollows="1" w:id="419"/>
        <w:t>y</w:t>
      </w:r>
      <w:r>
        <w:rPr/>
        <w:t xml:space="preserve"> zerschmettern </w:t>
      </w:r>
      <w:r>
        <w:rPr>
          <w:color w:val="808080"/>
        </w:rPr>
        <w:t>(weiden)</w:t>
      </w:r>
      <w:r>
        <w:rPr/>
        <w:t xml:space="preserve"> </w:t>
      </w:r>
      <w:r>
        <w:rPr>
          <w:rStyle w:val="Funotenanker"/>
        </w:rPr>
        <w:footnoteReference w:customMarkFollows="1" w:id="420"/>
        <w:t>z</w:t>
      </w:r>
      <w:r>
        <w:rPr/>
        <w:t>,</w:t>
        <w:br/>
        <w:t>wie Töpferware</w:t>
      </w:r>
      <w:r>
        <w:rPr>
          <w:rStyle w:val="Funotenanker"/>
        </w:rPr>
        <w:footnoteReference w:customMarkFollows="1" w:id="421"/>
        <w:t>aa</w:t>
      </w:r>
      <w:r>
        <w:rPr/>
        <w:t xml:space="preserve"> wirst </w:t>
      </w:r>
      <w:r>
        <w:rPr>
          <w:color w:val="808080"/>
        </w:rPr>
        <w:t>(sollst, kannst; zerschlage)</w:t>
      </w:r>
      <w:r>
        <w:rPr/>
        <w:t xml:space="preserve"> du sie zerschlagen </w:t>
      </w:r>
      <w:r>
        <w:rPr>
          <w:color w:val="808080"/>
        </w:rPr>
        <w:t>(zerschmeißen)</w:t>
      </w:r>
      <w:r>
        <w:rPr/>
        <w:t>.“</w:t>
      </w:r>
      <w:r>
        <w:rPr>
          <w:position w:val="8"/>
          <w:sz w:val="19"/>
        </w:rPr>
        <w:t>[[ ℘ &gt;&gt; BibleTOBIBLE:Re 2:27]][[ ℘ &gt;&gt; BibleTOBIBLE:Re 19:15]]</w:t>
      </w:r>
      <w:r>
        <w:rPr/>
        <w:t xml:space="preserve"> </w:t>
        <w:br/>
        <w:t xml:space="preserve">{{field-off:bible}} </w:t>
        <w:br/>
        <w:t>[[@BibleTOBIBLE:Ps 2:10]]</w:t>
      </w:r>
      <w:r>
        <w:rPr>
          <w:b/>
        </w:rPr>
        <w:t>10</w:t>
      </w:r>
      <w:r>
        <w:rPr/>
        <w:t xml:space="preserve"> {{field-on:bible}} </w:t>
        <w:br/>
        <w:t xml:space="preserve">Darum </w:t>
      </w:r>
      <w:r>
        <w:rPr>
          <w:color w:val="808080"/>
        </w:rPr>
        <w:t>(und nun)</w:t>
      </w:r>
      <w:r>
        <w:rPr/>
        <w:t xml:space="preserve">, </w:t>
      </w:r>
      <w:r>
        <w:rPr>
          <w:b/>
          <w:color w:val="808080"/>
        </w:rPr>
        <w:t>[</w:t>
      </w:r>
      <w:r>
        <w:rPr/>
        <w:t>ihr</w:t>
      </w:r>
      <w:r>
        <w:rPr>
          <w:b/>
          <w:color w:val="808080"/>
        </w:rPr>
        <w:t>]</w:t>
      </w:r>
      <w:r>
        <w:rPr/>
        <w:t xml:space="preserve"> Könige, handelt verständig </w:t>
      </w:r>
      <w:r>
        <w:rPr>
          <w:color w:val="808080"/>
        </w:rPr>
        <w:t>(kommt zur Einsicht)</w:t>
      </w:r>
      <w:r>
        <w:rPr/>
        <w:t>;</w:t>
        <w:br/>
        <w:t xml:space="preserve">lasst euch warnen </w:t>
      </w:r>
      <w:r>
        <w:rPr>
          <w:color w:val="808080"/>
        </w:rPr>
        <w:t>(zurechtweisen)</w:t>
      </w:r>
      <w:r>
        <w:rPr/>
        <w:t xml:space="preserve">, </w:t>
      </w:r>
      <w:r>
        <w:rPr>
          <w:b/>
          <w:color w:val="808080"/>
        </w:rPr>
        <w:t>[</w:t>
      </w:r>
      <w:r>
        <w:rPr/>
        <w:t>ihr</w:t>
      </w:r>
      <w:r>
        <w:rPr>
          <w:b/>
          <w:color w:val="808080"/>
        </w:rPr>
        <w:t>]</w:t>
      </w:r>
      <w:r>
        <w:rPr/>
        <w:t xml:space="preserve"> Herrscher </w:t>
      </w:r>
      <w:r>
        <w:rPr>
          <w:color w:val="808080"/>
        </w:rPr>
        <w:t>(Richter)</w:t>
      </w:r>
      <w:r>
        <w:rPr/>
        <w:t xml:space="preserve"> der Erde </w:t>
      </w:r>
      <w:r>
        <w:rPr>
          <w:color w:val="808080"/>
        </w:rPr>
        <w:t>(des Landes)</w:t>
      </w:r>
      <w:r>
        <w:rPr/>
        <w:t>!</w:t>
      </w:r>
      <w:r>
        <w:rPr>
          <w:position w:val="8"/>
          <w:sz w:val="19"/>
        </w:rPr>
        <w:t>[[ ℘ &gt;&gt; BibleTOBIBLE:Ps 2:2]]</w:t>
      </w:r>
      <w:r>
        <w:rPr/>
        <w:t xml:space="preserve"> </w:t>
        <w:br/>
        <w:t xml:space="preserve">{{field-off:bible}} </w:t>
        <w:br/>
        <w:t>[[@BibleTOBIBLE:Ps 2:11]]</w:t>
      </w:r>
      <w:r>
        <w:rPr>
          <w:b/>
        </w:rPr>
        <w:t>11</w:t>
      </w:r>
      <w:r>
        <w:rPr/>
        <w:t xml:space="preserve"> {{field-on:bible}} </w:t>
        <w:br/>
        <w:t xml:space="preserve">Dient </w:t>
      </w:r>
      <w:r>
        <w:rPr>
          <w:smallCaps/>
          <w:color w:val="FF0000"/>
        </w:rPr>
        <w:t>JHWH</w:t>
      </w:r>
      <w:r>
        <w:rPr/>
        <w:t xml:space="preserve"> mit </w:t>
      </w:r>
      <w:r>
        <w:rPr>
          <w:color w:val="808080"/>
        </w:rPr>
        <w:t>(in)</w:t>
      </w:r>
      <w:r>
        <w:rPr/>
        <w:t xml:space="preserve"> Furcht </w:t>
      </w:r>
      <w:r>
        <w:rPr>
          <w:color w:val="808080"/>
        </w:rPr>
        <w:t>(Ehrfurcht)</w:t>
      </w:r>
      <w:r>
        <w:rPr/>
        <w:t xml:space="preserve"> </w:t>
        <w:br/>
        <w:t xml:space="preserve">und fürchtet euch </w:t>
      </w:r>
      <w:r>
        <w:rPr>
          <w:color w:val="808080"/>
        </w:rPr>
        <w:t>(jauchzt, zittert, heult, kehrt um?)</w:t>
      </w:r>
      <w:r>
        <w:rPr/>
        <w:t xml:space="preserve"> </w:t>
      </w:r>
      <w:r>
        <w:rPr>
          <w:rStyle w:val="Funotenanker"/>
        </w:rPr>
        <w:footnoteReference w:customMarkFollows="1" w:id="422"/>
        <w:t>ab</w:t>
      </w:r>
      <w:r>
        <w:rPr/>
        <w:t xml:space="preserve"> mit </w:t>
      </w:r>
      <w:r>
        <w:rPr>
          <w:color w:val="808080"/>
        </w:rPr>
        <w:t>(in)</w:t>
      </w:r>
      <w:r>
        <w:rPr/>
        <w:t xml:space="preserve"> Zittern!</w:t>
        <w:br/>
        <w:t xml:space="preserve">{{field-off:bible}} </w:t>
        <w:br/>
        <w:t>[[@BibleTOBIBLE:Ps 2:12]]</w:t>
      </w:r>
      <w:r>
        <w:rPr>
          <w:b/>
        </w:rPr>
        <w:t>12</w:t>
      </w:r>
      <w:r>
        <w:rPr/>
        <w:t xml:space="preserve"> {{field-on:bible}} </w:t>
        <w:br/>
        <w:t xml:space="preserve">Rüstet ehrlich ab </w:t>
      </w:r>
      <w:r>
        <w:rPr>
          <w:color w:val="808080"/>
        </w:rPr>
        <w:t xml:space="preserve">(Küsst </w:t>
      </w:r>
      <w:r>
        <w:rPr>
          <w:b/>
          <w:color w:val="808080"/>
        </w:rPr>
        <w:t>[</w:t>
      </w:r>
      <w:r>
        <w:rPr>
          <w:color w:val="808080"/>
        </w:rPr>
        <w:t>den</w:t>
      </w:r>
      <w:r>
        <w:rPr>
          <w:b/>
          <w:color w:val="808080"/>
        </w:rPr>
        <w:t>]</w:t>
      </w:r>
      <w:r>
        <w:rPr>
          <w:color w:val="808080"/>
        </w:rPr>
        <w:t xml:space="preserve"> Sohn)</w:t>
      </w:r>
      <w:r>
        <w:rPr/>
        <w:t xml:space="preserve">, damit er nicht </w:t>
      </w:r>
      <w:r>
        <w:rPr>
          <w:color w:val="808080"/>
        </w:rPr>
        <w:t>(sonst)</w:t>
      </w:r>
      <w:r>
        <w:rPr/>
        <w:t xml:space="preserve"> zornig wird</w:t>
        <w:br/>
        <w:t xml:space="preserve">und ihr </w:t>
      </w:r>
      <w:r>
        <w:rPr>
          <w:b/>
          <w:color w:val="808080"/>
        </w:rPr>
        <w:t>[</w:t>
      </w:r>
      <w:r>
        <w:rPr/>
        <w:t>auf eurem</w:t>
      </w:r>
      <w:r>
        <w:rPr>
          <w:b/>
          <w:color w:val="808080"/>
        </w:rPr>
        <w:t>]</w:t>
      </w:r>
      <w:r>
        <w:rPr/>
        <w:t xml:space="preserve"> Weg</w:t>
      </w:r>
      <w:r>
        <w:rPr>
          <w:rStyle w:val="Funotenanker"/>
        </w:rPr>
        <w:footnoteReference w:customMarkFollows="1" w:id="423"/>
        <w:t>ac</w:t>
      </w:r>
      <w:r>
        <w:rPr/>
        <w:t xml:space="preserve"> umkommt,</w:t>
        <w:br/>
        <w:t xml:space="preserve">denn leicht </w:t>
      </w:r>
      <w:r>
        <w:rPr>
          <w:color w:val="808080"/>
        </w:rPr>
        <w:t>(schnell, bald)</w:t>
      </w:r>
      <w:r>
        <w:rPr/>
        <w:t xml:space="preserve"> entflammt </w:t>
      </w:r>
      <w:r>
        <w:rPr>
          <w:color w:val="808080"/>
        </w:rPr>
        <w:t>(entbrennt)</w:t>
      </w:r>
      <w:r>
        <w:rPr/>
        <w:t xml:space="preserve"> sein Zorn </w:t>
      </w:r>
      <w:r>
        <w:rPr>
          <w:color w:val="808080"/>
        </w:rPr>
        <w:t>(Gesicht, Nase)</w:t>
      </w:r>
      <w:r>
        <w:rPr/>
        <w:t>.</w:t>
        <w:br/>
        <w:t xml:space="preserve">Glücklich </w:t>
      </w:r>
      <w:r>
        <w:rPr>
          <w:color w:val="808080"/>
        </w:rPr>
        <w:t>(gesegnet)</w:t>
      </w:r>
      <w:r>
        <w:rPr/>
        <w:t xml:space="preserve"> </w:t>
      </w:r>
      <w:r>
        <w:rPr>
          <w:b/>
          <w:color w:val="808080"/>
        </w:rPr>
        <w:t>[</w:t>
      </w:r>
      <w:r>
        <w:rPr/>
        <w:t>sind</w:t>
      </w:r>
      <w:r>
        <w:rPr>
          <w:b/>
          <w:color w:val="808080"/>
        </w:rPr>
        <w:t>]</w:t>
      </w:r>
      <w:r>
        <w:rPr/>
        <w:t xml:space="preserve"> alle, die sich bei </w:t>
      </w:r>
      <w:r>
        <w:rPr>
          <w:color w:val="808080"/>
        </w:rPr>
        <w:t>(in)</w:t>
      </w:r>
      <w:r>
        <w:rPr/>
        <w:t xml:space="preserve"> ihm bergen </w:t>
      </w:r>
      <w:r>
        <w:rPr>
          <w:color w:val="808080"/>
        </w:rPr>
        <w:t>(Zuflucht suchen)</w:t>
      </w:r>
      <w:r>
        <w:rPr/>
        <w:t>!</w:t>
      </w:r>
      <w:r>
        <w:rPr>
          <w:position w:val="8"/>
          <w:sz w:val="19"/>
        </w:rPr>
        <w:t>[[ ℘ &gt;&gt; BibleTOBIBLE:Ps 1:1]]</w:t>
      </w:r>
      <w:r>
        <w:rPr/>
        <w:t xml:space="preserve"> </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424"/>
        <w:t>Status</w:t>
      </w:r>
      <w:r>
        <w:rPr/>
        <w:t xml:space="preserve"> ''Ein Psalm </w:t>
      </w:r>
      <w:r>
        <w:rPr>
          <w:color w:val="808080"/>
        </w:rPr>
        <w:t>(begleitetes Lied)</w:t>
      </w:r>
      <w:r>
        <w:rPr/>
        <w:t xml:space="preserve"> von </w:t>
      </w:r>
      <w:r>
        <w:rPr>
          <w:color w:val="808080"/>
        </w:rPr>
        <w:t>(für, über, nach Art von)</w:t>
      </w:r>
      <w:r>
        <w:rPr/>
        <w:t xml:space="preserve"> David.'' ''Während </w:t>
      </w:r>
      <w:r>
        <w:rPr>
          <w:color w:val="808080"/>
        </w:rPr>
        <w:t>(Als)</w:t>
      </w:r>
      <w:r>
        <w:rPr/>
        <w:t xml:space="preserve"> er floh vor Absalom, seinem Sohn.''</w:t>
      </w:r>
      <w:r>
        <w:rPr>
          <w:rStyle w:val="Funotenanker"/>
        </w:rPr>
        <w:footnoteReference w:customMarkFollows="1" w:id="425"/>
        <w:t>a</w:t>
      </w:r>
      <w:r>
        <w:rPr/>
        <w:t xml:space="preserve"> </w:t>
        <w:br/>
        <w:t xml:space="preserve">{{field-off:bible}} </w:t>
        <w:br/>
        <w:t>[[@BibleTOBIBLE:Ps 3:2]]</w:t>
      </w:r>
      <w:r>
        <w:rPr>
          <w:b/>
        </w:rPr>
        <w:t>2</w:t>
      </w:r>
      <w:r>
        <w:rPr/>
        <w:t xml:space="preserve"> {{field-on:bible}} </w:t>
        <w:br/>
      </w:r>
      <w:r>
        <w:rPr>
          <w:smallCaps/>
          <w:color w:val="FF0000"/>
        </w:rPr>
        <w:t>JHWH</w:t>
      </w:r>
      <w:r>
        <w:rPr/>
        <w:t xml:space="preserve">! Wie zahlreich </w:t>
      </w:r>
      <w:r>
        <w:rPr>
          <w:color w:val="808080"/>
        </w:rPr>
        <w:t>(wie sehr vermehrt)</w:t>
      </w:r>
      <w:r>
        <w:rPr/>
        <w:t xml:space="preserve"> </w:t>
      </w:r>
      <w:r>
        <w:rPr>
          <w:b/>
          <w:color w:val="808080"/>
        </w:rPr>
        <w:t>[</w:t>
      </w:r>
      <w:r>
        <w:rPr/>
        <w:t>sind</w:t>
      </w:r>
      <w:r>
        <w:rPr>
          <w:b/>
          <w:color w:val="808080"/>
        </w:rPr>
        <w:t>]</w:t>
      </w:r>
      <w:r>
        <w:rPr/>
        <w:t xml:space="preserve"> meine Feinde! </w:t>
      </w:r>
      <w:r>
        <w:rPr>
          <w:b/>
          <w:color w:val="808080"/>
        </w:rPr>
        <w:t>[</w:t>
      </w:r>
      <w:r>
        <w:rPr/>
        <w:t>Wie</w:t>
      </w:r>
      <w:r>
        <w:rPr>
          <w:b/>
          <w:color w:val="808080"/>
        </w:rPr>
        <w:t>]</w:t>
      </w:r>
      <w:r>
        <w:rPr/>
        <w:t xml:space="preserve"> </w:t>
      </w:r>
      <w:r>
        <w:rPr>
          <w:rStyle w:val="Funotenanker"/>
        </w:rPr>
        <w:footnoteReference w:customMarkFollows="1" w:id="426"/>
        <w:t>b</w:t>
      </w:r>
      <w:r>
        <w:rPr/>
        <w:t xml:space="preserve"> zahlreich </w:t>
      </w:r>
      <w:r>
        <w:rPr>
          <w:color w:val="808080"/>
        </w:rPr>
        <w:t>(wie sehr vermehrt)</w:t>
      </w:r>
      <w:r>
        <w:rPr/>
        <w:t xml:space="preserve"> </w:t>
      </w:r>
      <w:r>
        <w:rPr>
          <w:b/>
          <w:color w:val="808080"/>
        </w:rPr>
        <w:t>[</w:t>
      </w:r>
      <w:r>
        <w:rPr/>
        <w:t>sind</w:t>
      </w:r>
      <w:r>
        <w:rPr>
          <w:b/>
          <w:color w:val="808080"/>
        </w:rPr>
        <w:t>]</w:t>
      </w:r>
      <w:r>
        <w:rPr/>
        <w:t xml:space="preserve"> meine Gegner </w:t>
      </w:r>
      <w:r>
        <w:rPr>
          <w:color w:val="808080"/>
        </w:rPr>
        <w:t>(die, die sich gegen mich erheben)</w:t>
      </w:r>
      <w:r>
        <w:rPr/>
        <w:t xml:space="preserve"> </w:t>
      </w:r>
      <w:r>
        <w:rPr>
          <w:rStyle w:val="Funotenanker"/>
        </w:rPr>
        <w:footnoteReference w:customMarkFollows="1" w:id="427"/>
        <w:t>c</w:t>
      </w:r>
      <w:r>
        <w:rPr/>
        <w:t>!</w:t>
        <w:br/>
        <w:t xml:space="preserve">{{field-off:bible}} </w:t>
        <w:br/>
        <w:t>[[@BibleTOBIBLE:Ps 3:3]]</w:t>
      </w:r>
      <w:r>
        <w:rPr>
          <w:b/>
        </w:rPr>
        <w:t>3</w:t>
      </w:r>
      <w:r>
        <w:rPr/>
        <w:t xml:space="preserve"> {{field-on:bible}} </w:t>
        <w:br/>
      </w:r>
      <w:r>
        <w:rPr>
          <w:b/>
          <w:color w:val="808080"/>
        </w:rPr>
        <w:t>[</w:t>
      </w:r>
      <w:r>
        <w:rPr/>
        <w:t>Wie</w:t>
      </w:r>
      <w:r>
        <w:rPr>
          <w:b/>
          <w:color w:val="808080"/>
        </w:rPr>
        <w:t>]</w:t>
      </w:r>
      <w:r>
        <w:rPr/>
        <w:t xml:space="preserve"> zahlreich </w:t>
      </w:r>
      <w:r>
        <w:rPr>
          <w:color w:val="808080"/>
        </w:rPr>
        <w:t>(wie sehr vermehrt)</w:t>
      </w:r>
      <w:r>
        <w:rPr/>
        <w:t xml:space="preserve"> </w:t>
      </w:r>
      <w:r>
        <w:rPr>
          <w:b/>
          <w:color w:val="808080"/>
        </w:rPr>
        <w:t>[</w:t>
      </w:r>
      <w:r>
        <w:rPr/>
        <w:t>sind</w:t>
      </w:r>
      <w:r>
        <w:rPr>
          <w:b/>
          <w:color w:val="808080"/>
        </w:rPr>
        <w:t>]</w:t>
      </w:r>
      <w:r>
        <w:rPr/>
        <w:t xml:space="preserve">, die über meine Seele </w:t>
      </w:r>
      <w:r>
        <w:rPr>
          <w:color w:val="808080"/>
        </w:rPr>
        <w:t>(über mich)</w:t>
      </w:r>
      <w:r>
        <w:rPr/>
        <w:t xml:space="preserve"> </w:t>
      </w:r>
      <w:r>
        <w:rPr>
          <w:rStyle w:val="Funotenanker"/>
        </w:rPr>
        <w:footnoteReference w:customMarkFollows="1" w:id="428"/>
        <w:t>d</w:t>
      </w:r>
      <w:r>
        <w:rPr/>
        <w:t xml:space="preserve"> sagen: „Nicht </w:t>
      </w:r>
      <w:r>
        <w:rPr>
          <w:b/>
          <w:color w:val="808080"/>
        </w:rPr>
        <w:t>[</w:t>
      </w:r>
      <w:r>
        <w:rPr/>
        <w:t>ist</w:t>
      </w:r>
      <w:r>
        <w:rPr>
          <w:b/>
          <w:color w:val="808080"/>
        </w:rPr>
        <w:t>]</w:t>
      </w:r>
      <w:r>
        <w:rPr/>
        <w:t xml:space="preserve"> </w:t>
      </w:r>
      <w:r>
        <w:rPr>
          <w:color w:val="808080"/>
        </w:rPr>
        <w:t>(Es gibt keine)</w:t>
      </w:r>
      <w:r>
        <w:rPr/>
        <w:t xml:space="preserve"> Rettung </w:t>
      </w:r>
      <w:r>
        <w:rPr>
          <w:color w:val="808080"/>
        </w:rPr>
        <w:t>(Hilfe, Sieg)</w:t>
      </w:r>
      <w:r>
        <w:rPr/>
        <w:t xml:space="preserve"> </w:t>
      </w:r>
      <w:r>
        <w:rPr>
          <w:rStyle w:val="Funotenanker"/>
        </w:rPr>
        <w:footnoteReference w:customMarkFollows="1" w:id="429"/>
        <w:t>e</w:t>
      </w:r>
      <w:r>
        <w:rPr/>
        <w:t xml:space="preserve"> </w:t>
      </w:r>
      <w:r>
        <w:rPr>
          <w:rStyle w:val="Funotenanker"/>
        </w:rPr>
        <w:footnoteReference w:customMarkFollows="1" w:id="430"/>
        <w:t>f</w:t>
      </w:r>
      <w:r>
        <w:rPr/>
        <w:t xml:space="preserve"> für ihn durch </w:t>
      </w:r>
      <w:r>
        <w:rPr>
          <w:color w:val="808080"/>
        </w:rPr>
        <w:t>(trotz)</w:t>
      </w:r>
      <w:r>
        <w:rPr/>
        <w:t xml:space="preserve"> Gott!“ </w:t>
      </w:r>
      <w:r>
        <w:rPr>
          <w:strike/>
          <w:color w:val="808080"/>
        </w:rPr>
        <w:t>{Sela}</w:t>
      </w:r>
      <w:r>
        <w:rPr/>
        <w:t xml:space="preserve"> </w:t>
      </w:r>
      <w:r>
        <w:rPr>
          <w:rStyle w:val="Funotenanker"/>
        </w:rPr>
        <w:footnoteReference w:customMarkFollows="1" w:id="431"/>
        <w:t>g</w:t>
      </w:r>
      <w:r>
        <w:rPr/>
        <w:t xml:space="preserve"> </w:t>
        <w:br/>
        <w:br/>
        <w:t xml:space="preserve">{{field-off:bible}} </w:t>
        <w:br/>
        <w:t>[[@BibleTOBIBLE:Ps 3:4]]</w:t>
      </w:r>
      <w:r>
        <w:rPr>
          <w:b/>
        </w:rPr>
        <w:t>4</w:t>
      </w:r>
      <w:r>
        <w:rPr/>
        <w:t xml:space="preserve"> {{field-on:bible}} </w:t>
        <w:br/>
        <w:t xml:space="preserve">Doch du, oh </w:t>
      </w:r>
      <w:r>
        <w:rPr>
          <w:smallCaps/>
          <w:color w:val="FF0000"/>
        </w:rPr>
        <w:t>JHWH</w:t>
      </w:r>
      <w:r>
        <w:rPr/>
        <w:t xml:space="preserve">, </w:t>
      </w:r>
      <w:r>
        <w:rPr>
          <w:b/>
          <w:color w:val="808080"/>
        </w:rPr>
        <w:t>[</w:t>
      </w:r>
      <w:r>
        <w:rPr/>
        <w:t>bist</w:t>
      </w:r>
      <w:r>
        <w:rPr>
          <w:b/>
          <w:color w:val="808080"/>
        </w:rPr>
        <w:t>]</w:t>
      </w:r>
      <w:r>
        <w:rPr/>
        <w:t xml:space="preserve"> ein Schild um mich </w:t>
      </w:r>
      <w:r>
        <w:rPr>
          <w:color w:val="808080"/>
        </w:rPr>
        <w:t>(bist Schutz für mich, schützt mich)</w:t>
      </w:r>
      <w:r>
        <w:rPr/>
        <w:t xml:space="preserve"> </w:t>
      </w:r>
      <w:r>
        <w:rPr>
          <w:rStyle w:val="Funotenanker"/>
        </w:rPr>
        <w:footnoteReference w:customMarkFollows="1" w:id="432"/>
        <w:t>h</w:t>
      </w:r>
      <w:r>
        <w:rPr/>
        <w:t xml:space="preserve">, </w:t>
      </w:r>
      <w:r>
        <w:rPr>
          <w:b/>
          <w:color w:val="808080"/>
        </w:rPr>
        <w:t>[</w:t>
      </w:r>
      <w:r>
        <w:rPr/>
        <w:t>du bist</w:t>
      </w:r>
      <w:r>
        <w:rPr>
          <w:b/>
          <w:color w:val="808080"/>
        </w:rPr>
        <w:t>]</w:t>
      </w:r>
      <w:r>
        <w:rPr/>
        <w:t xml:space="preserve"> mein Mächtiger </w:t>
      </w:r>
      <w:r>
        <w:rPr>
          <w:color w:val="808080"/>
        </w:rPr>
        <w:t>(mein Herrlicher, mein Ansehen, meine Herrlichkeit)</w:t>
      </w:r>
      <w:r>
        <w:rPr/>
        <w:t xml:space="preserve"> </w:t>
      </w:r>
      <w:r>
        <w:rPr>
          <w:rStyle w:val="Funotenanker"/>
        </w:rPr>
        <w:footnoteReference w:customMarkFollows="1" w:id="433"/>
        <w:t>i</w:t>
      </w:r>
      <w:r>
        <w:rPr/>
        <w:t xml:space="preserve"> und der, der meinen Kopf </w:t>
      </w:r>
      <w:r>
        <w:rPr>
          <w:color w:val="808080"/>
        </w:rPr>
        <w:t>(mich)</w:t>
      </w:r>
      <w:r>
        <w:rPr/>
        <w:t xml:space="preserve"> erhebt </w:t>
      </w:r>
      <w:r>
        <w:rPr>
          <w:color w:val="808080"/>
        </w:rPr>
        <w:t>(erhöht)</w:t>
      </w:r>
      <w:r>
        <w:rPr/>
        <w:t xml:space="preserve"> </w:t>
      </w:r>
      <w:r>
        <w:rPr>
          <w:rStyle w:val="Funotenanker"/>
        </w:rPr>
        <w:footnoteReference w:customMarkFollows="1" w:id="434"/>
        <w:t>j</w:t>
      </w:r>
      <w:r>
        <w:rPr/>
        <w:t>.</w:t>
        <w:br/>
        <w:t xml:space="preserve">{{field-off:bible}} </w:t>
        <w:br/>
        <w:t>[[@BibleTOBIBLE:Ps 3:5]]</w:t>
      </w:r>
      <w:r>
        <w:rPr>
          <w:b/>
        </w:rPr>
        <w:t>5</w:t>
      </w:r>
      <w:r>
        <w:rPr/>
        <w:t xml:space="preserve"> {{field-on:bible}} </w:t>
        <w:br/>
      </w:r>
      <w:r>
        <w:rPr>
          <w:b/>
          <w:color w:val="808080"/>
        </w:rPr>
        <w:t>[</w:t>
      </w:r>
      <w:r>
        <w:rPr/>
        <w:t xml:space="preserve">Sooft </w:t>
      </w:r>
      <w:r>
        <w:rPr>
          <w:color w:val="808080"/>
        </w:rPr>
        <w:t>(Wann immer)</w:t>
      </w:r>
      <w:r>
        <w:rPr>
          <w:b/>
          <w:color w:val="808080"/>
        </w:rPr>
        <w:t>]</w:t>
      </w:r>
      <w:r>
        <w:rPr/>
        <w:t xml:space="preserve"> ich </w:t>
      </w:r>
      <w:r>
        <w:rPr>
          <w:b/>
          <w:color w:val="808080"/>
        </w:rPr>
        <w:t>[</w:t>
      </w:r>
      <w:r>
        <w:rPr/>
        <w:t>mit</w:t>
      </w:r>
      <w:r>
        <w:rPr>
          <w:b/>
          <w:color w:val="808080"/>
        </w:rPr>
        <w:t>]</w:t>
      </w:r>
      <w:r>
        <w:rPr/>
        <w:t xml:space="preserve"> meiner Stimme</w:t>
      </w:r>
      <w:r>
        <w:rPr>
          <w:rStyle w:val="Funotenanker"/>
        </w:rPr>
        <w:footnoteReference w:customMarkFollows="1" w:id="435"/>
        <w:t>k</w:t>
      </w:r>
      <w:r>
        <w:rPr/>
        <w:t xml:space="preserve"> </w:t>
      </w:r>
      <w:r>
        <w:rPr>
          <w:smallCaps/>
          <w:color w:val="FF0000"/>
        </w:rPr>
        <w:t>JHWH</w:t>
      </w:r>
      <w:r>
        <w:rPr/>
        <w:t xml:space="preserve"> anrufe </w:t>
      </w:r>
      <w:r>
        <w:rPr>
          <w:color w:val="808080"/>
        </w:rPr>
        <w:t>(anrief)</w:t>
      </w:r>
      <w:r>
        <w:rPr/>
        <w:t xml:space="preserve">, antwortet </w:t>
      </w:r>
      <w:r>
        <w:rPr>
          <w:color w:val="808080"/>
        </w:rPr>
        <w:t>(antwortete, erhörte</w:t>
      </w:r>
      <w:r>
        <w:rPr/>
        <w:t xml:space="preserve"> </w:t>
      </w:r>
      <w:r>
        <w:rPr>
          <w:rStyle w:val="Funotenanker"/>
        </w:rPr>
        <w:footnoteReference w:customMarkFollows="1" w:id="436"/>
        <w:t>l</w:t>
      </w:r>
      <w:r>
        <w:rPr/>
        <w:t xml:space="preserve"> </w:t>
      </w:r>
      <w:r>
        <w:rPr>
          <w:color w:val="808080"/>
        </w:rPr>
        <w:t>)</w:t>
      </w:r>
      <w:r>
        <w:rPr/>
        <w:t xml:space="preserve"> </w:t>
      </w:r>
      <w:r>
        <w:rPr>
          <w:rStyle w:val="Funotenanker"/>
        </w:rPr>
        <w:footnoteReference w:customMarkFollows="1" w:id="437"/>
        <w:t>m</w:t>
      </w:r>
      <w:r>
        <w:rPr/>
        <w:t xml:space="preserve"> er mir von seinem heiligen Berg </w:t>
      </w:r>
      <w:r>
        <w:rPr>
          <w:color w:val="808080"/>
        </w:rPr>
        <w:t>(vom Berg seiner Heiligkeit)</w:t>
      </w:r>
      <w:r>
        <w:rPr/>
        <w:t>.</w:t>
      </w:r>
      <w:r>
        <w:rPr>
          <w:rStyle w:val="Funotenanker"/>
        </w:rPr>
        <w:footnoteReference w:customMarkFollows="1" w:id="438"/>
        <w:t>n</w:t>
      </w:r>
      <w:r>
        <w:rPr/>
        <w:t xml:space="preserve"> </w:t>
      </w:r>
      <w:r>
        <w:rPr>
          <w:strike/>
          <w:color w:val="808080"/>
        </w:rPr>
        <w:t>{Selah}</w:t>
      </w:r>
      <w:r>
        <w:rPr/>
        <w:t xml:space="preserve"> </w:t>
        <w:br/>
        <w:t xml:space="preserve">{{field-off:bible}} </w:t>
        <w:br/>
        <w:t>[[@BibleTOBIBLE:Ps 3:6]]</w:t>
      </w:r>
      <w:r>
        <w:rPr>
          <w:b/>
        </w:rPr>
        <w:t>6</w:t>
      </w:r>
      <w:r>
        <w:rPr/>
        <w:t xml:space="preserve"> {{field-on:bible}} </w:t>
        <w:br/>
      </w:r>
      <w:r>
        <w:rPr>
          <w:b/>
          <w:color w:val="808080"/>
        </w:rPr>
        <w:t>[</w:t>
      </w:r>
      <w:r>
        <w:rPr/>
        <w:t>Wenn</w:t>
      </w:r>
      <w:r>
        <w:rPr>
          <w:b/>
          <w:color w:val="808080"/>
        </w:rPr>
        <w:t>]</w:t>
      </w:r>
      <w:r>
        <w:rPr/>
        <w:t xml:space="preserve"> ich mich hinlege und schlafe </w:t>
      </w:r>
      <w:r>
        <w:rPr>
          <w:color w:val="808080"/>
        </w:rPr>
        <w:t>(</w:t>
      </w:r>
      <w:r>
        <w:rPr>
          <w:b/>
          <w:color w:val="808080"/>
        </w:rPr>
        <w:t>[</w:t>
      </w:r>
      <w:r>
        <w:rPr>
          <w:color w:val="808080"/>
        </w:rPr>
        <w:t>wenn</w:t>
      </w:r>
      <w:r>
        <w:rPr>
          <w:b/>
          <w:color w:val="808080"/>
        </w:rPr>
        <w:t>]</w:t>
      </w:r>
      <w:r>
        <w:rPr>
          <w:color w:val="808080"/>
        </w:rPr>
        <w:t xml:space="preserve"> ich einschlafe)</w:t>
      </w:r>
      <w:r>
        <w:rPr/>
        <w:t xml:space="preserve">, erwache ich, denn </w:t>
      </w:r>
      <w:r>
        <w:rPr>
          <w:smallCaps/>
          <w:color w:val="FF0000"/>
        </w:rPr>
        <w:t>JHWH</w:t>
      </w:r>
      <w:r>
        <w:rPr/>
        <w:t xml:space="preserve"> hilft mir </w:t>
      </w:r>
      <w:r>
        <w:rPr>
          <w:color w:val="808080"/>
        </w:rPr>
        <w:t>(unterstützt mich, stützt mich)</w:t>
      </w:r>
      <w:r>
        <w:rPr/>
        <w:t>!</w:t>
        <w:br/>
        <w:br/>
        <w:t xml:space="preserve">{{field-off:bible}} </w:t>
        <w:br/>
        <w:t>[[@BibleTOBIBLE:Ps 3:7]]</w:t>
      </w:r>
      <w:r>
        <w:rPr>
          <w:b/>
        </w:rPr>
        <w:t>7</w:t>
      </w:r>
      <w:r>
        <w:rPr/>
        <w:t xml:space="preserve"> {{field-on:bible}} </w:t>
        <w:br/>
        <w:t xml:space="preserve">Ich fürchte mich nicht vor </w:t>
      </w:r>
      <w:r>
        <w:rPr>
          <w:b/>
          <w:color w:val="808080"/>
        </w:rPr>
        <w:t>[</w:t>
      </w:r>
      <w:r>
        <w:rPr/>
        <w:t>den</w:t>
      </w:r>
      <w:r>
        <w:rPr>
          <w:b/>
          <w:color w:val="808080"/>
        </w:rPr>
        <w:t>]</w:t>
      </w:r>
      <w:r>
        <w:rPr/>
        <w:t xml:space="preserve"> </w:t>
      </w:r>
      <w:r>
        <w:rPr>
          <w:rStyle w:val="Funotenanker"/>
        </w:rPr>
        <w:footnoteReference w:customMarkFollows="1" w:id="439"/>
        <w:t>o</w:t>
      </w:r>
      <w:r>
        <w:rPr/>
        <w:t xml:space="preserve"> Myriaden von Kriegern, die sich ringsum niedergelassen haben wider mich.</w:t>
        <w:br/>
        <w:t xml:space="preserve">{{field-off:bible}} </w:t>
        <w:br/>
        <w:t>[[@BibleTOBIBLE:Ps 3:8]]</w:t>
      </w:r>
      <w:r>
        <w:rPr>
          <w:b/>
        </w:rPr>
        <w:t>8</w:t>
      </w:r>
      <w:r>
        <w:rPr/>
        <w:t xml:space="preserve"> {{field-on:bible}} </w:t>
        <w:br/>
        <w:t xml:space="preserve">Erhebe dich, </w:t>
      </w:r>
      <w:r>
        <w:rPr>
          <w:smallCaps/>
          <w:color w:val="FF0000"/>
        </w:rPr>
        <w:t>JHWH</w:t>
      </w:r>
      <w:r>
        <w:rPr/>
        <w:t>; rette mich, mein Gott!</w:t>
        <w:br/>
      </w:r>
      <w:r>
        <w:rPr>
          <w:strike/>
          <w:color w:val="808080"/>
        </w:rPr>
        <w:t>{Ja!,}</w:t>
      </w:r>
      <w:r>
        <w:rPr/>
        <w:t xml:space="preserve"> </w:t>
      </w:r>
      <w:r>
        <w:rPr>
          <w:rStyle w:val="Funotenanker"/>
        </w:rPr>
        <w:footnoteReference w:customMarkFollows="1" w:id="440"/>
        <w:t>p</w:t>
      </w:r>
      <w:r>
        <w:rPr/>
        <w:t xml:space="preserve"> Zerschlage</w:t>
      </w:r>
      <w:r>
        <w:rPr>
          <w:rStyle w:val="Funotenanker"/>
        </w:rPr>
        <w:footnoteReference w:customMarkFollows="1" w:id="441"/>
        <w:t>q</w:t>
      </w:r>
      <w:r>
        <w:rPr/>
        <w:t xml:space="preserve"> </w:t>
      </w:r>
      <w:r>
        <w:rPr>
          <w:color w:val="808080"/>
        </w:rPr>
        <w:t>(Schlage auf)</w:t>
      </w:r>
      <w:r>
        <w:rPr/>
        <w:t xml:space="preserve"> </w:t>
      </w:r>
      <w:r>
        <w:rPr>
          <w:rStyle w:val="Funotenanker"/>
        </w:rPr>
        <w:footnoteReference w:customMarkFollows="1" w:id="442"/>
        <w:t>r</w:t>
      </w:r>
      <w:r>
        <w:rPr/>
        <w:t xml:space="preserve"> all meinen Feinden den Kiefer </w:t>
      </w:r>
      <w:r>
        <w:rPr>
          <w:color w:val="808080"/>
        </w:rPr>
        <w:t>(Backe)</w:t>
      </w:r>
      <w:r>
        <w:rPr/>
        <w:t>; die Zähne der Frevler zerschmettre!</w:t>
        <w:br/>
        <w:t xml:space="preserve">{{field-off:bible}} </w:t>
        <w:br/>
        <w:t>[[@BibleTOBIBLE:Ps 3:9]]</w:t>
      </w:r>
      <w:r>
        <w:rPr>
          <w:b/>
        </w:rPr>
        <w:t>9</w:t>
      </w:r>
      <w:r>
        <w:rPr/>
        <w:t xml:space="preserve"> {{field-on:bible}} </w:t>
        <w:br/>
        <w:t xml:space="preserve">Bei </w:t>
      </w:r>
      <w:r>
        <w:rPr>
          <w:smallCaps/>
          <w:color w:val="FF0000"/>
        </w:rPr>
        <w:t>JHWH</w:t>
      </w:r>
      <w:r>
        <w:rPr/>
        <w:t xml:space="preserve"> </w:t>
      </w:r>
      <w:r>
        <w:rPr>
          <w:b/>
          <w:color w:val="808080"/>
        </w:rPr>
        <w:t>[</w:t>
      </w:r>
      <w:r>
        <w:rPr/>
        <w:t xml:space="preserve">ist </w:t>
      </w:r>
      <w:r>
        <w:rPr>
          <w:color w:val="808080"/>
        </w:rPr>
        <w:t>(sei)</w:t>
      </w:r>
      <w:r>
        <w:rPr>
          <w:b/>
          <w:color w:val="808080"/>
        </w:rPr>
        <w:t>]</w:t>
      </w:r>
      <w:r>
        <w:rPr/>
        <w:t xml:space="preserve"> die Rettung </w:t>
      </w:r>
      <w:r>
        <w:rPr>
          <w:color w:val="808080"/>
        </w:rPr>
        <w:t>(Hilfe, Sieg)</w:t>
      </w:r>
      <w:r>
        <w:rPr/>
        <w:t xml:space="preserve"> </w:t>
      </w:r>
      <w:r>
        <w:rPr>
          <w:rStyle w:val="Funotenanker"/>
        </w:rPr>
        <w:footnoteReference w:customMarkFollows="1" w:id="443"/>
        <w:t>s</w:t>
      </w:r>
      <w:r>
        <w:rPr/>
        <w:t xml:space="preserve">; auf deinem Volk </w:t>
      </w:r>
      <w:r>
        <w:rPr>
          <w:b/>
          <w:color w:val="808080"/>
        </w:rPr>
        <w:t>[</w:t>
      </w:r>
      <w:r>
        <w:rPr/>
        <w:t xml:space="preserve">ist </w:t>
      </w:r>
      <w:r>
        <w:rPr>
          <w:color w:val="808080"/>
        </w:rPr>
        <w:t>(sei)</w:t>
      </w:r>
      <w:r>
        <w:rPr>
          <w:b/>
          <w:color w:val="808080"/>
        </w:rPr>
        <w:t>]</w:t>
      </w:r>
      <w:r>
        <w:rPr/>
        <w:t xml:space="preserve"> dein Segen. </w:t>
      </w:r>
      <w:r>
        <w:rPr>
          <w:strike/>
          <w:color w:val="808080"/>
        </w:rPr>
        <w:t>{Selah}</w:t>
      </w:r>
      <w:r>
        <w:rPr/>
        <w:t xml:space="preserve"> </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br/>
      </w:r>
      <w:r>
        <w:rPr>
          <w:rStyle w:val="Funotenanker"/>
        </w:rPr>
        <w:footnoteReference w:customMarkFollows="1" w:id="444"/>
        <w:t>Status</w:t>
      </w:r>
      <w:r>
        <w:rPr/>
        <w:t xml:space="preserve"> Für den Chorleiter </w:t>
      </w:r>
      <w:r>
        <w:rPr>
          <w:color w:val="808080"/>
        </w:rPr>
        <w:t>(Dirigenten, Singenden, Musizierenden)</w:t>
      </w:r>
      <w:r>
        <w:rPr/>
        <w:t>.</w:t>
      </w:r>
      <w:r>
        <w:rPr>
          <w:rStyle w:val="Funotenanker"/>
        </w:rPr>
        <w:footnoteReference w:customMarkFollows="1" w:id="445"/>
        <w:t>a</w:t>
      </w:r>
      <w:r>
        <w:rPr/>
        <w:t xml:space="preserve"> Mit Saitenspiel </w:t>
      </w:r>
      <w:r>
        <w:rPr>
          <w:color w:val="808080"/>
        </w:rPr>
        <w:t>(Flötenspiel)</w:t>
      </w:r>
      <w:r>
        <w:rPr/>
        <w:t xml:space="preserve"> </w:t>
      </w:r>
      <w:r>
        <w:rPr>
          <w:rStyle w:val="Funotenanker"/>
        </w:rPr>
        <w:footnoteReference w:customMarkFollows="1" w:id="446"/>
        <w:t>b</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4:2]]</w:t>
      </w:r>
      <w:r>
        <w:rPr>
          <w:b/>
        </w:rPr>
        <w:t>2</w:t>
      </w:r>
      <w:r>
        <w:rPr/>
        <w:t xml:space="preserve"> {{field-on:bible}} </w:t>
        <w:br/>
        <w:t xml:space="preserve">Wenn </w:t>
      </w:r>
      <w:r>
        <w:rPr>
          <w:color w:val="808080"/>
        </w:rPr>
        <w:t>(weil)</w:t>
      </w:r>
      <w:r>
        <w:rPr/>
        <w:t xml:space="preserve"> ich rufe antworte mir </w:t>
      </w:r>
      <w:r>
        <w:rPr>
          <w:color w:val="808080"/>
        </w:rPr>
        <w:t>(erhöre mich)</w:t>
      </w:r>
      <w:r>
        <w:rPr/>
        <w:t xml:space="preserve"> </w:t>
      </w:r>
      <w:r>
        <w:rPr>
          <w:rStyle w:val="Funotenanker"/>
        </w:rPr>
        <w:footnoteReference w:customMarkFollows="1" w:id="447"/>
        <w:t>c</w:t>
      </w:r>
      <w:r>
        <w:rPr/>
        <w:t xml:space="preserve">, oh du mein wahrer Gott </w:t>
      </w:r>
      <w:r>
        <w:rPr>
          <w:color w:val="808080"/>
        </w:rPr>
        <w:t>(mein gerechter Gott, Gott meines Heils, Gott meiner Gerechtigkeit)</w:t>
      </w:r>
      <w:r>
        <w:rPr/>
        <w:t xml:space="preserve"> </w:t>
      </w:r>
      <w:r>
        <w:rPr>
          <w:rStyle w:val="Funotenanker"/>
        </w:rPr>
        <w:footnoteReference w:customMarkFollows="1" w:id="448"/>
        <w:t>d</w:t>
      </w:r>
      <w:r>
        <w:rPr/>
        <w:t xml:space="preserve">! in der Enge </w:t>
      </w:r>
      <w:r>
        <w:rPr>
          <w:color w:val="808080"/>
        </w:rPr>
        <w:t>(Not)</w:t>
      </w:r>
      <w:r>
        <w:rPr/>
        <w:t xml:space="preserve"> schaff mir </w:t>
      </w:r>
      <w:r>
        <w:rPr>
          <w:color w:val="808080"/>
        </w:rPr>
        <w:t>(hast geschaffen)</w:t>
      </w:r>
      <w:r>
        <w:rPr/>
        <w:t xml:space="preserve"> </w:t>
      </w:r>
      <w:r>
        <w:rPr>
          <w:rStyle w:val="Funotenanker"/>
        </w:rPr>
        <w:footnoteReference w:customMarkFollows="1" w:id="449"/>
        <w:t>e</w:t>
      </w:r>
      <w:r>
        <w:rPr/>
        <w:t xml:space="preserve"> Weite </w:t>
      </w:r>
      <w:r>
        <w:rPr>
          <w:color w:val="808080"/>
        </w:rPr>
        <w:t>(hilf mir in meiner Not)</w:t>
      </w:r>
      <w:r>
        <w:rPr/>
        <w:t xml:space="preserve"> </w:t>
      </w:r>
      <w:r>
        <w:rPr>
          <w:rStyle w:val="Funotenanker"/>
        </w:rPr>
        <w:footnoteReference w:customMarkFollows="1" w:id="450"/>
        <w:t>f</w:t>
      </w:r>
      <w:r>
        <w:rPr/>
        <w:t xml:space="preserve"> erbarme dich meiner und höre </w:t>
      </w:r>
      <w:r>
        <w:rPr>
          <w:color w:val="808080"/>
        </w:rPr>
        <w:t>(erhöre)</w:t>
      </w:r>
      <w:r>
        <w:rPr/>
        <w:t xml:space="preserve"> </w:t>
      </w:r>
      <w:r>
        <w:rPr>
          <w:rStyle w:val="Funotenanker"/>
        </w:rPr>
        <w:footnoteReference w:customMarkFollows="1" w:id="451"/>
        <w:t>g</w:t>
      </w:r>
      <w:r>
        <w:rPr/>
        <w:t xml:space="preserve"> mein Flehen </w:t>
      </w:r>
      <w:r>
        <w:rPr>
          <w:color w:val="808080"/>
        </w:rPr>
        <w:t>(Gebet)</w:t>
      </w:r>
      <w:r>
        <w:rPr/>
        <w:t>!</w:t>
        <w:br/>
        <w:br/>
        <w:t xml:space="preserve">{{field-off:bible}} </w:t>
        <w:br/>
        <w:t>[[@BibleTOBIBLE:Ps 4:3]]</w:t>
      </w:r>
      <w:r>
        <w:rPr>
          <w:b/>
        </w:rPr>
        <w:t>3</w:t>
      </w:r>
      <w:r>
        <w:rPr/>
        <w:t xml:space="preserve"> {{field-on:bible}} </w:t>
        <w:br/>
      </w:r>
      <w:r>
        <w:rPr>
          <w:strike/>
          <w:color w:val="808080"/>
        </w:rPr>
        <w:t>{Männer}</w:t>
      </w:r>
      <w:r>
        <w:rPr/>
        <w:t xml:space="preserve"> </w:t>
      </w:r>
      <w:r>
        <w:rPr>
          <w:rStyle w:val="Funotenanker"/>
        </w:rPr>
        <w:footnoteReference w:customMarkFollows="1" w:id="452"/>
        <w:t>h</w:t>
      </w:r>
      <w:r>
        <w:rPr/>
        <w:t xml:space="preserve"> Wie lange </w:t>
      </w:r>
      <w:r>
        <w:rPr>
          <w:b/>
          <w:color w:val="808080"/>
        </w:rPr>
        <w:t>[</w:t>
      </w:r>
      <w:r>
        <w:rPr/>
        <w:t>ist</w:t>
      </w:r>
      <w:r>
        <w:rPr>
          <w:b/>
          <w:color w:val="808080"/>
        </w:rPr>
        <w:t>]</w:t>
      </w:r>
      <w:r>
        <w:rPr/>
        <w:t xml:space="preserve"> mein Herrlicher </w:t>
      </w:r>
      <w:r>
        <w:rPr>
          <w:color w:val="808080"/>
        </w:rPr>
        <w:t>(Gott, meine Ehre)</w:t>
      </w:r>
      <w:r>
        <w:rPr/>
        <w:t xml:space="preserve"> </w:t>
      </w:r>
      <w:r>
        <w:rPr>
          <w:rStyle w:val="Funotenanker"/>
        </w:rPr>
        <w:footnoteReference w:customMarkFollows="1" w:id="453"/>
        <w:t>i</w:t>
      </w:r>
      <w:r>
        <w:rPr/>
        <w:t xml:space="preserve"> geschmäht </w:t>
      </w:r>
      <w:r>
        <w:rPr>
          <w:color w:val="808080"/>
        </w:rPr>
        <w:t>(zum Schimpf)</w:t>
      </w:r>
      <w:r>
        <w:rPr/>
        <w:t xml:space="preserve"> </w:t>
      </w:r>
      <w:r>
        <w:rPr>
          <w:rStyle w:val="Funotenanker"/>
        </w:rPr>
        <w:footnoteReference w:customMarkFollows="1" w:id="454"/>
        <w:t>j</w:t>
      </w:r>
      <w:r>
        <w:rPr/>
        <w:t xml:space="preserve">? </w:t>
      </w:r>
      <w:r>
        <w:rPr>
          <w:b/>
          <w:color w:val="808080"/>
        </w:rPr>
        <w:t>[</w:t>
      </w:r>
      <w:r>
        <w:rPr/>
        <w:t>Wie lange</w:t>
      </w:r>
      <w:r>
        <w:rPr>
          <w:b/>
          <w:color w:val="808080"/>
        </w:rPr>
        <w:t>]</w:t>
      </w:r>
      <w:r>
        <w:rPr/>
        <w:t xml:space="preserve"> </w:t>
      </w:r>
      <w:r>
        <w:rPr>
          <w:rStyle w:val="Funotenanker"/>
        </w:rPr>
        <w:footnoteReference w:customMarkFollows="1" w:id="455"/>
        <w:t>k</w:t>
      </w:r>
      <w:r>
        <w:rPr/>
        <w:t xml:space="preserve"> wollt ihr Nichtiges </w:t>
      </w:r>
      <w:r>
        <w:rPr>
          <w:color w:val="808080"/>
        </w:rPr>
        <w:t>(Leeres, Abgötter)</w:t>
      </w:r>
      <w:r>
        <w:rPr/>
        <w:t xml:space="preserve"> </w:t>
      </w:r>
      <w:r>
        <w:rPr>
          <w:rStyle w:val="Funotenanker"/>
        </w:rPr>
        <w:footnoteReference w:customMarkFollows="1" w:id="456"/>
        <w:t>l</w:t>
      </w:r>
      <w:r>
        <w:rPr/>
        <w:t xml:space="preserve"> lieben? </w:t>
      </w:r>
      <w:r>
        <w:rPr>
          <w:b/>
          <w:color w:val="808080"/>
        </w:rPr>
        <w:t>[</w:t>
      </w:r>
      <w:r>
        <w:rPr/>
        <w:t>Wie lange</w:t>
      </w:r>
      <w:r>
        <w:rPr>
          <w:b/>
          <w:color w:val="808080"/>
        </w:rPr>
        <w:t>]</w:t>
      </w:r>
      <w:r>
        <w:rPr/>
        <w:t xml:space="preserve"> wollt ihr Lügen </w:t>
      </w:r>
      <w:r>
        <w:rPr>
          <w:color w:val="808080"/>
        </w:rPr>
        <w:t>(-gebilde, Götzen)</w:t>
      </w:r>
      <w:r>
        <w:rPr/>
        <w:t xml:space="preserve"> anflehen </w:t>
      </w:r>
      <w:r>
        <w:rPr>
          <w:color w:val="808080"/>
        </w:rPr>
        <w:t>(suchen)</w:t>
      </w:r>
      <w:r>
        <w:rPr/>
        <w:t xml:space="preserve">? </w:t>
      </w:r>
      <w:r>
        <w:rPr>
          <w:strike/>
          <w:color w:val="808080"/>
        </w:rPr>
        <w:t>{Sela}</w:t>
      </w:r>
      <w:r>
        <w:rPr/>
        <w:t xml:space="preserve"> </w:t>
      </w:r>
      <w:r>
        <w:rPr>
          <w:rStyle w:val="Funotenanker"/>
        </w:rPr>
        <w:footnoteReference w:customMarkFollows="1" w:id="457"/>
        <w:t>m</w:t>
      </w:r>
      <w:r>
        <w:rPr/>
        <w:t xml:space="preserve"> </w:t>
        <w:br/>
        <w:t xml:space="preserve">{{field-off:bible}} </w:t>
        <w:br/>
        <w:t>[[@BibleTOBIBLE:Ps 4:4]]</w:t>
      </w:r>
      <w:r>
        <w:rPr>
          <w:b/>
        </w:rPr>
        <w:t>4</w:t>
      </w:r>
      <w:r>
        <w:rPr/>
        <w:t xml:space="preserve"> {{field-on:bible}} </w:t>
        <w:br/>
        <w:t xml:space="preserve">Wisst, dass </w:t>
      </w:r>
      <w:r>
        <w:rPr>
          <w:smallCaps/>
          <w:color w:val="FF0000"/>
        </w:rPr>
        <w:t>JHWH</w:t>
      </w:r>
      <w:r>
        <w:rPr/>
        <w:t xml:space="preserve"> scheidet </w:t>
      </w:r>
      <w:r>
        <w:rPr>
          <w:color w:val="808080"/>
        </w:rPr>
        <w:t>(wirkt Wunder an, handelt wunderbar an)</w:t>
      </w:r>
      <w:r>
        <w:rPr/>
        <w:t xml:space="preserve"> </w:t>
      </w:r>
      <w:r>
        <w:rPr>
          <w:rStyle w:val="Funotenanker"/>
        </w:rPr>
        <w:footnoteReference w:customMarkFollows="1" w:id="458"/>
        <w:t>n</w:t>
      </w:r>
      <w:r>
        <w:rPr/>
        <w:t xml:space="preserve"> den ihm Frommen </w:t>
      </w:r>
      <w:r>
        <w:rPr>
          <w:color w:val="808080"/>
        </w:rPr>
        <w:t>(seinem Frommen)</w:t>
      </w:r>
      <w:r>
        <w:rPr/>
        <w:t xml:space="preserve"> </w:t>
      </w:r>
      <w:r>
        <w:rPr>
          <w:rStyle w:val="Funotenanker"/>
        </w:rPr>
        <w:footnoteReference w:customMarkFollows="1" w:id="459"/>
        <w:t>o</w:t>
      </w:r>
      <w:r>
        <w:rPr/>
        <w:t xml:space="preserve">; </w:t>
      </w:r>
      <w:r>
        <w:rPr>
          <w:smallCaps/>
          <w:color w:val="FF0000"/>
        </w:rPr>
        <w:t>JHWH</w:t>
      </w:r>
      <w:r>
        <w:rPr/>
        <w:t xml:space="preserve"> wird hören </w:t>
      </w:r>
      <w:r>
        <w:rPr>
          <w:color w:val="808080"/>
        </w:rPr>
        <w:t>(erhören)</w:t>
      </w:r>
      <w:r>
        <w:rPr/>
        <w:t>, wenn ich zu ihm rufe.</w:t>
        <w:br/>
        <w:t xml:space="preserve">{{field-off:bible}} </w:t>
        <w:br/>
        <w:t>[[@BibleTOBIBLE:Ps 4:5]]</w:t>
      </w:r>
      <w:r>
        <w:rPr>
          <w:b/>
        </w:rPr>
        <w:t>5</w:t>
      </w:r>
      <w:r>
        <w:rPr/>
        <w:t xml:space="preserve"> {{field-on:bible}} </w:t>
        <w:br/>
      </w:r>
      <w:r>
        <w:rPr>
          <w:b/>
          <w:color w:val="808080"/>
        </w:rPr>
        <w:t>[</w:t>
      </w:r>
      <w:r>
        <w:rPr/>
        <w:t>Wenn ihr</w:t>
      </w:r>
      <w:r>
        <w:rPr>
          <w:b/>
          <w:color w:val="808080"/>
        </w:rPr>
        <w:t>]</w:t>
      </w:r>
      <w:r>
        <w:rPr/>
        <w:t xml:space="preserve"> </w:t>
      </w:r>
      <w:r>
        <w:rPr>
          <w:rStyle w:val="Funotenanker"/>
        </w:rPr>
        <w:footnoteReference w:customMarkFollows="1" w:id="460"/>
        <w:t>p</w:t>
      </w:r>
      <w:r>
        <w:rPr/>
        <w:t xml:space="preserve"> unruhig seid </w:t>
      </w:r>
      <w:r>
        <w:rPr>
          <w:color w:val="808080"/>
        </w:rPr>
        <w:t>(seid unruhig!, Zittert!)</w:t>
      </w:r>
      <w:r>
        <w:rPr/>
        <w:t>,</w:t>
      </w:r>
      <w:r>
        <w:rPr>
          <w:rStyle w:val="Funotenanker"/>
        </w:rPr>
        <w:footnoteReference w:customMarkFollows="1" w:id="461"/>
        <w:t>q</w:t>
      </w:r>
      <w:r>
        <w:rPr/>
        <w:t xml:space="preserve">: sündigt nicht! </w:t>
      </w:r>
      <w:r>
        <w:rPr>
          <w:b/>
          <w:color w:val="808080"/>
        </w:rPr>
        <w:t>[</w:t>
      </w:r>
      <w:r>
        <w:rPr/>
        <w:t>Wenn ihr</w:t>
      </w:r>
      <w:r>
        <w:rPr>
          <w:b/>
          <w:color w:val="808080"/>
        </w:rPr>
        <w:t>]</w:t>
      </w:r>
      <w:r>
        <w:rPr/>
        <w:t xml:space="preserve"> in euren Betten in euren Herzen sprecht</w:t>
      </w:r>
      <w:r>
        <w:rPr>
          <w:rStyle w:val="Funotenanker"/>
        </w:rPr>
        <w:footnoteReference w:customMarkFollows="1" w:id="462"/>
        <w:t>r</w:t>
      </w:r>
      <w:r>
        <w:rPr/>
        <w:t xml:space="preserve"> </w:t>
      </w:r>
      <w:r>
        <w:rPr>
          <w:color w:val="808080"/>
        </w:rPr>
        <w:t>(Sprecht!)</w:t>
      </w:r>
      <w:r>
        <w:rPr/>
        <w:t xml:space="preserve">: schweigt! </w:t>
      </w:r>
      <w:r>
        <w:rPr>
          <w:strike/>
          <w:color w:val="808080"/>
        </w:rPr>
        <w:t>{Sela}</w:t>
      </w:r>
      <w:r>
        <w:rPr/>
        <w:t xml:space="preserve"> </w:t>
        <w:br/>
        <w:t xml:space="preserve">{{field-off:bible}} </w:t>
        <w:br/>
        <w:t>[[@BibleTOBIBLE:Ps 4:6]]</w:t>
      </w:r>
      <w:r>
        <w:rPr>
          <w:b/>
        </w:rPr>
        <w:t>6</w:t>
      </w:r>
      <w:r>
        <w:rPr/>
        <w:t xml:space="preserve"> {{field-on:bible}} </w:t>
        <w:br/>
        <w:t xml:space="preserve">Opfert Opfer dem wahren </w:t>
      </w:r>
      <w:r>
        <w:rPr>
          <w:b/>
          <w:color w:val="808080"/>
        </w:rPr>
        <w:t>[</w:t>
      </w:r>
      <w:r>
        <w:rPr/>
        <w:t>Gott</w:t>
      </w:r>
      <w:r>
        <w:rPr>
          <w:b/>
          <w:color w:val="808080"/>
        </w:rPr>
        <w:t>]</w:t>
      </w:r>
      <w:r>
        <w:rPr/>
        <w:t xml:space="preserve"> </w:t>
      </w:r>
      <w:r>
        <w:rPr>
          <w:color w:val="808080"/>
        </w:rPr>
        <w:t>(Opfer der Gerechtigkeit, richtige Opfer)</w:t>
      </w:r>
      <w:r>
        <w:rPr/>
        <w:t xml:space="preserve"> </w:t>
      </w:r>
      <w:r>
        <w:rPr>
          <w:rStyle w:val="Funotenanker"/>
        </w:rPr>
        <w:footnoteReference w:customMarkFollows="1" w:id="463"/>
        <w:t>s</w:t>
      </w:r>
      <w:r>
        <w:rPr/>
        <w:t xml:space="preserve"> und vertraut auf </w:t>
      </w:r>
      <w:r>
        <w:rPr>
          <w:smallCaps/>
          <w:color w:val="FF0000"/>
        </w:rPr>
        <w:t>JHWH</w:t>
      </w:r>
      <w:r>
        <w:rPr/>
        <w:t>!</w:t>
        <w:br/>
        <w:br/>
        <w:t xml:space="preserve">{{field-off:bible}} </w:t>
        <w:br/>
        <w:t>[[@BibleTOBIBLE:Ps 4:7]]</w:t>
      </w:r>
      <w:r>
        <w:rPr>
          <w:b/>
        </w:rPr>
        <w:t>7</w:t>
      </w:r>
      <w:r>
        <w:rPr/>
        <w:t xml:space="preserve"> {{field-on:bible}} </w:t>
        <w:br/>
      </w:r>
      <w:r>
        <w:rPr>
          <w:b/>
          <w:color w:val="808080"/>
        </w:rPr>
        <w:t>[</w:t>
      </w:r>
      <w:r>
        <w:rPr/>
        <w:t>Während</w:t>
      </w:r>
      <w:r>
        <w:rPr>
          <w:b/>
          <w:color w:val="808080"/>
        </w:rPr>
        <w:t>]</w:t>
      </w:r>
      <w:r>
        <w:rPr/>
        <w:t xml:space="preserve"> </w:t>
      </w:r>
      <w:r>
        <w:rPr>
          <w:rStyle w:val="Funotenanker"/>
        </w:rPr>
        <w:footnoteReference w:customMarkFollows="1" w:id="464"/>
        <w:t>t</w:t>
      </w:r>
      <w:r>
        <w:rPr/>
        <w:t xml:space="preserve"> viele sagten: „Wer wird uns Gutes erfahren </w:t>
      </w:r>
      <w:r>
        <w:rPr>
          <w:color w:val="808080"/>
        </w:rPr>
        <w:t>(sehen)</w:t>
      </w:r>
      <w:r>
        <w:rPr/>
        <w:t xml:space="preserve"> lassen </w:t>
      </w:r>
      <w:r>
        <w:rPr>
          <w:color w:val="808080"/>
        </w:rPr>
        <w:t>(Lass uns Gutes erfahren!</w:t>
      </w:r>
      <w:r>
        <w:rPr/>
        <w:t xml:space="preserve"> </w:t>
      </w:r>
      <w:r>
        <w:rPr>
          <w:rStyle w:val="Funotenanker"/>
        </w:rPr>
        <w:footnoteReference w:customMarkFollows="1" w:id="465"/>
        <w:t>u</w:t>
      </w:r>
      <w:r>
        <w:rPr/>
        <w:t xml:space="preserve"> </w:t>
      </w:r>
      <w:r>
        <w:rPr>
          <w:color w:val="808080"/>
        </w:rPr>
        <w:t>)</w:t>
      </w:r>
      <w:r>
        <w:rPr/>
        <w:t xml:space="preserve"> </w:t>
      </w:r>
      <w:r>
        <w:rPr>
          <w:b/>
          <w:color w:val="808080"/>
        </w:rPr>
        <w:t>[</w:t>
      </w:r>
      <w:r>
        <w:rPr/>
        <w:t>wo doch</w:t>
      </w:r>
      <w:r>
        <w:rPr>
          <w:b/>
          <w:color w:val="808080"/>
        </w:rPr>
        <w:t>]</w:t>
      </w:r>
      <w:r>
        <w:rPr/>
        <w:t xml:space="preserve"> </w:t>
      </w:r>
      <w:r>
        <w:rPr>
          <w:rStyle w:val="Funotenanker"/>
        </w:rPr>
        <w:footnoteReference w:customMarkFollows="1" w:id="466"/>
        <w:t>v</w:t>
      </w:r>
      <w:r>
        <w:rPr/>
        <w:t xml:space="preserve"> Geflohen ist</w:t>
      </w:r>
      <w:r>
        <w:rPr>
          <w:rStyle w:val="Funotenanker"/>
        </w:rPr>
        <w:footnoteReference w:customMarkFollows="1" w:id="467"/>
        <w:t>w</w:t>
      </w:r>
      <w:r>
        <w:rPr/>
        <w:t xml:space="preserve"> von über</w:t>
      </w:r>
      <w:r>
        <w:rPr>
          <w:rStyle w:val="Funotenanker"/>
        </w:rPr>
        <w:footnoteReference w:customMarkFollows="1" w:id="468"/>
        <w:t>x</w:t>
      </w:r>
      <w:r>
        <w:rPr/>
        <w:t xml:space="preserve"> uns das Licht deines Angesichts</w:t>
      </w:r>
      <w:r>
        <w:rPr>
          <w:rStyle w:val="Funotenanker"/>
        </w:rPr>
        <w:footnoteReference w:customMarkFollows="1" w:id="469"/>
        <w:t>y</w:t>
      </w:r>
      <w:r>
        <w:rPr/>
        <w:t xml:space="preserve">, oh </w:t>
      </w:r>
      <w:r>
        <w:rPr>
          <w:smallCaps/>
          <w:color w:val="FF0000"/>
        </w:rPr>
        <w:t>JHWH</w:t>
      </w:r>
      <w:r>
        <w:rPr/>
        <w:t>!“</w:t>
        <w:br/>
        <w:t xml:space="preserve">{{field-off:bible}} </w:t>
        <w:br/>
        <w:t>[[@BibleTOBIBLE:Ps 4:8]]</w:t>
      </w:r>
      <w:r>
        <w:rPr>
          <w:b/>
        </w:rPr>
        <w:t>8</w:t>
      </w:r>
      <w:r>
        <w:rPr/>
        <w:t xml:space="preserve"> {{field-on:bible}} </w:t>
        <w:br/>
        <w:t xml:space="preserve">Du hast gegeben </w:t>
      </w:r>
      <w:r>
        <w:rPr>
          <w:color w:val="808080"/>
        </w:rPr>
        <w:t>(erfüllt, gib!</w:t>
      </w:r>
      <w:r>
        <w:rPr/>
        <w:t xml:space="preserve"> </w:t>
      </w:r>
      <w:r>
        <w:rPr>
          <w:rStyle w:val="Funotenanker"/>
        </w:rPr>
        <w:footnoteReference w:customMarkFollows="1" w:id="470"/>
        <w:t>z</w:t>
      </w:r>
      <w:r>
        <w:rPr/>
        <w:t xml:space="preserve"> </w:t>
      </w:r>
      <w:r>
        <w:rPr>
          <w:color w:val="808080"/>
        </w:rPr>
        <w:t>)</w:t>
      </w:r>
      <w:r>
        <w:rPr/>
        <w:t xml:space="preserve"> Freude in mein Herz </w:t>
      </w:r>
      <w:r>
        <w:rPr>
          <w:strike/>
          <w:color w:val="808080"/>
        </w:rPr>
        <w:t>{mehr als}</w:t>
      </w:r>
      <w:r>
        <w:rPr/>
        <w:t xml:space="preserve"> </w:t>
      </w:r>
      <w:r>
        <w:rPr>
          <w:rStyle w:val="Funotenanker"/>
        </w:rPr>
        <w:footnoteReference w:customMarkFollows="1" w:id="471"/>
        <w:t>aa</w:t>
      </w:r>
      <w:r>
        <w:rPr/>
        <w:t xml:space="preserve"> zur Zeit, als </w:t>
      </w:r>
      <w:r>
        <w:rPr>
          <w:strike/>
          <w:color w:val="808080"/>
        </w:rPr>
        <w:t>{ihr}</w:t>
      </w:r>
      <w:r>
        <w:rPr/>
        <w:t xml:space="preserve"> </w:t>
      </w:r>
      <w:r>
        <w:rPr>
          <w:rStyle w:val="Funotenanker"/>
        </w:rPr>
        <w:footnoteReference w:customMarkFollows="1" w:id="472"/>
        <w:t>ab</w:t>
      </w:r>
      <w:r>
        <w:rPr/>
        <w:t xml:space="preserve"> Korn und </w:t>
      </w:r>
      <w:r>
        <w:rPr>
          <w:strike/>
          <w:color w:val="808080"/>
        </w:rPr>
        <w:t>{ihr}</w:t>
      </w:r>
      <w:r>
        <w:rPr/>
        <w:t xml:space="preserve"> Wein zahlreich war </w:t>
      </w:r>
      <w:r>
        <w:rPr>
          <w:color w:val="808080"/>
        </w:rPr>
        <w:t>(wurde)</w:t>
      </w:r>
      <w:r>
        <w:rPr/>
        <w:t>.</w:t>
        <w:br/>
        <w:t xml:space="preserve">{{field-off:bible}} </w:t>
        <w:br/>
        <w:t>[[@BibleTOBIBLE:Ps 4:9]]</w:t>
      </w:r>
      <w:r>
        <w:rPr>
          <w:b/>
        </w:rPr>
        <w:t>9</w:t>
      </w:r>
      <w:r>
        <w:rPr/>
        <w:t xml:space="preserve"> {{field-on:bible}} </w:t>
        <w:br/>
        <w:t xml:space="preserve">In Frieden kann </w:t>
      </w:r>
      <w:r>
        <w:rPr>
          <w:color w:val="808080"/>
        </w:rPr>
        <w:t>(werde)</w:t>
      </w:r>
      <w:r>
        <w:rPr/>
        <w:t xml:space="preserve"> ich mich hinlegen und sofort</w:t>
      </w:r>
      <w:r>
        <w:rPr>
          <w:rStyle w:val="Funotenanker"/>
        </w:rPr>
        <w:footnoteReference w:customMarkFollows="1" w:id="473"/>
        <w:t>ac</w:t>
      </w:r>
      <w:r>
        <w:rPr/>
        <w:t xml:space="preserve"> einschlafen denn du, oh </w:t>
      </w:r>
      <w:r>
        <w:rPr>
          <w:smallCaps/>
          <w:color w:val="FF0000"/>
        </w:rPr>
        <w:t>JHWH</w:t>
      </w:r>
      <w:r>
        <w:rPr/>
        <w:t xml:space="preserve">, lässt mich ruhen </w:t>
      </w:r>
      <w:r>
        <w:rPr>
          <w:color w:val="808080"/>
        </w:rPr>
        <w:t>(wohnen)</w:t>
      </w:r>
      <w:r>
        <w:rPr/>
        <w:t xml:space="preserve"> allein </w:t>
      </w:r>
      <w:r>
        <w:rPr>
          <w:color w:val="808080"/>
        </w:rPr>
        <w:t>(ungestört)</w:t>
      </w:r>
      <w:r>
        <w:rPr/>
        <w:t xml:space="preserve"> </w:t>
      </w:r>
      <w:r>
        <w:rPr>
          <w:rStyle w:val="Funotenanker"/>
        </w:rPr>
        <w:footnoteReference w:customMarkFollows="1" w:id="474"/>
        <w:t>ad</w:t>
      </w:r>
      <w:r>
        <w:rPr/>
        <w:t xml:space="preserve">, </w:t>
      </w:r>
      <w:r>
        <w:rPr>
          <w:b/>
          <w:color w:val="808080"/>
        </w:rPr>
        <w:t>[</w:t>
      </w:r>
      <w:r>
        <w:rPr/>
        <w:t>und</w:t>
      </w:r>
      <w:r>
        <w:rPr>
          <w:b/>
          <w:color w:val="808080"/>
        </w:rPr>
        <w:t>]</w:t>
      </w:r>
      <w:r>
        <w:rPr/>
        <w:t xml:space="preserve"> in Sicherheit </w:t>
      </w:r>
      <w:r>
        <w:rPr>
          <w:color w:val="808080"/>
        </w:rPr>
        <w:t>(sicher)</w:t>
      </w:r>
      <w:r>
        <w:rPr/>
        <w:t>.</w:t>
        <w:br/>
        <w:t xml:space="preserve">{{field-off:bible}} </w:t>
      </w:r>
    </w:p>
    <w:p>
      <w:pPr>
        <w:pStyle w:val="Berschrift3"/>
        <w:rPr/>
      </w:pPr>
      <w:r>
        <w:rPr/>
        <w:t>[[@BibleTOBIBLE:Ps 5]]Kapitel 5</w:t>
      </w:r>
    </w:p>
    <w:p>
      <w:pPr>
        <w:pStyle w:val="Textkrper"/>
        <w:rPr/>
      </w:pPr>
      <w:r>
        <w:rPr/>
        <w:t xml:space="preserve">Psalm 5 ist ein Gebet zur Vorbereitung auf eine Wallfahrt zum Tempel, die der Psalmist aufgrund der Befeindungen vonseiten seiner Gegner unternehmen will. V. 1 ist die „Überschrift“. Diese Psalmüberschriften wurde nachträglich hinzugefügt; über ihren Sinn weiß man immer noch nichts Genaueres und auch die Bedeutung der einzelnen Vokabeln ist hier wie oft unklar. Doch da es sich um nachträgliche Hinzufügungen handelt, wirkt sich das glücklicherweise nicht allzu nachteilig auf das Verständnis des Psalms im Ganzen aus. Der eigentliche Psalm beginnt in Vv. 2-3a mit der „Invokation“: Gott wird angerufen, damit er dem folgenden Gebet Gehör schenken möge. Der Anlass für den Psalm wird dann in Vv. 3b-4 genannt: Der Beter will eine Wallfahrt zum Tempel unternehmen, damit Gott dort „seine Stimme und seine Gebete“ vernehmen kann. Abschnitte wie Vv. 5-7 finden sich häufig in den Psalmen: Der Beter unterstützt seine (hier noch gar nicht vorgetragene) Bitte, indem er an bestimmte Wesenszüge Gottes appelliert; hier nämlich die Tatsache, dass Gott Übeltäter verabscheut. Vv. 8f. verdichten zunächst einen Kontrast zwischen diesen Übeltätern und dem Beter: Ihn verabscheut Gott nicht, sondern er darf sich ihm sogar in seinem Tempel nahen und sein Gebet vorbringen. Das ist es auch, was er vorhat, und bringt er in V. 9 den ersten Teil seiner Bitte vor: Er bittet um Gottes Schutz auf diesem Weg. Dieses Schutzes bedarf er „wegen seiner Feinde“, und von diesen handeln dann noch mal Vv. 10f.. V. 10 funktioniert ganz ähnlich wie Vv. 5-7: Noch einmal wird Gott ins Gedächtnis gerufen, wie verabscheuungswürdig diese Übeltäter doch sind. Und in V. 11 folgt dann der zweite Teil der Bitte: Die Übeltäter sollen bestraft werden, sollen untergehen und fortgetrieben werden - weil sie Gott nicht gehorcht haben. Und ähnlich wie Vv. 5-7.10 funktionieren schließlich auch Vv. 12f.: Wieder wird an Gott appelliert, indem bestimmte Charakterzüge Gottes hervorgehoben werden. Wegen dieser allseits bekannten Charakterzüge weiß der Beter sogar bereits, wie die Sache ausgehen wird: Wer bei Gott Zuflucht sucht und wer </w:t>
      </w:r>
      <w:r>
        <w:rPr>
          <w:rStyle w:val="Funotenanker"/>
        </w:rPr>
        <w:footnoteReference w:customMarkFollows="1" w:id="475"/>
        <w:t>a</w:t>
      </w:r>
      <w:r>
        <w:rPr/>
        <w:t xml:space="preserve">-Verehrer ist - kurz: die „Gerechten“ -, also er, wird von Gott erhört werden. Er wird sich freuen können, jubeln und jauchzen, weil Gott ihn segnen, schützen und mit Huld krönen wird. Und mit diesem den Psalm abschließenden Appell ist er bestens gerüstet für seine Wallfahrt, die auf jeden Fall gelingen und Erfolg bringen wird. </w:t>
        <w:br/>
        <w:br/>
        <w:t>[[@BibleTOBIBLE:Ps 5:1]]</w:t>
      </w:r>
      <w:r>
        <w:rPr>
          <w:b/>
        </w:rPr>
        <w:t>1</w:t>
      </w:r>
      <w:r>
        <w:rPr/>
        <w:t xml:space="preserve"> {{field-on:bible}} </w:t>
      </w:r>
      <w:r>
        <w:rPr>
          <w:rStyle w:val="Funotenanker"/>
        </w:rPr>
        <w:footnoteReference w:customMarkFollows="1" w:id="476"/>
        <w:t>Status</w:t>
      </w:r>
      <w:r>
        <w:rPr/>
        <w:t xml:space="preserve"> Für den Chorleiter </w:t>
      </w:r>
      <w:r>
        <w:rPr>
          <w:color w:val="808080"/>
        </w:rPr>
        <w:t>(Dirigenten, Singenden, Musizierenden)</w:t>
      </w:r>
      <w:r>
        <w:rPr/>
        <w:t>.</w:t>
      </w:r>
      <w:r>
        <w:rPr>
          <w:rStyle w:val="Funotenanker"/>
        </w:rPr>
        <w:footnoteReference w:customMarkFollows="1" w:id="477"/>
        <w:t>b</w:t>
      </w:r>
      <w:r>
        <w:rPr/>
        <w:t xml:space="preserve"> Zu Flötenspiel </w:t>
      </w:r>
      <w:r>
        <w:rPr>
          <w:color w:val="808080"/>
        </w:rPr>
        <w:t>(nach „das Erbe“)</w:t>
      </w:r>
      <w:r>
        <w:rPr/>
        <w:t>.</w:t>
      </w:r>
      <w:r>
        <w:rPr>
          <w:rStyle w:val="Funotenanker"/>
        </w:rPr>
        <w:footnoteReference w:customMarkFollows="1" w:id="478"/>
        <w:t>c</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5:2]]</w:t>
      </w:r>
      <w:r>
        <w:rPr>
          <w:b/>
        </w:rPr>
        <w:t>2</w:t>
      </w:r>
      <w:r>
        <w:rPr/>
        <w:t xml:space="preserve"> {{field-on:bible}} </w:t>
        <w:br/>
        <w:t xml:space="preserve">Meine Worte höre </w:t>
      </w:r>
      <w:r>
        <w:rPr>
          <w:color w:val="808080"/>
        </w:rPr>
        <w:t>(erhöre mich)</w:t>
      </w:r>
      <w:r>
        <w:rPr/>
        <w:t>,</w:t>
      </w:r>
      <w:r>
        <w:rPr>
          <w:rStyle w:val="Funotenanker"/>
        </w:rPr>
        <w:footnoteReference w:customMarkFollows="1" w:id="479"/>
        <w:t>d</w:t>
      </w:r>
      <w:r>
        <w:rPr/>
        <w:t xml:space="preserve"> </w:t>
      </w:r>
      <w:r>
        <w:rPr>
          <w:smallCaps/>
          <w:color w:val="FF0000"/>
        </w:rPr>
        <w:t>JHWH</w:t>
      </w:r>
      <w:r>
        <w:rPr/>
        <w:t xml:space="preserve">! achte auf </w:t>
      </w:r>
      <w:r>
        <w:rPr>
          <w:color w:val="808080"/>
        </w:rPr>
        <w:t>(erhöre)</w:t>
      </w:r>
      <w:r>
        <w:rPr/>
        <w:t xml:space="preserve"> mein Flehen </w:t>
      </w:r>
      <w:r>
        <w:rPr>
          <w:color w:val="808080"/>
        </w:rPr>
        <w:t>(Grübeln, Murmeln)</w:t>
      </w:r>
      <w:r>
        <w:rPr/>
        <w:t>!</w:t>
      </w:r>
      <w:r>
        <w:rPr>
          <w:rStyle w:val="Funotenanker"/>
        </w:rPr>
        <w:footnoteReference w:customMarkFollows="1" w:id="480"/>
        <w:t>e</w:t>
      </w:r>
      <w:r>
        <w:rPr/>
        <w:t xml:space="preserve"> </w:t>
        <w:br/>
        <w:t xml:space="preserve">{{field-off:bible}} </w:t>
        <w:br/>
        <w:t>[[@BibleTOBIBLE:Ps 5:3]]</w:t>
      </w:r>
      <w:r>
        <w:rPr>
          <w:b/>
        </w:rPr>
        <w:t>3</w:t>
      </w:r>
      <w:r>
        <w:rPr/>
        <w:t xml:space="preserve"> {{field-on:bible}} </w:t>
        <w:br/>
        <w:t xml:space="preserve">Lausche auf </w:t>
      </w:r>
      <w:r>
        <w:rPr>
          <w:color w:val="808080"/>
        </w:rPr>
        <w:t>(Erhöre)</w:t>
      </w:r>
      <w:r>
        <w:rPr/>
        <w:t xml:space="preserve"> mein Geschrei </w:t>
      </w:r>
      <w:r>
        <w:rPr>
          <w:color w:val="808080"/>
        </w:rPr>
        <w:t>(Rufen, Stimme)</w:t>
      </w:r>
      <w:r>
        <w:rPr/>
        <w:t xml:space="preserve"> um Hilfe!</w:t>
        <w:br/>
        <w:t xml:space="preserve">Mein König und mein Gott: </w:t>
      </w:r>
      <w:r>
        <w:rPr>
          <w:strike/>
          <w:color w:val="808080"/>
        </w:rPr>
        <w:t>{Oh,}</w:t>
      </w:r>
      <w:r>
        <w:rPr/>
        <w:t xml:space="preserve"> </w:t>
      </w:r>
      <w:r>
        <w:rPr>
          <w:color w:val="808080"/>
        </w:rPr>
        <w:t>(weil)</w:t>
      </w:r>
      <w:r>
        <w:rPr/>
        <w:t xml:space="preserve"> zu dir werde ich </w:t>
      </w:r>
      <w:r>
        <w:rPr>
          <w:color w:val="808080"/>
        </w:rPr>
        <w:t>(will ich)</w:t>
      </w:r>
      <w:r>
        <w:rPr/>
        <w:t xml:space="preserve"> rufen. </w:t>
        <w:br/>
        <w:t xml:space="preserve">{{field-off:bible}} </w:t>
        <w:br/>
        <w:t>[[@BibleTOBIBLE:Ps 5:4]]</w:t>
      </w:r>
      <w:r>
        <w:rPr>
          <w:b/>
        </w:rPr>
        <w:t>4</w:t>
      </w:r>
      <w:r>
        <w:rPr/>
        <w:t xml:space="preserve"> {{field-on:bible}} </w:t>
        <w:br/>
      </w:r>
      <w:r>
        <w:rPr>
          <w:smallCaps/>
          <w:color w:val="FF0000"/>
        </w:rPr>
        <w:t>JHWH</w:t>
      </w:r>
      <w:r>
        <w:rPr/>
        <w:t xml:space="preserve">: </w:t>
      </w:r>
      <w:r>
        <w:rPr>
          <w:b/>
          <w:color w:val="808080"/>
        </w:rPr>
        <w:t>[</w:t>
      </w:r>
      <w:r>
        <w:rPr/>
        <w:t>Schon</w:t>
      </w:r>
      <w:r>
        <w:rPr>
          <w:b/>
          <w:color w:val="808080"/>
        </w:rPr>
        <w:t>]</w:t>
      </w:r>
      <w:r>
        <w:rPr/>
        <w:t xml:space="preserve"> am Morgen </w:t>
      </w:r>
      <w:r>
        <w:rPr>
          <w:color w:val="808080"/>
        </w:rPr>
        <w:t>(jeden Morgen, Morgen)</w:t>
      </w:r>
      <w:r>
        <w:rPr/>
        <w:t xml:space="preserve"> wirst </w:t>
      </w:r>
      <w:r>
        <w:rPr>
          <w:color w:val="808080"/>
        </w:rPr>
        <w:t>(sollst, höre!)</w:t>
      </w:r>
      <w:r>
        <w:rPr/>
        <w:t xml:space="preserve"> du meine Stimme hören, </w:t>
      </w:r>
      <w:r>
        <w:rPr>
          <w:b/>
          <w:color w:val="808080"/>
        </w:rPr>
        <w:t>[</w:t>
      </w:r>
      <w:r>
        <w:rPr/>
        <w:t>Schon</w:t>
      </w:r>
      <w:r>
        <w:rPr>
          <w:b/>
          <w:color w:val="808080"/>
        </w:rPr>
        <w:t>]</w:t>
      </w:r>
      <w:r>
        <w:rPr/>
        <w:t xml:space="preserve"> Am Morgen </w:t>
      </w:r>
      <w:r>
        <w:rPr>
          <w:color w:val="808080"/>
        </w:rPr>
        <w:t>(jeden Morgen, Morgen)</w:t>
      </w:r>
      <w:r>
        <w:rPr/>
        <w:t xml:space="preserve"> werde </w:t>
      </w:r>
      <w:r>
        <w:rPr>
          <w:color w:val="808080"/>
        </w:rPr>
        <w:t>(will)</w:t>
      </w:r>
      <w:r>
        <w:rPr/>
        <w:t xml:space="preserve"> ich zu dir beten </w:t>
      </w:r>
      <w:r>
        <w:rPr>
          <w:color w:val="808080"/>
        </w:rPr>
        <w:t xml:space="preserve">(dir </w:t>
      </w:r>
      <w:r>
        <w:rPr>
          <w:b/>
          <w:color w:val="808080"/>
        </w:rPr>
        <w:t>[</w:t>
      </w:r>
      <w:r>
        <w:rPr>
          <w:color w:val="808080"/>
        </w:rPr>
        <w:t>Opfer/Gebete</w:t>
      </w:r>
      <w:r>
        <w:rPr>
          <w:b/>
          <w:color w:val="808080"/>
        </w:rPr>
        <w:t>]</w:t>
      </w:r>
      <w:r>
        <w:rPr>
          <w:color w:val="808080"/>
        </w:rPr>
        <w:t xml:space="preserve"> bereiten, mich bereit machen für dich)</w:t>
      </w:r>
      <w:r>
        <w:rPr/>
        <w:t xml:space="preserve"> </w:t>
      </w:r>
      <w:r>
        <w:rPr>
          <w:rStyle w:val="Funotenanker"/>
        </w:rPr>
        <w:footnoteReference w:customMarkFollows="1" w:id="481"/>
        <w:t>f</w:t>
      </w:r>
      <w:r>
        <w:rPr/>
        <w:t xml:space="preserve"> und </w:t>
      </w:r>
      <w:r>
        <w:rPr>
          <w:b/>
          <w:color w:val="808080"/>
        </w:rPr>
        <w:t>[</w:t>
      </w:r>
      <w:r>
        <w:rPr/>
        <w:t>auf dich</w:t>
      </w:r>
      <w:r>
        <w:rPr>
          <w:b/>
          <w:color w:val="808080"/>
        </w:rPr>
        <w:t>]</w:t>
      </w:r>
      <w:r>
        <w:rPr/>
        <w:t xml:space="preserve"> </w:t>
      </w:r>
      <w:r>
        <w:rPr>
          <w:rStyle w:val="Funotenanker"/>
        </w:rPr>
        <w:footnoteReference w:customMarkFollows="1" w:id="482"/>
        <w:t>g</w:t>
      </w:r>
      <w:r>
        <w:rPr/>
        <w:t xml:space="preserve"> warten.</w:t>
        <w:br/>
        <w:br/>
        <w:t xml:space="preserve">{{field-off:bible}} </w:t>
        <w:br/>
        <w:t>[[@BibleTOBIBLE:Ps 5:5]]</w:t>
      </w:r>
      <w:r>
        <w:rPr>
          <w:b/>
        </w:rPr>
        <w:t>5</w:t>
      </w:r>
      <w:r>
        <w:rPr/>
        <w:t xml:space="preserve"> {{field-on:bible}} </w:t>
        <w:br/>
      </w:r>
      <w:r>
        <w:rPr>
          <w:strike/>
          <w:color w:val="808080"/>
        </w:rPr>
        <w:t>{Denn}</w:t>
      </w:r>
      <w:r>
        <w:rPr/>
        <w:t xml:space="preserve"> </w:t>
      </w:r>
      <w:r>
        <w:rPr>
          <w:rStyle w:val="Funotenanker"/>
        </w:rPr>
        <w:footnoteReference w:customMarkFollows="1" w:id="483"/>
        <w:t>h</w:t>
      </w:r>
      <w:r>
        <w:rPr/>
        <w:t xml:space="preserve"> </w:t>
      </w:r>
      <w:r>
        <w:rPr>
          <w:color w:val="808080"/>
        </w:rPr>
        <w:t>(Weil)</w:t>
      </w:r>
      <w:r>
        <w:rPr/>
        <w:t xml:space="preserve"> Du </w:t>
      </w:r>
      <w:r>
        <w:rPr>
          <w:b/>
          <w:color w:val="808080"/>
        </w:rPr>
        <w:t>[</w:t>
      </w:r>
      <w:r>
        <w:rPr/>
        <w:t>bist</w:t>
      </w:r>
      <w:r>
        <w:rPr>
          <w:b/>
          <w:color w:val="808080"/>
        </w:rPr>
        <w:t>]</w:t>
      </w:r>
      <w:r>
        <w:rPr/>
        <w:t xml:space="preserve"> kein Gott, dem Böse </w:t>
      </w:r>
      <w:r>
        <w:rPr>
          <w:color w:val="808080"/>
        </w:rPr>
        <w:t>(Böses)</w:t>
      </w:r>
      <w:r>
        <w:rPr/>
        <w:t xml:space="preserve"> </w:t>
      </w:r>
      <w:r>
        <w:rPr>
          <w:rStyle w:val="Funotenanker"/>
        </w:rPr>
        <w:footnoteReference w:customMarkFollows="1" w:id="484"/>
        <w:t>i</w:t>
      </w:r>
      <w:r>
        <w:rPr/>
        <w:t xml:space="preserve"> gefallen </w:t>
      </w:r>
      <w:r>
        <w:rPr>
          <w:color w:val="808080"/>
        </w:rPr>
        <w:t>(der Böses will)</w:t>
      </w:r>
      <w:r>
        <w:rPr/>
        <w:t xml:space="preserve">; es dürfen </w:t>
      </w:r>
      <w:r>
        <w:rPr>
          <w:color w:val="808080"/>
        </w:rPr>
        <w:t>(werden)</w:t>
      </w:r>
      <w:r>
        <w:rPr/>
        <w:t xml:space="preserve"> nicht wohnen bei dir Schlechte </w:t>
      </w:r>
      <w:r>
        <w:rPr>
          <w:color w:val="808080"/>
        </w:rPr>
        <w:t>(Schlechtes)</w:t>
      </w:r>
      <w:r>
        <w:rPr/>
        <w:t xml:space="preserve">; </w:t>
        <w:br/>
        <w:t xml:space="preserve">{{field-off:bible}} </w:t>
        <w:br/>
        <w:t>[[@BibleTOBIBLE:Ps 5:6]]</w:t>
      </w:r>
      <w:r>
        <w:rPr>
          <w:b/>
        </w:rPr>
        <w:t>6</w:t>
      </w:r>
      <w:r>
        <w:rPr/>
        <w:t xml:space="preserve"> {{field-on:bible}} </w:t>
        <w:br/>
        <w:t xml:space="preserve">es dürfen </w:t>
      </w:r>
      <w:r>
        <w:rPr>
          <w:color w:val="808080"/>
        </w:rPr>
        <w:t>(werden)</w:t>
      </w:r>
      <w:r>
        <w:rPr/>
        <w:t xml:space="preserve"> nicht stehen Frevler </w:t>
      </w:r>
      <w:r>
        <w:rPr>
          <w:color w:val="808080"/>
        </w:rPr>
        <w:t>(Angeber, Törichte, Preisende)</w:t>
      </w:r>
      <w:r>
        <w:rPr/>
        <w:t xml:space="preserve"> </w:t>
      </w:r>
      <w:r>
        <w:rPr>
          <w:rStyle w:val="Funotenanker"/>
        </w:rPr>
        <w:footnoteReference w:customMarkFollows="1" w:id="485"/>
        <w:t>j</w:t>
      </w:r>
      <w:r>
        <w:rPr/>
        <w:t xml:space="preserve"> vor deinen Augen.</w:t>
      </w:r>
      <w:r>
        <w:rPr>
          <w:rStyle w:val="Funotenanker"/>
        </w:rPr>
        <w:footnoteReference w:customMarkFollows="1" w:id="486"/>
        <w:t>k</w:t>
      </w:r>
      <w:r>
        <w:rPr/>
        <w:t xml:space="preserve"> </w:t>
        <w:br/>
        <w:t xml:space="preserve">Du hasst alle Tuer von Unheil </w:t>
      </w:r>
      <w:r>
        <w:rPr>
          <w:color w:val="808080"/>
        </w:rPr>
        <w:t>(Unholde)</w:t>
      </w:r>
      <w:r>
        <w:rPr/>
        <w:t xml:space="preserve"> </w:t>
      </w:r>
      <w:r>
        <w:rPr>
          <w:rStyle w:val="Funotenanker"/>
        </w:rPr>
        <w:footnoteReference w:customMarkFollows="1" w:id="487"/>
        <w:t>l</w:t>
      </w:r>
      <w:r>
        <w:rPr/>
        <w:t>:</w:t>
      </w:r>
      <w:r>
        <w:rPr>
          <w:rStyle w:val="Funotenanker"/>
        </w:rPr>
        <w:footnoteReference w:customMarkFollows="1" w:id="488"/>
        <w:t>m</w:t>
      </w:r>
      <w:r>
        <w:rPr/>
        <w:t xml:space="preserve"> </w:t>
        <w:br/>
        <w:t xml:space="preserve">{{field-off:bible}} </w:t>
        <w:br/>
        <w:t>[[@BibleTOBIBLE:Ps 5:7]]</w:t>
      </w:r>
      <w:r>
        <w:rPr>
          <w:b/>
        </w:rPr>
        <w:t>7</w:t>
      </w:r>
      <w:r>
        <w:rPr/>
        <w:t xml:space="preserve"> {{field-on:bible}} </w:t>
        <w:br/>
        <w:t xml:space="preserve">Du wirst vernichten Sprechende von Lügen </w:t>
      </w:r>
      <w:r>
        <w:rPr>
          <w:color w:val="808080"/>
        </w:rPr>
        <w:t>(Lügner)</w:t>
      </w:r>
      <w:r>
        <w:rPr/>
        <w:t xml:space="preserve"> Männer der Bluttat </w:t>
      </w:r>
      <w:r>
        <w:rPr>
          <w:color w:val="808080"/>
        </w:rPr>
        <w:t>(Gewaltverbrecher)</w:t>
      </w:r>
      <w:r>
        <w:rPr/>
        <w:t xml:space="preserve"> und Männer des Betrugs </w:t>
      </w:r>
      <w:r>
        <w:rPr>
          <w:color w:val="808080"/>
        </w:rPr>
        <w:t>(Betrüger)</w:t>
      </w:r>
      <w:r>
        <w:rPr/>
        <w:t xml:space="preserve"> verabscheut </w:t>
      </w:r>
      <w:r>
        <w:rPr>
          <w:color w:val="808080"/>
        </w:rPr>
        <w:t>(verabscheust du,)</w:t>
      </w:r>
      <w:r>
        <w:rPr/>
        <w:t xml:space="preserve"> </w:t>
      </w:r>
      <w:r>
        <w:rPr>
          <w:rStyle w:val="Funotenanker"/>
        </w:rPr>
        <w:footnoteReference w:customMarkFollows="1" w:id="489"/>
        <w:t>n</w:t>
      </w:r>
      <w:r>
        <w:rPr/>
        <w:t xml:space="preserve"> </w:t>
      </w:r>
      <w:r>
        <w:rPr>
          <w:smallCaps/>
          <w:color w:val="FF0000"/>
        </w:rPr>
        <w:t>JHWH</w:t>
      </w:r>
      <w:r>
        <w:rPr/>
        <w:t>.</w:t>
        <w:br/>
        <w:br/>
        <w:t xml:space="preserve">{{field-off:bible}} </w:t>
        <w:br/>
        <w:t>[[@BibleTOBIBLE:Ps 5:8]]</w:t>
      </w:r>
      <w:r>
        <w:rPr>
          <w:b/>
        </w:rPr>
        <w:t>8</w:t>
      </w:r>
      <w:r>
        <w:rPr/>
        <w:t xml:space="preserve"> {{field-on:bible}} </w:t>
        <w:br/>
        <w:t>Ich dagegen darf in der Menge deiner Gnade</w:t>
      </w:r>
      <w:r>
        <w:rPr>
          <w:rStyle w:val="Funotenanker"/>
        </w:rPr>
        <w:footnoteReference w:customMarkFollows="1" w:id="490"/>
        <w:t>o</w:t>
      </w:r>
      <w:r>
        <w:rPr/>
        <w:t xml:space="preserve"> </w:t>
      </w:r>
      <w:r>
        <w:rPr>
          <w:color w:val="808080"/>
        </w:rPr>
        <w:t>(in deiner großen Gnade/Treue/Liebe)</w:t>
      </w:r>
      <w:r>
        <w:rPr/>
        <w:t xml:space="preserve"> in dein Haus kommen; ich darf </w:t>
      </w:r>
      <w:r>
        <w:rPr>
          <w:b/>
          <w:color w:val="808080"/>
        </w:rPr>
        <w:t>[</w:t>
      </w:r>
      <w:r>
        <w:rPr/>
        <w:t>dich</w:t>
      </w:r>
      <w:r>
        <w:rPr>
          <w:b/>
          <w:color w:val="808080"/>
        </w:rPr>
        <w:t>]</w:t>
      </w:r>
      <w:r>
        <w:rPr/>
        <w:t xml:space="preserve"> in </w:t>
      </w:r>
      <w:r>
        <w:rPr>
          <w:color w:val="808080"/>
        </w:rPr>
        <w:t>(zu)</w:t>
      </w:r>
      <w:r>
        <w:rPr/>
        <w:t xml:space="preserve"> </w:t>
      </w:r>
      <w:r>
        <w:rPr>
          <w:rStyle w:val="Funotenanker"/>
        </w:rPr>
        <w:footnoteReference w:customMarkFollows="1" w:id="491"/>
        <w:t>p</w:t>
      </w:r>
      <w:r>
        <w:rPr/>
        <w:t xml:space="preserve"> deinem heiligen Tempel </w:t>
      </w:r>
      <w:r>
        <w:rPr>
          <w:color w:val="808080"/>
        </w:rPr>
        <w:t>(im Tempel deiner Heiligkeit)</w:t>
      </w:r>
      <w:r>
        <w:rPr/>
        <w:t xml:space="preserve"> anbeten in deiner Furcht.</w:t>
        <w:br/>
        <w:t xml:space="preserve">{{field-off:bible}} </w:t>
        <w:br/>
        <w:t>[[@BibleTOBIBLE:Ps 5:9]]</w:t>
      </w:r>
      <w:r>
        <w:rPr>
          <w:b/>
        </w:rPr>
        <w:t>9</w:t>
      </w:r>
      <w:r>
        <w:rPr/>
        <w:t xml:space="preserve"> {{field-on:bible}} </w:t>
        <w:br/>
      </w:r>
      <w:r>
        <w:rPr>
          <w:smallCaps/>
          <w:color w:val="FF0000"/>
        </w:rPr>
        <w:t>JHWH</w:t>
      </w:r>
      <w:r>
        <w:rPr/>
        <w:t xml:space="preserve">, führe </w:t>
      </w:r>
      <w:r>
        <w:rPr>
          <w:color w:val="808080"/>
        </w:rPr>
        <w:t>(begleite mich schützend, schütze)</w:t>
      </w:r>
      <w:r>
        <w:rPr/>
        <w:t xml:space="preserve"> mich in deiner Gerechtigkeit </w:t>
      </w:r>
      <w:r>
        <w:rPr>
          <w:color w:val="808080"/>
        </w:rPr>
        <w:t>(Wahrhaftigkeit, Wohlwollen, du Gerechter)</w:t>
      </w:r>
      <w:r>
        <w:rPr/>
        <w:t xml:space="preserve"> um meiner Feinde willen </w:t>
      </w:r>
      <w:r>
        <w:rPr>
          <w:color w:val="808080"/>
        </w:rPr>
        <w:t>(wegen meiner Feinde)</w:t>
      </w:r>
      <w:r>
        <w:rPr/>
        <w:t xml:space="preserve"> </w:t>
      </w:r>
      <w:r>
        <w:rPr>
          <w:rStyle w:val="Funotenanker"/>
        </w:rPr>
        <w:footnoteReference w:customMarkFollows="1" w:id="492"/>
        <w:t>q</w:t>
      </w:r>
      <w:r>
        <w:rPr/>
        <w:t xml:space="preserve"> ebne vor mir </w:t>
      </w:r>
      <w:r>
        <w:rPr>
          <w:color w:val="808080"/>
        </w:rPr>
        <w:t>(vor meinen Augen)</w:t>
      </w:r>
      <w:r>
        <w:rPr/>
        <w:t xml:space="preserve"> deinen Weg </w:t>
      </w:r>
      <w:r>
        <w:rPr>
          <w:color w:val="808080"/>
        </w:rPr>
        <w:t>(deine Weisung, den Weg zu dir)</w:t>
      </w:r>
      <w:r>
        <w:rPr/>
        <w:t>.</w:t>
      </w:r>
      <w:r>
        <w:rPr>
          <w:rStyle w:val="Funotenanker"/>
        </w:rPr>
        <w:footnoteReference w:customMarkFollows="1" w:id="493"/>
        <w:t>r</w:t>
      </w:r>
      <w:r>
        <w:rPr/>
        <w:t xml:space="preserve"> </w:t>
        <w:br/>
        <w:br/>
        <w:t xml:space="preserve">{{field-off:bible}} </w:t>
        <w:br/>
        <w:t>[[@BibleTOBIBLE:Ps 5:10]]</w:t>
      </w:r>
      <w:r>
        <w:rPr>
          <w:b/>
        </w:rPr>
        <w:t>10</w:t>
      </w:r>
      <w:r>
        <w:rPr/>
        <w:t xml:space="preserve"> {{field-on:bible}} </w:t>
        <w:br/>
      </w:r>
      <w:r>
        <w:rPr>
          <w:strike/>
          <w:color w:val="808080"/>
        </w:rPr>
        <w:t>{Denn}</w:t>
      </w:r>
      <w:r>
        <w:rPr/>
        <w:t xml:space="preserve"> </w:t>
      </w:r>
      <w:r>
        <w:rPr>
          <w:color w:val="808080"/>
        </w:rPr>
        <w:t>(Weil)</w:t>
      </w:r>
      <w:r>
        <w:rPr/>
        <w:t xml:space="preserve"> Es </w:t>
      </w:r>
      <w:r>
        <w:rPr>
          <w:b/>
          <w:color w:val="808080"/>
        </w:rPr>
        <w:t>[</w:t>
      </w:r>
      <w:r>
        <w:rPr/>
        <w:t>ist</w:t>
      </w:r>
      <w:r>
        <w:rPr>
          <w:b/>
          <w:color w:val="808080"/>
        </w:rPr>
        <w:t>]</w:t>
      </w:r>
      <w:r>
        <w:rPr/>
        <w:t xml:space="preserve"> in seinem </w:t>
      </w:r>
      <w:r>
        <w:rPr>
          <w:color w:val="808080"/>
        </w:rPr>
        <w:t>(ihrem)</w:t>
      </w:r>
      <w:r>
        <w:rPr/>
        <w:t xml:space="preserve"> </w:t>
      </w:r>
      <w:r>
        <w:rPr>
          <w:rStyle w:val="Funotenanker"/>
        </w:rPr>
        <w:footnoteReference w:customMarkFollows="1" w:id="494"/>
        <w:t>s</w:t>
      </w:r>
      <w:r>
        <w:rPr/>
        <w:t xml:space="preserve"> Reden </w:t>
      </w:r>
      <w:r>
        <w:rPr>
          <w:color w:val="808080"/>
        </w:rPr>
        <w:t>(Mund)</w:t>
      </w:r>
      <w:r>
        <w:rPr/>
        <w:t xml:space="preserve"> nichts Aufrichtiges, Ihr Inneres </w:t>
      </w:r>
      <w:r>
        <w:rPr>
          <w:b/>
          <w:color w:val="808080"/>
        </w:rPr>
        <w:t>[</w:t>
      </w:r>
      <w:r>
        <w:rPr/>
        <w:t>ist</w:t>
      </w:r>
      <w:r>
        <w:rPr>
          <w:b/>
          <w:color w:val="808080"/>
        </w:rPr>
        <w:t>]</w:t>
      </w:r>
      <w:r>
        <w:rPr/>
        <w:t xml:space="preserve"> Verderben </w:t>
      </w:r>
      <w:r>
        <w:rPr>
          <w:color w:val="808080"/>
        </w:rPr>
        <w:t>(Böses, sie sind verdorben/böse)</w:t>
      </w:r>
      <w:r>
        <w:rPr/>
        <w:t>.</w:t>
      </w:r>
      <w:r>
        <w:rPr>
          <w:rStyle w:val="Funotenanker"/>
        </w:rPr>
        <w:footnoteReference w:customMarkFollows="1" w:id="495"/>
        <w:t>t</w:t>
      </w:r>
      <w:r>
        <w:rPr/>
        <w:t xml:space="preserve"> </w:t>
        <w:br/>
        <w:t xml:space="preserve">Ein </w:t>
      </w:r>
      <w:r>
        <w:rPr>
          <w:color w:val="808080"/>
        </w:rPr>
        <w:t>(</w:t>
      </w:r>
      <w:r>
        <w:rPr>
          <w:b/>
          <w:color w:val="808080"/>
        </w:rPr>
        <w:t>[</w:t>
      </w:r>
      <w:r>
        <w:rPr>
          <w:color w:val="808080"/>
        </w:rPr>
        <w:t>ihr</w:t>
      </w:r>
      <w:r>
        <w:rPr>
          <w:b/>
          <w:color w:val="808080"/>
        </w:rPr>
        <w:t>]</w:t>
      </w:r>
      <w:r>
        <w:rPr>
          <w:color w:val="808080"/>
        </w:rPr>
        <w:t>)</w:t>
      </w:r>
      <w:r>
        <w:rPr/>
        <w:t xml:space="preserve"> offenes Grab </w:t>
      </w:r>
      <w:r>
        <w:rPr>
          <w:color w:val="808080"/>
        </w:rPr>
        <w:t>(Tod)</w:t>
      </w:r>
      <w:r>
        <w:rPr/>
        <w:t xml:space="preserve"> </w:t>
      </w:r>
      <w:r>
        <w:rPr>
          <w:rStyle w:val="Funotenanker"/>
        </w:rPr>
        <w:footnoteReference w:customMarkFollows="1" w:id="496"/>
        <w:t>u</w:t>
      </w:r>
      <w:r>
        <w:rPr/>
        <w:t xml:space="preserve"> </w:t>
      </w:r>
      <w:r>
        <w:rPr>
          <w:b/>
          <w:color w:val="808080"/>
        </w:rPr>
        <w:t>[</w:t>
      </w:r>
      <w:r>
        <w:rPr/>
        <w:t xml:space="preserve">ist </w:t>
      </w:r>
      <w:r>
        <w:rPr>
          <w:color w:val="808080"/>
        </w:rPr>
        <w:t>(sei)</w:t>
      </w:r>
      <w:r>
        <w:rPr>
          <w:b/>
          <w:color w:val="808080"/>
        </w:rPr>
        <w:t>]</w:t>
      </w:r>
      <w:r>
        <w:rPr/>
        <w:t xml:space="preserve"> ihre Kehle, </w:t>
      </w:r>
      <w:r>
        <w:rPr>
          <w:color w:val="808080"/>
        </w:rPr>
        <w:t>(</w:t>
      </w:r>
      <w:r>
        <w:rPr>
          <w:b/>
          <w:color w:val="808080"/>
        </w:rPr>
        <w:t>[</w:t>
      </w:r>
      <w:r>
        <w:rPr>
          <w:color w:val="808080"/>
        </w:rPr>
        <w:t>weil</w:t>
      </w:r>
      <w:r>
        <w:rPr>
          <w:b/>
          <w:color w:val="808080"/>
        </w:rPr>
        <w:t>]</w:t>
      </w:r>
      <w:r>
        <w:rPr>
          <w:color w:val="808080"/>
        </w:rPr>
        <w:t>)</w:t>
      </w:r>
      <w:r>
        <w:rPr/>
        <w:t xml:space="preserve"> ihre Zunge glätten sie</w:t>
      </w:r>
      <w:r>
        <w:rPr>
          <w:rStyle w:val="Funotenanker"/>
        </w:rPr>
        <w:footnoteReference w:customMarkFollows="1" w:id="497"/>
        <w:t>v</w:t>
      </w:r>
      <w:r>
        <w:rPr/>
        <w:t xml:space="preserve"> </w:t>
      </w:r>
      <w:r>
        <w:rPr>
          <w:color w:val="808080"/>
        </w:rPr>
        <w:t>(Mit ihrer Zunge sind sie heuchlerisch, sie sind Heuchler)</w:t>
      </w:r>
      <w:r>
        <w:rPr/>
        <w:t>.</w:t>
      </w:r>
      <w:r>
        <w:rPr>
          <w:rStyle w:val="Funotenanker"/>
        </w:rPr>
        <w:footnoteReference w:customMarkFollows="1" w:id="498"/>
        <w:t>w</w:t>
      </w:r>
      <w:r>
        <w:rPr/>
        <w:t xml:space="preserve"> </w:t>
        <w:br/>
        <w:t xml:space="preserve">{{field-off:bible}} </w:t>
        <w:br/>
        <w:t>[[@BibleTOBIBLE:Ps 5:11]]</w:t>
      </w:r>
      <w:r>
        <w:rPr>
          <w:b/>
        </w:rPr>
        <w:t>11</w:t>
      </w:r>
      <w:r>
        <w:rPr/>
        <w:t xml:space="preserve"> {{field-on:bible}} </w:t>
        <w:br/>
        <w:t xml:space="preserve">Lass sie büßen </w:t>
      </w:r>
      <w:r>
        <w:rPr>
          <w:color w:val="808080"/>
        </w:rPr>
        <w:t>(bestrafe sie)</w:t>
      </w:r>
      <w:r>
        <w:rPr/>
        <w:t xml:space="preserve">, Gott! Lass sie untergehen </w:t>
      </w:r>
      <w:r>
        <w:rPr>
          <w:color w:val="808080"/>
        </w:rPr>
        <w:t>(sie sollen untergehen)</w:t>
      </w:r>
      <w:r>
        <w:rPr/>
        <w:t xml:space="preserve"> wegen ihrer Pläne </w:t>
      </w:r>
      <w:r>
        <w:rPr>
          <w:color w:val="808080"/>
        </w:rPr>
        <w:t>(Ränke)</w:t>
      </w:r>
      <w:r>
        <w:rPr/>
        <w:t xml:space="preserve">! Wegen der Menge ihrer Sündenschuld </w:t>
      </w:r>
      <w:r>
        <w:rPr>
          <w:color w:val="808080"/>
        </w:rPr>
        <w:t>(Sünden; wegen ihren vielen/großen Sünden)</w:t>
      </w:r>
      <w:r>
        <w:rPr/>
        <w:t xml:space="preserve"> treibe sie fort </w:t>
      </w:r>
      <w:r>
        <w:rPr>
          <w:color w:val="808080"/>
        </w:rPr>
        <w:t>(verbanne sie)</w:t>
      </w:r>
      <w:r>
        <w:rPr/>
        <w:t>!</w:t>
        <w:br/>
        <w:t xml:space="preserve">Sie haben dir ja nicht gehorcht </w:t>
      </w:r>
      <w:r>
        <w:rPr>
          <w:color w:val="808080"/>
        </w:rPr>
        <w:t>(haben gegen dich rebelliert, gehorchen dir nicht)</w:t>
      </w:r>
      <w:r>
        <w:rPr/>
        <w:t>.</w:t>
        <w:br/>
        <w:br/>
        <w:t xml:space="preserve">{{field-off:bible}} </w:t>
        <w:br/>
        <w:t>[[@BibleTOBIBLE:Ps 5:12]]</w:t>
      </w:r>
      <w:r>
        <w:rPr>
          <w:b/>
        </w:rPr>
        <w:t>12</w:t>
      </w:r>
      <w:r>
        <w:rPr/>
        <w:t xml:space="preserve"> {{field-on:bible}} </w:t>
        <w:br/>
        <w:t xml:space="preserve">Alle werden </w:t>
      </w:r>
      <w:r>
        <w:rPr>
          <w:color w:val="808080"/>
        </w:rPr>
        <w:t>(sollen)</w:t>
      </w:r>
      <w:r>
        <w:rPr/>
        <w:t xml:space="preserve"> sich freuen, die bei dir Zuflucht suchen! Für immer werden </w:t>
      </w:r>
      <w:r>
        <w:rPr>
          <w:color w:val="808080"/>
        </w:rPr>
        <w:t>(sollen)</w:t>
      </w:r>
      <w:r>
        <w:rPr/>
        <w:t xml:space="preserve"> sie jubeln </w:t>
      </w:r>
      <w:r>
        <w:rPr>
          <w:strike/>
          <w:color w:val="808080"/>
        </w:rPr>
        <w:t>{und du beschützt (deckst) sie}</w:t>
      </w:r>
      <w:r>
        <w:rPr/>
        <w:t>!</w:t>
      </w:r>
      <w:r>
        <w:rPr>
          <w:rStyle w:val="Funotenanker"/>
        </w:rPr>
        <w:footnoteReference w:customMarkFollows="1" w:id="499"/>
        <w:t>x</w:t>
      </w:r>
      <w:r>
        <w:rPr/>
        <w:t xml:space="preserve"> Es werden </w:t>
      </w:r>
      <w:r>
        <w:rPr>
          <w:color w:val="808080"/>
        </w:rPr>
        <w:t>(sollen)</w:t>
      </w:r>
      <w:r>
        <w:rPr/>
        <w:t xml:space="preserve"> jauchzen über dich, die deinen Namen lieben </w:t>
      </w:r>
      <w:r>
        <w:rPr>
          <w:color w:val="808080"/>
        </w:rPr>
        <w:t>(dich lieben, dich verehren)</w:t>
      </w:r>
      <w:r>
        <w:rPr/>
        <w:t>!</w:t>
      </w:r>
      <w:r>
        <w:rPr>
          <w:rStyle w:val="Funotenanker"/>
        </w:rPr>
        <w:footnoteReference w:customMarkFollows="1" w:id="500"/>
        <w:t>y</w:t>
      </w:r>
      <w:r>
        <w:rPr/>
        <w:t xml:space="preserve"> </w:t>
        <w:br/>
        <w:t xml:space="preserve">{{field-off:bible}} </w:t>
        <w:br/>
        <w:t>[[@BibleTOBIBLE:Ps 5:13]]</w:t>
      </w:r>
      <w:r>
        <w:rPr>
          <w:b/>
        </w:rPr>
        <w:t>13</w:t>
      </w:r>
      <w:r>
        <w:rPr/>
        <w:t xml:space="preserve"> {{field-on:bible}} </w:t>
        <w:br/>
        <w:t xml:space="preserve">Denn du wirst segnen </w:t>
      </w:r>
      <w:r>
        <w:rPr>
          <w:color w:val="808080"/>
        </w:rPr>
        <w:t>(bist es, der segnen wird)</w:t>
      </w:r>
      <w:r>
        <w:rPr/>
        <w:t>,</w:t>
      </w:r>
      <w:r>
        <w:rPr>
          <w:rStyle w:val="Funotenanker"/>
        </w:rPr>
        <w:footnoteReference w:customMarkFollows="1" w:id="501"/>
        <w:t>z</w:t>
      </w:r>
      <w:r>
        <w:rPr/>
        <w:t xml:space="preserve"> den Gerechten </w:t>
      </w:r>
      <w:r>
        <w:rPr>
          <w:color w:val="808080"/>
        </w:rPr>
        <w:t>(die Gerechten)</w:t>
      </w:r>
      <w:r>
        <w:rPr/>
        <w:t xml:space="preserve"> </w:t>
      </w:r>
      <w:r>
        <w:rPr>
          <w:rStyle w:val="Funotenanker"/>
        </w:rPr>
        <w:footnoteReference w:customMarkFollows="1" w:id="502"/>
        <w:t>aa</w:t>
      </w:r>
      <w:r>
        <w:rPr/>
        <w:t xml:space="preserve"> </w:t>
      </w:r>
      <w:r>
        <w:rPr>
          <w:smallCaps/>
          <w:color w:val="FF0000"/>
        </w:rPr>
        <w:t>JHWH</w:t>
      </w:r>
      <w:r>
        <w:rPr/>
        <w:t xml:space="preserve">; </w:t>
      </w:r>
      <w:r>
        <w:rPr>
          <w:b/>
          <w:color w:val="808080"/>
        </w:rPr>
        <w:t>[</w:t>
      </w:r>
      <w:r>
        <w:rPr/>
        <w:t>du bist es, der</w:t>
      </w:r>
      <w:r>
        <w:rPr>
          <w:b/>
          <w:color w:val="808080"/>
        </w:rPr>
        <w:t>]</w:t>
      </w:r>
      <w:r>
        <w:rPr/>
        <w:t xml:space="preserve"> </w:t>
      </w:r>
      <w:r>
        <w:rPr>
          <w:b/>
          <w:color w:val="808080"/>
        </w:rPr>
        <w:t>[</w:t>
      </w:r>
      <w:r>
        <w:rPr/>
        <w:t xml:space="preserve">sie schützen wirst </w:t>
      </w:r>
      <w:r>
        <w:rPr>
          <w:color w:val="808080"/>
        </w:rPr>
        <w:t>(decken wirst)</w:t>
      </w:r>
      <w:r>
        <w:rPr>
          <w:b/>
          <w:color w:val="808080"/>
        </w:rPr>
        <w:t>]</w:t>
      </w:r>
      <w:r>
        <w:rPr/>
        <w:t xml:space="preserve"> wie mit einem Schild; </w:t>
      </w:r>
      <w:r>
        <w:rPr>
          <w:b/>
          <w:color w:val="808080"/>
        </w:rPr>
        <w:t>[</w:t>
      </w:r>
      <w:r>
        <w:rPr/>
        <w:t>du bist es, der</w:t>
      </w:r>
      <w:r>
        <w:rPr>
          <w:b/>
          <w:color w:val="808080"/>
        </w:rPr>
        <w:t>]</w:t>
      </w:r>
      <w:r>
        <w:rPr/>
        <w:t xml:space="preserve"> sie mit Huld krönen wird </w:t>
      </w:r>
      <w:r>
        <w:rPr>
          <w:color w:val="808080"/>
        </w:rPr>
        <w:t>(begünstigen wird)</w:t>
      </w:r>
      <w:r>
        <w:rPr/>
        <w:t>.</w:t>
      </w:r>
      <w:r>
        <w:rPr>
          <w:rStyle w:val="Funotenanker"/>
        </w:rPr>
        <w:footnoteReference w:customMarkFollows="1" w:id="503"/>
        <w:t>ab</w:t>
      </w:r>
      <w:r>
        <w:rPr/>
        <w:t xml:space="preserve"> </w:t>
        <w:br/>
        <w:t xml:space="preserve">{{field-off:bible}} </w:t>
      </w:r>
    </w:p>
    <w:p>
      <w:pPr>
        <w:pStyle w:val="Berschrift3"/>
        <w:rPr/>
      </w:pPr>
      <w:r>
        <w:rPr/>
        <w:t>[[@BibleTOBIBLE:Ps 6]]Kapitel 6</w:t>
      </w:r>
    </w:p>
    <w:p>
      <w:pPr>
        <w:pStyle w:val="Textkrper"/>
        <w:rPr/>
      </w:pPr>
      <w:r>
        <w:rPr/>
        <w:br/>
        <w:t>[[@BibleTOBIBLE:Ps 6:1]]</w:t>
      </w:r>
      <w:r>
        <w:rPr>
          <w:b/>
        </w:rPr>
        <w:t>1</w:t>
      </w:r>
      <w:r>
        <w:rPr/>
        <w:t xml:space="preserve"> {{field-on:bible}} </w:t>
      </w:r>
      <w:r>
        <w:rPr>
          <w:rStyle w:val="Funotenanker"/>
        </w:rPr>
        <w:footnoteReference w:customMarkFollows="1" w:id="504"/>
        <w:t>Status</w:t>
      </w:r>
      <w:r>
        <w:rPr/>
        <w:t xml:space="preserve"> ''Für den Chorleiter </w:t>
      </w:r>
      <w:r>
        <w:rPr>
          <w:color w:val="808080"/>
        </w:rPr>
        <w:t>(Dirigenten, Singenden, Musizierenden)</w:t>
      </w:r>
      <w:r>
        <w:rPr/>
        <w:t>''.</w:t>
      </w:r>
      <w:r>
        <w:rPr>
          <w:rStyle w:val="Funotenanker"/>
        </w:rPr>
        <w:footnoteReference w:customMarkFollows="1" w:id="505"/>
        <w:t>a</w:t>
      </w:r>
      <w:r>
        <w:rPr/>
        <w:t xml:space="preserve">. ''Zum Saitenspiel </w:t>
      </w:r>
      <w:r>
        <w:rPr>
          <w:color w:val="808080"/>
        </w:rPr>
        <w:t>(auf Saiteninstrumenten)</w:t>
      </w:r>
      <w:r>
        <w:rPr/>
        <w:t>'' `al-hascheminit ''</w:t>
      </w:r>
      <w:r>
        <w:rPr>
          <w:color w:val="808080"/>
        </w:rPr>
        <w:t>(</w:t>
      </w:r>
      <w:r>
        <w:rPr>
          <w:b/>
          <w:color w:val="808080"/>
        </w:rPr>
        <w:t>[</w:t>
      </w:r>
      <w:r>
        <w:rPr>
          <w:color w:val="808080"/>
        </w:rPr>
        <w:t>Vorzutragen</w:t>
      </w:r>
      <w:r>
        <w:rPr>
          <w:b/>
          <w:color w:val="808080"/>
        </w:rPr>
        <w:t>]</w:t>
      </w:r>
      <w:r>
        <w:rPr>
          <w:color w:val="808080"/>
        </w:rPr>
        <w:t xml:space="preserve"> von Basstimmen; Mit Saitenspiel </w:t>
      </w:r>
      <w:r>
        <w:rPr>
          <w:b/>
          <w:color w:val="808080"/>
        </w:rPr>
        <w:t>[</w:t>
      </w:r>
      <w:r>
        <w:rPr>
          <w:color w:val="808080"/>
        </w:rPr>
        <w:t>vorzutragen vom</w:t>
      </w:r>
      <w:r>
        <w:rPr>
          <w:b/>
          <w:color w:val="808080"/>
        </w:rPr>
        <w:t>]</w:t>
      </w:r>
      <w:r>
        <w:rPr>
          <w:color w:val="808080"/>
        </w:rPr>
        <w:t xml:space="preserve"> Vorsteher über </w:t>
      </w:r>
      <w:r>
        <w:rPr>
          <w:b/>
          <w:color w:val="808080"/>
        </w:rPr>
        <w:t>[</w:t>
      </w:r>
      <w:r>
        <w:rPr>
          <w:color w:val="808080"/>
        </w:rPr>
        <w:t>das Ritual</w:t>
      </w:r>
      <w:r>
        <w:rPr>
          <w:b/>
          <w:color w:val="808080"/>
        </w:rPr>
        <w:t>]</w:t>
      </w:r>
      <w:r>
        <w:rPr>
          <w:color w:val="808080"/>
        </w:rPr>
        <w:t xml:space="preserve"> „hascheminit“)</w:t>
      </w:r>
      <w:r>
        <w:rPr/>
        <w:t>''</w:t>
      </w:r>
      <w:r>
        <w:rPr>
          <w:rStyle w:val="Funotenanker"/>
        </w:rPr>
        <w:footnoteReference w:customMarkFollows="1" w:id="506"/>
        <w:t>b</w:t>
      </w:r>
      <w:r>
        <w:rPr/>
        <w:t xml:space="preserve"> ''Ein Psalm </w:t>
      </w:r>
      <w:r>
        <w:rPr>
          <w:color w:val="808080"/>
        </w:rPr>
        <w:t>(begleitetes Lied)</w:t>
      </w:r>
      <w:r>
        <w:rPr/>
        <w:t xml:space="preserve"> von </w:t>
      </w:r>
      <w:r>
        <w:rPr>
          <w:color w:val="808080"/>
        </w:rPr>
        <w:t>(für, über, nach Art von)</w:t>
      </w:r>
      <w:r>
        <w:rPr/>
        <w:t xml:space="preserve"> David.''</w:t>
      </w:r>
      <w:r>
        <w:rPr>
          <w:position w:val="8"/>
          <w:sz w:val="19"/>
        </w:rPr>
        <w:t>[[ ℘ &gt;&gt; BibleTOBIBLE:Ps 12:1]]</w:t>
      </w:r>
      <w:r>
        <w:rPr/>
        <w:t xml:space="preserve"> </w:t>
        <w:br/>
        <w:t xml:space="preserve">{{field-off:bible}} </w:t>
        <w:br/>
        <w:t>[[@BibleTOBIBLE:Ps 6:2]]</w:t>
      </w:r>
      <w:r>
        <w:rPr>
          <w:b/>
        </w:rPr>
        <w:t>2</w:t>
      </w:r>
      <w:r>
        <w:rPr/>
        <w:t xml:space="preserve"> {{field-on:bible}} </w:t>
        <w:br/>
      </w:r>
      <w:r>
        <w:rPr>
          <w:smallCaps/>
          <w:color w:val="FF0000"/>
        </w:rPr>
        <w:t>JHWH</w:t>
      </w:r>
      <w:r>
        <w:rPr/>
        <w:t>, nicht in deinem Zorn</w:t>
      </w:r>
      <w:r>
        <w:rPr>
          <w:rStyle w:val="Funotenanker"/>
        </w:rPr>
        <w:footnoteReference w:customMarkFollows="1" w:id="507"/>
        <w:t>c</w:t>
      </w:r>
      <w:r>
        <w:rPr/>
        <w:t xml:space="preserve"> strafe </w:t>
      </w:r>
      <w:r>
        <w:rPr>
          <w:color w:val="808080"/>
        </w:rPr>
        <w:t>(züchtige)</w:t>
      </w:r>
      <w:r>
        <w:rPr/>
        <w:t xml:space="preserve"> michUnd nicht in deinem Grimm züchtige mich.</w:t>
        <w:br/>
        <w:t xml:space="preserve">{{field-off:bible}} </w:t>
        <w:br/>
        <w:t>[[@BibleTOBIBLE:Ps 6:3]]</w:t>
      </w:r>
      <w:r>
        <w:rPr>
          <w:b/>
        </w:rPr>
        <w:t>3</w:t>
      </w:r>
      <w:r>
        <w:rPr/>
        <w:t xml:space="preserve"> {{field-on:bible}} </w:t>
        <w:br/>
        <w:t xml:space="preserve">Sei mir gnädig </w:t>
      </w:r>
      <w:r>
        <w:rPr>
          <w:color w:val="808080"/>
        </w:rPr>
        <w:t>(erbarme dich meiner)</w:t>
      </w:r>
      <w:r>
        <w:rPr/>
        <w:t xml:space="preserve">, </w:t>
      </w:r>
      <w:r>
        <w:rPr>
          <w:smallCaps/>
          <w:color w:val="FF0000"/>
        </w:rPr>
        <w:t>JHWH</w:t>
      </w:r>
      <w:r>
        <w:rPr/>
        <w:t xml:space="preserve">, denn ich </w:t>
      </w:r>
      <w:r>
        <w:rPr>
          <w:b/>
          <w:color w:val="808080"/>
        </w:rPr>
        <w:t>[</w:t>
      </w:r>
      <w:r>
        <w:rPr/>
        <w:t>bin</w:t>
      </w:r>
      <w:r>
        <w:rPr>
          <w:b/>
          <w:color w:val="808080"/>
        </w:rPr>
        <w:t>]</w:t>
      </w:r>
      <w:r>
        <w:rPr/>
        <w:t xml:space="preserve"> schwach </w:t>
      </w:r>
      <w:r>
        <w:rPr>
          <w:color w:val="808080"/>
        </w:rPr>
        <w:t>(ermattet)</w:t>
      </w:r>
      <w:r>
        <w:rPr/>
        <w:t xml:space="preserve"> </w:t>
      </w:r>
      <w:r>
        <w:rPr>
          <w:rStyle w:val="Funotenanker"/>
        </w:rPr>
        <w:footnoteReference w:customMarkFollows="1" w:id="508"/>
        <w:t>d</w:t>
      </w:r>
      <w:r>
        <w:rPr/>
        <w:t>.</w:t>
      </w:r>
      <w:r>
        <w:rPr>
          <w:position w:val="8"/>
          <w:sz w:val="19"/>
        </w:rPr>
        <w:t>[[ ℘ &gt;&gt; BibleTOBIBLE:Ps 25:16]][[ ℘ &gt;&gt; BibleTOBIBLE:Ps 31:10]]</w:t>
      </w:r>
      <w:r>
        <w:rPr/>
        <w:t xml:space="preserve">Rette mich </w:t>
      </w:r>
      <w:r>
        <w:rPr>
          <w:color w:val="808080"/>
        </w:rPr>
        <w:t>(heile mich)</w:t>
      </w:r>
      <w:r>
        <w:rPr/>
        <w:t xml:space="preserve">, </w:t>
      </w:r>
      <w:r>
        <w:rPr>
          <w:smallCaps/>
          <w:color w:val="FF0000"/>
        </w:rPr>
        <w:t>JHWH</w:t>
      </w:r>
      <w:r>
        <w:rPr/>
        <w:t xml:space="preserve">, denn erschrocken sind </w:t>
      </w:r>
      <w:r>
        <w:rPr>
          <w:color w:val="808080"/>
        </w:rPr>
        <w:t>(es zittern, es vergehen)</w:t>
      </w:r>
      <w:r>
        <w:rPr/>
        <w:t xml:space="preserve"> </w:t>
      </w:r>
      <w:r>
        <w:rPr>
          <w:rStyle w:val="Funotenanker"/>
        </w:rPr>
        <w:footnoteReference w:customMarkFollows="1" w:id="509"/>
        <w:t>e</w:t>
      </w:r>
      <w:r>
        <w:rPr/>
        <w:t xml:space="preserve"> meine Knochen </w:t>
      </w:r>
      <w:r>
        <w:rPr>
          <w:color w:val="808080"/>
        </w:rPr>
        <w:t>(ich)</w:t>
      </w:r>
      <w:r>
        <w:rPr/>
        <w:t xml:space="preserve"> </w:t>
        <w:br/>
        <w:t xml:space="preserve">{{field-off:bible}} </w:t>
        <w:br/>
        <w:t>[[@BibleTOBIBLE:Ps 6:4]]</w:t>
      </w:r>
      <w:r>
        <w:rPr>
          <w:b/>
        </w:rPr>
        <w:t>4</w:t>
      </w:r>
      <w:r>
        <w:rPr/>
        <w:t xml:space="preserve"> {{field-on:bible}} </w:t>
        <w:br/>
        <w:t xml:space="preserve">Und meine Seele </w:t>
      </w:r>
      <w:r>
        <w:rPr>
          <w:color w:val="808080"/>
        </w:rPr>
        <w:t>(mein Leben)</w:t>
      </w:r>
      <w:r>
        <w:rPr/>
        <w:t xml:space="preserve"> ist sehr erschrocken </w:t>
      </w:r>
      <w:r>
        <w:rPr>
          <w:color w:val="808080"/>
        </w:rPr>
        <w:t>(vergeht sehr)</w:t>
      </w:r>
      <w:r>
        <w:rPr/>
        <w:t xml:space="preserve">. </w:t>
        <w:br/>
        <w:t xml:space="preserve">Und du, </w:t>
      </w:r>
      <w:r>
        <w:rPr>
          <w:smallCaps/>
          <w:color w:val="FF0000"/>
        </w:rPr>
        <w:t>JHWH</w:t>
      </w:r>
      <w:r>
        <w:rPr/>
        <w:t xml:space="preserve">, wie lange </w:t>
      </w:r>
      <w:r>
        <w:rPr>
          <w:b/>
          <w:color w:val="808080"/>
        </w:rPr>
        <w:t>[</w:t>
      </w:r>
      <w:r>
        <w:rPr/>
        <w:t>noch</w:t>
      </w:r>
      <w:r>
        <w:rPr>
          <w:b/>
          <w:color w:val="808080"/>
        </w:rPr>
        <w:t>]</w:t>
      </w:r>
      <w:r>
        <w:rPr/>
        <w:t xml:space="preserve"> </w:t>
      </w:r>
      <w:r>
        <w:rPr>
          <w:color w:val="808080"/>
        </w:rPr>
        <w:t>(bis wann)</w:t>
      </w:r>
      <w:r>
        <w:rPr/>
        <w:t>...?</w:t>
      </w:r>
      <w:r>
        <w:rPr>
          <w:rStyle w:val="Funotenanker"/>
        </w:rPr>
        <w:footnoteReference w:customMarkFollows="1" w:id="510"/>
        <w:t>f</w:t>
      </w:r>
      <w:r>
        <w:rPr/>
        <w:t xml:space="preserve"> </w:t>
      </w:r>
      <w:r>
        <w:rPr>
          <w:position w:val="8"/>
          <w:sz w:val="19"/>
        </w:rPr>
        <w:t>[[ ℘ &gt;&gt; BibleTOBIBLE:Ps 13:2]][[ ℘ &gt;&gt; BibleTOBIBLE:Ps 90:13]][[ ℘ &gt;&gt; BibleTOBIBLE:Is 57:16]]</w:t>
      </w:r>
      <w:r>
        <w:rPr/>
        <w:t xml:space="preserve"> </w:t>
        <w:br/>
        <w:br/>
        <w:t xml:space="preserve">{{field-off:bible}} </w:t>
        <w:br/>
        <w:t>[[@BibleTOBIBLE:Ps 6:5]]</w:t>
      </w:r>
      <w:r>
        <w:rPr>
          <w:b/>
        </w:rPr>
        <w:t>5</w:t>
      </w:r>
      <w:r>
        <w:rPr/>
        <w:t xml:space="preserve"> {{field-on:bible}} </w:t>
        <w:br/>
        <w:t xml:space="preserve">Kehre um, </w:t>
      </w:r>
      <w:r>
        <w:rPr>
          <w:smallCaps/>
          <w:color w:val="FF0000"/>
        </w:rPr>
        <w:t>JHWH</w:t>
      </w:r>
      <w:r>
        <w:rPr/>
        <w:t>!</w:t>
      </w:r>
      <w:r>
        <w:rPr>
          <w:rStyle w:val="Funotenanker"/>
        </w:rPr>
        <w:footnoteReference w:customMarkFollows="1" w:id="511"/>
        <w:t>g</w:t>
      </w:r>
      <w:r>
        <w:rPr/>
        <w:t xml:space="preserve"> Rette</w:t>
      </w:r>
      <w:r>
        <w:rPr>
          <w:rStyle w:val="Funotenanker"/>
        </w:rPr>
        <w:footnoteReference w:customMarkFollows="1" w:id="512"/>
        <w:t>h</w:t>
      </w:r>
      <w:r>
        <w:rPr/>
        <w:t xml:space="preserve"> meine Seele </w:t>
      </w:r>
      <w:r>
        <w:rPr>
          <w:color w:val="808080"/>
        </w:rPr>
        <w:t>(mich)</w:t>
      </w:r>
      <w:r>
        <w:rPr/>
        <w:t xml:space="preserve"> </w:t>
      </w:r>
      <w:r>
        <w:rPr>
          <w:rStyle w:val="Funotenanker"/>
        </w:rPr>
        <w:footnoteReference w:customMarkFollows="1" w:id="513"/>
        <w:t>i</w:t>
      </w:r>
      <w:r>
        <w:rPr/>
        <w:t>!</w:t>
      </w:r>
      <w:r>
        <w:rPr>
          <w:position w:val="8"/>
          <w:sz w:val="19"/>
        </w:rPr>
        <w:t>[[ ℘ &gt;&gt; BibleTOBIBLE:Ps 80:15]][[ ℘ &gt;&gt; BibleTOBIBLE:Ps 86:13]][[ ℘ &gt;&gt; BibleTOBIBLE:Ps 90:13]][[ ℘ &gt;&gt; BibleTOBIBLE:Ps 116:3]][[ ℘ &gt;&gt; BibleTOBIBLE:Is 38:17]][[ ℘ &gt;&gt; BibleTOBIBLE:Mal 3:7]]</w:t>
      </w:r>
      <w:r>
        <w:rPr/>
        <w:t xml:space="preserve">Errette </w:t>
      </w:r>
      <w:r>
        <w:rPr>
          <w:color w:val="808080"/>
        </w:rPr>
        <w:t>(hilf)</w:t>
      </w:r>
      <w:r>
        <w:rPr/>
        <w:t xml:space="preserve"> mich um deiner Barmherzigkeit </w:t>
      </w:r>
      <w:r>
        <w:rPr>
          <w:color w:val="808080"/>
        </w:rPr>
        <w:t>(Huld, Liebe, Güte)</w:t>
      </w:r>
      <w:r>
        <w:rPr/>
        <w:t xml:space="preserve"> willen</w:t>
      </w:r>
      <w:r>
        <w:rPr>
          <w:rStyle w:val="Funotenanker"/>
        </w:rPr>
        <w:footnoteReference w:customMarkFollows="1" w:id="514"/>
        <w:t>j</w:t>
      </w:r>
      <w:r>
        <w:rPr/>
        <w:t>!</w:t>
        <w:br/>
        <w:t xml:space="preserve">{{field-off:bible}} </w:t>
        <w:br/>
        <w:t>[[@BibleTOBIBLE:Ps 6:6]]</w:t>
      </w:r>
      <w:r>
        <w:rPr>
          <w:b/>
        </w:rPr>
        <w:t>6</w:t>
      </w:r>
      <w:r>
        <w:rPr/>
        <w:t xml:space="preserve"> {{field-on:bible}} </w:t>
        <w:br/>
        <w:t xml:space="preserve">Denn es ist kein </w:t>
      </w:r>
      <w:r>
        <w:rPr>
          <w:color w:val="808080"/>
        </w:rPr>
        <w:t>(findet nicht statt)</w:t>
      </w:r>
      <w:r>
        <w:rPr/>
        <w:t xml:space="preserve"> dich-Loben </w:t>
      </w:r>
      <w:r>
        <w:rPr>
          <w:color w:val="808080"/>
        </w:rPr>
        <w:t>(Gedenken an dich)</w:t>
      </w:r>
      <w:r>
        <w:rPr/>
        <w:t xml:space="preserve"> im Totenreich </w:t>
      </w:r>
      <w:r>
        <w:rPr>
          <w:color w:val="808080"/>
        </w:rPr>
        <w:t>(Tod)</w:t>
      </w:r>
      <w:r>
        <w:rPr/>
        <w:t xml:space="preserve"> </w:t>
      </w:r>
      <w:r>
        <w:rPr>
          <w:rStyle w:val="Funotenanker"/>
        </w:rPr>
        <w:footnoteReference w:customMarkFollows="1" w:id="515"/>
        <w:t>k</w:t>
      </w:r>
      <w:r>
        <w:rPr/>
        <w:t>Und wer wird dich preisen im Scheol?</w:t>
      </w:r>
      <w:r>
        <w:rPr>
          <w:rStyle w:val="Funotenanker"/>
        </w:rPr>
        <w:footnoteReference w:customMarkFollows="1" w:id="516"/>
        <w:t>l</w:t>
      </w:r>
      <w:r>
        <w:rPr/>
        <w:t xml:space="preserve"> </w:t>
        <w:br/>
        <w:br/>
        <w:t xml:space="preserve">{{field-off:bible}} </w:t>
        <w:br/>
        <w:t>[[@BibleTOBIBLE:Ps 6:7]]</w:t>
      </w:r>
      <w:r>
        <w:rPr>
          <w:b/>
        </w:rPr>
        <w:t>7</w:t>
      </w:r>
      <w:r>
        <w:rPr/>
        <w:t xml:space="preserve"> {{field-on:bible}} </w:t>
        <w:br/>
        <w:t xml:space="preserve">Ich bin ermüdet durch mein Schluchzen </w:t>
      </w:r>
      <w:r>
        <w:rPr>
          <w:color w:val="808080"/>
        </w:rPr>
        <w:t>(Seufzen)</w:t>
      </w:r>
      <w:r>
        <w:rPr/>
        <w:t xml:space="preserve"> </w:t>
      </w:r>
      <w:r>
        <w:rPr>
          <w:rStyle w:val="Funotenanker"/>
        </w:rPr>
        <w:footnoteReference w:customMarkFollows="1" w:id="517"/>
        <w:t>m</w:t>
      </w:r>
      <w:r>
        <w:rPr/>
        <w:t>,</w:t>
      </w:r>
      <w:r>
        <w:rPr>
          <w:position w:val="8"/>
          <w:sz w:val="19"/>
        </w:rPr>
        <w:t>[[ ℘ &gt;&gt; BibleTOBIBLE:Je 45:3]]</w:t>
      </w:r>
      <w:r>
        <w:rPr/>
        <w:t xml:space="preserve">ich überflute </w:t>
      </w:r>
      <w:r>
        <w:rPr>
          <w:color w:val="808080"/>
        </w:rPr>
        <w:t>(lasse schwimmen)</w:t>
      </w:r>
      <w:r>
        <w:rPr/>
        <w:t xml:space="preserve"> </w:t>
      </w:r>
      <w:r>
        <w:rPr>
          <w:rStyle w:val="Funotenanker"/>
        </w:rPr>
        <w:footnoteReference w:customMarkFollows="1" w:id="518"/>
        <w:t>n</w:t>
      </w:r>
      <w:r>
        <w:rPr/>
        <w:t xml:space="preserve"> jede Nacht</w:t>
      </w:r>
      <w:r>
        <w:rPr>
          <w:rStyle w:val="Funotenanker"/>
        </w:rPr>
        <w:footnoteReference w:customMarkFollows="1" w:id="519"/>
        <w:t>o</w:t>
      </w:r>
      <w:r>
        <w:rPr/>
        <w:t xml:space="preserve"> </w:t>
      </w:r>
      <w:r>
        <w:rPr>
          <w:b/>
          <w:color w:val="808080"/>
        </w:rPr>
        <w:t>[</w:t>
      </w:r>
      <w:r>
        <w:rPr/>
        <w:t>mit meinen Tränen</w:t>
      </w:r>
      <w:r>
        <w:rPr>
          <w:b/>
          <w:color w:val="808080"/>
        </w:rPr>
        <w:t>]</w:t>
      </w:r>
      <w:r>
        <w:rPr/>
        <w:t xml:space="preserve"> </w:t>
      </w:r>
      <w:r>
        <w:rPr>
          <w:rStyle w:val="Funotenanker"/>
        </w:rPr>
        <w:footnoteReference w:customMarkFollows="1" w:id="520"/>
        <w:t>p</w:t>
      </w:r>
      <w:r>
        <w:rPr/>
        <w:t xml:space="preserve"> mein Bett,mit meinen Tränen weiche ich </w:t>
      </w:r>
      <w:r>
        <w:rPr>
          <w:b/>
          <w:color w:val="808080"/>
        </w:rPr>
        <w:t>[</w:t>
      </w:r>
      <w:r>
        <w:rPr/>
        <w:t>jede Nacht</w:t>
      </w:r>
      <w:r>
        <w:rPr>
          <w:b/>
          <w:color w:val="808080"/>
        </w:rPr>
        <w:t>]</w:t>
      </w:r>
      <w:r>
        <w:rPr/>
        <w:t xml:space="preserve"> </w:t>
      </w:r>
      <w:r>
        <w:rPr>
          <w:rStyle w:val="Funotenanker"/>
        </w:rPr>
        <w:footnoteReference w:customMarkFollows="1" w:id="521"/>
        <w:t>q</w:t>
      </w:r>
      <w:r>
        <w:rPr/>
        <w:t xml:space="preserve"> mein Lager auf.</w:t>
        <w:br/>
        <w:t xml:space="preserve">{{field-off:bible}} </w:t>
        <w:br/>
        <w:t>[[@BibleTOBIBLE:Ps 6:8]]</w:t>
      </w:r>
      <w:r>
        <w:rPr>
          <w:b/>
        </w:rPr>
        <w:t>8</w:t>
      </w:r>
      <w:r>
        <w:rPr/>
        <w:t xml:space="preserve"> {{field-on:bible}} </w:t>
        <w:br/>
        <w:t xml:space="preserve">Schwach geworden </w:t>
      </w:r>
      <w:r>
        <w:rPr>
          <w:color w:val="808080"/>
        </w:rPr>
        <w:t>(dunkel geworden, geeitert, angeschwollen, hochmütig?)</w:t>
      </w:r>
      <w:r>
        <w:rPr/>
        <w:t xml:space="preserve"> </w:t>
      </w:r>
      <w:r>
        <w:rPr>
          <w:rStyle w:val="Funotenanker"/>
        </w:rPr>
        <w:footnoteReference w:customMarkFollows="1" w:id="522"/>
        <w:t>r</w:t>
      </w:r>
      <w:r>
        <w:rPr/>
        <w:t xml:space="preserve"> vor Kummer </w:t>
      </w:r>
      <w:r>
        <w:rPr>
          <w:color w:val="808080"/>
        </w:rPr>
        <w:t>(Gram)</w:t>
      </w:r>
      <w:r>
        <w:rPr/>
        <w:t xml:space="preserve"> sind meine Augen</w:t>
      </w:r>
      <w:r>
        <w:rPr>
          <w:rStyle w:val="Funotenanker"/>
        </w:rPr>
        <w:footnoteReference w:customMarkFollows="1" w:id="523"/>
        <w:t>s</w:t>
      </w:r>
      <w:r>
        <w:rPr/>
        <w:t>,</w:t>
      </w:r>
      <w:r>
        <w:rPr>
          <w:position w:val="8"/>
          <w:sz w:val="19"/>
        </w:rPr>
        <w:t>[[ ℘ &gt;&gt; BibleTOBIBLE:Job 17:7]][[ ℘ &gt;&gt; BibleTOBIBLE:Ps 31:10]][[ ℘ &gt;&gt; BibleTOBIBLE:Ps 69:4]][[ ℘ &gt;&gt; BibleTOBIBLE:Ps 88:10]]</w:t>
      </w:r>
      <w:r>
        <w:rPr/>
        <w:t xml:space="preserve">sie sind gealtert wegen </w:t>
      </w:r>
      <w:r>
        <w:rPr>
          <w:color w:val="808080"/>
        </w:rPr>
        <w:t xml:space="preserve">(ich bin gealtert wegen, sie sind geheftet auf?, sie </w:t>
      </w:r>
      <w:r>
        <w:rPr>
          <w:b/>
          <w:color w:val="808080"/>
        </w:rPr>
        <w:t>[</w:t>
      </w:r>
      <w:r>
        <w:rPr>
          <w:color w:val="808080"/>
        </w:rPr>
        <w:t>blicken</w:t>
      </w:r>
      <w:r>
        <w:rPr>
          <w:b/>
          <w:color w:val="808080"/>
        </w:rPr>
        <w:t>]</w:t>
      </w:r>
      <w:r>
        <w:rPr>
          <w:color w:val="808080"/>
        </w:rPr>
        <w:t xml:space="preserve"> stolz/frech auf?)</w:t>
      </w:r>
      <w:r>
        <w:rPr/>
        <w:t xml:space="preserve"> </w:t>
      </w:r>
      <w:r>
        <w:rPr>
          <w:rStyle w:val="Funotenanker"/>
        </w:rPr>
        <w:footnoteReference w:customMarkFollows="1" w:id="524"/>
        <w:t>t</w:t>
      </w:r>
      <w:r>
        <w:rPr/>
        <w:t xml:space="preserve"> all meiner Feinde </w:t>
      </w:r>
      <w:r>
        <w:rPr>
          <w:color w:val="808080"/>
        </w:rPr>
        <w:t>(wegen all meinem Leid/meiner Not)</w:t>
      </w:r>
      <w:r>
        <w:rPr/>
        <w:t>.</w:t>
        <w:br/>
        <w:br/>
        <w:t xml:space="preserve">{{field-off:bible}} </w:t>
        <w:br/>
        <w:t>[[@BibleTOBIBLE:Ps 6:9]]</w:t>
      </w:r>
      <w:r>
        <w:rPr>
          <w:b/>
        </w:rPr>
        <w:t>9</w:t>
      </w:r>
      <w:r>
        <w:rPr/>
        <w:t xml:space="preserve"> {{field-on:bible}} </w:t>
        <w:br/>
        <w:t xml:space="preserve">Weicht von mir, all </w:t>
      </w:r>
      <w:r>
        <w:rPr>
          <w:b/>
          <w:color w:val="808080"/>
        </w:rPr>
        <w:t>[</w:t>
      </w:r>
      <w:r>
        <w:rPr/>
        <w:t>ihr</w:t>
      </w:r>
      <w:r>
        <w:rPr>
          <w:b/>
          <w:color w:val="808080"/>
        </w:rPr>
        <w:t>]</w:t>
      </w:r>
      <w:r>
        <w:rPr/>
        <w:t xml:space="preserve"> Frevler</w:t>
      </w:r>
      <w:r>
        <w:rPr>
          <w:rStyle w:val="Funotenanker"/>
        </w:rPr>
        <w:footnoteReference w:customMarkFollows="1" w:id="525"/>
        <w:t>u</w:t>
      </w:r>
      <w:r>
        <w:rPr/>
        <w:t>!</w:t>
      </w:r>
      <w:r>
        <w:rPr>
          <w:position w:val="8"/>
          <w:sz w:val="19"/>
        </w:rPr>
        <w:t>[[ ℘ &gt;&gt; BibleTOBIBLE:Ps 52:3]][[ ℘ &gt;&gt; BibleTOBIBLE:Ps 119:115]][[ ℘ &gt;&gt; BibleTOBIBLE:Ps 139:19]][[ ℘ &gt;&gt; BibleTOBIBLE:Mt 25:41]][[ ℘ &gt;&gt; BibleTOBIBLE:Lk 13:27]]</w:t>
      </w:r>
      <w:r>
        <w:rPr/>
        <w:t xml:space="preserve"> </w:t>
        <w:br/>
      </w:r>
      <w:r>
        <w:rPr>
          <w:strike/>
          <w:color w:val="808080"/>
        </w:rPr>
        <w:t>{Ja!,}</w:t>
      </w:r>
      <w:r>
        <w:rPr/>
        <w:t xml:space="preserve"> </w:t>
      </w:r>
      <w:r>
        <w:rPr>
          <w:color w:val="808080"/>
        </w:rPr>
        <w:t>(denn)</w:t>
      </w:r>
      <w:r>
        <w:rPr/>
        <w:t xml:space="preserve"> </w:t>
      </w:r>
      <w:r>
        <w:rPr>
          <w:rStyle w:val="Funotenanker"/>
        </w:rPr>
        <w:footnoteReference w:customMarkFollows="1" w:id="526"/>
        <w:t>v</w:t>
      </w:r>
      <w:r>
        <w:rPr/>
        <w:t xml:space="preserve"> gehört </w:t>
      </w:r>
      <w:r>
        <w:rPr>
          <w:color w:val="808080"/>
        </w:rPr>
        <w:t>(erhört)</w:t>
      </w:r>
      <w:r>
        <w:rPr/>
        <w:t xml:space="preserve"> hat </w:t>
      </w:r>
      <w:r>
        <w:rPr>
          <w:smallCaps/>
          <w:color w:val="FF0000"/>
        </w:rPr>
        <w:t>JHWH</w:t>
      </w:r>
      <w:r>
        <w:rPr/>
        <w:t xml:space="preserve"> den Klang meines Weinens</w:t>
      </w:r>
      <w:r>
        <w:rPr>
          <w:rStyle w:val="Funotenanker"/>
        </w:rPr>
        <w:footnoteReference w:customMarkFollows="1" w:id="527"/>
        <w:t>w</w:t>
      </w:r>
      <w:r>
        <w:rPr/>
        <w:t>,</w:t>
      </w:r>
      <w:r>
        <w:rPr>
          <w:position w:val="8"/>
          <w:sz w:val="19"/>
        </w:rPr>
        <w:t>[[ ℘ &gt;&gt; BibleTOBIBLE:Ps 31:23]][[ ℘ &gt;&gt; BibleTOBIBLE:Ps 56:9]]</w:t>
      </w:r>
      <w:r>
        <w:rPr/>
        <w:t xml:space="preserve"> </w:t>
        <w:br/>
        <w:t xml:space="preserve">{{field-off:bible}} </w:t>
        <w:br/>
        <w:t>[[@BibleTOBIBLE:Ps 6:10]]</w:t>
      </w:r>
      <w:r>
        <w:rPr>
          <w:b/>
        </w:rPr>
        <w:t>10</w:t>
      </w:r>
      <w:r>
        <w:rPr/>
        <w:t xml:space="preserve"> {{field-on:bible}} </w:t>
        <w:br/>
        <w:t xml:space="preserve">Gehört </w:t>
      </w:r>
      <w:r>
        <w:rPr>
          <w:color w:val="808080"/>
        </w:rPr>
        <w:t>(erhört)</w:t>
      </w:r>
      <w:r>
        <w:rPr/>
        <w:t xml:space="preserve"> hat </w:t>
      </w:r>
      <w:r>
        <w:rPr>
          <w:smallCaps/>
          <w:color w:val="FF0000"/>
        </w:rPr>
        <w:t>JHWH</w:t>
      </w:r>
      <w:r>
        <w:rPr/>
        <w:t xml:space="preserve"> mein Bitten;</w:t>
      </w:r>
      <w:r>
        <w:rPr>
          <w:smallCaps/>
          <w:color w:val="FF0000"/>
        </w:rPr>
        <w:t>JHWH</w:t>
      </w:r>
      <w:r>
        <w:rPr/>
        <w:t xml:space="preserve"> wird mein Gebet </w:t>
      </w:r>
      <w:r>
        <w:rPr>
          <w:color w:val="808080"/>
        </w:rPr>
        <w:t>(Bittgebet)</w:t>
      </w:r>
      <w:r>
        <w:rPr/>
        <w:t xml:space="preserve"> annehmen</w:t>
      </w:r>
      <w:r>
        <w:rPr>
          <w:rStyle w:val="Funotenanker"/>
        </w:rPr>
        <w:footnoteReference w:customMarkFollows="1" w:id="528"/>
        <w:t>x</w:t>
      </w:r>
      <w:r>
        <w:rPr/>
        <w:t>:</w:t>
        <w:br/>
        <w:t xml:space="preserve">{{field-off:bible}} </w:t>
        <w:br/>
        <w:t>[[@BibleTOBIBLE:Ps 6:11]]</w:t>
      </w:r>
      <w:r>
        <w:rPr>
          <w:b/>
        </w:rPr>
        <w:t>11</w:t>
      </w:r>
      <w:r>
        <w:rPr/>
        <w:t xml:space="preserve"> {{field-on:bible}} </w:t>
        <w:br/>
        <w:t xml:space="preserve">All meine Feinde werden </w:t>
      </w:r>
      <w:r>
        <w:rPr>
          <w:color w:val="808080"/>
        </w:rPr>
        <w:t>(sollen)</w:t>
      </w:r>
      <w:r>
        <w:rPr/>
        <w:t xml:space="preserve"> sich schämen </w:t>
      </w:r>
      <w:r>
        <w:rPr>
          <w:color w:val="808080"/>
        </w:rPr>
        <w:t>(zunichte werden)</w:t>
      </w:r>
      <w:r>
        <w:rPr/>
        <w:t xml:space="preserve"> </w:t>
      </w:r>
      <w:r>
        <w:rPr>
          <w:rStyle w:val="Funotenanker"/>
        </w:rPr>
        <w:footnoteReference w:customMarkFollows="1" w:id="529"/>
        <w:t>y</w:t>
      </w:r>
      <w:r>
        <w:rPr/>
        <w:t xml:space="preserve"> und sehr erschrecken </w:t>
      </w:r>
      <w:r>
        <w:rPr>
          <w:color w:val="808080"/>
        </w:rPr>
        <w:t>(vergehen)</w:t>
      </w:r>
      <w:r>
        <w:rPr/>
        <w:t>,</w:t>
      </w:r>
      <w:r>
        <w:rPr>
          <w:position w:val="8"/>
          <w:sz w:val="19"/>
        </w:rPr>
        <w:t>[[ ℘ &gt;&gt; BibleTOBIBLE:Ps 2:5]][[ ℘ &gt;&gt; BibleTOBIBLE:Ps 35:26]][[ ℘ &gt;&gt; BibleTOBIBLE:Ps 40:15]][[ ℘ &gt;&gt; BibleTOBIBLE:Ps 83:17]]</w:t>
      </w:r>
      <w:r>
        <w:rPr/>
        <w:t xml:space="preserve">Sie werden </w:t>
      </w:r>
      <w:r>
        <w:rPr>
          <w:color w:val="808080"/>
        </w:rPr>
        <w:t>(sollen)</w:t>
      </w:r>
      <w:r>
        <w:rPr/>
        <w:t xml:space="preserve"> umkehren </w:t>
      </w:r>
      <w:r>
        <w:rPr>
          <w:color w:val="808080"/>
        </w:rPr>
        <w:t>(von mir ablassen, wieder?, sterben?)</w:t>
      </w:r>
      <w:r>
        <w:rPr/>
        <w:t xml:space="preserve"> </w:t>
      </w:r>
      <w:r>
        <w:rPr>
          <w:b/>
          <w:color w:val="808080"/>
        </w:rPr>
        <w:t>[</w:t>
      </w:r>
      <w:r>
        <w:rPr/>
        <w:t>und</w:t>
      </w:r>
      <w:r>
        <w:rPr>
          <w:b/>
          <w:color w:val="808080"/>
        </w:rPr>
        <w:t>]</w:t>
      </w:r>
      <w:r>
        <w:rPr/>
        <w:t xml:space="preserve"> sich plötzlich schämen </w:t>
      </w:r>
      <w:r>
        <w:rPr>
          <w:color w:val="808080"/>
        </w:rPr>
        <w:t>(zunichte werden)</w:t>
      </w:r>
      <w:r>
        <w:rPr/>
        <w:t>.</w:t>
        <w:br/>
        <w:t xml:space="preserve">{{field-off:bible}} </w:t>
      </w:r>
    </w:p>
    <w:p>
      <w:pPr>
        <w:pStyle w:val="Berschrift3"/>
        <w:rPr/>
      </w:pPr>
      <w:r>
        <w:rPr/>
        <w:t>[[@BibleTOBIBLE:Ps 7]]Kapitel 7</w:t>
      </w:r>
    </w:p>
    <w:p>
      <w:pPr>
        <w:pStyle w:val="Textkrper"/>
        <w:rPr/>
      </w:pPr>
      <w:r>
        <w:rPr/>
        <w:br/>
        <w:t>[[@BibleTOBIBLE:Ps 7:1]]</w:t>
      </w:r>
      <w:r>
        <w:rPr>
          <w:b/>
        </w:rPr>
        <w:t>1</w:t>
      </w:r>
      <w:r>
        <w:rPr/>
        <w:t xml:space="preserve"> {{field-on:bible}} </w:t>
        <w:br/>
      </w:r>
      <w:r>
        <w:rPr>
          <w:rStyle w:val="Funotenanker"/>
        </w:rPr>
        <w:footnoteReference w:customMarkFollows="1" w:id="530"/>
        <w:t>Status</w:t>
      </w:r>
      <w:r>
        <w:rPr/>
        <w:t xml:space="preserve"> Ein ''Shiggajon''</w:t>
      </w:r>
      <w:r>
        <w:rPr>
          <w:rStyle w:val="Funotenanker"/>
        </w:rPr>
        <w:footnoteReference w:customMarkFollows="1" w:id="531"/>
        <w:t>a</w:t>
      </w:r>
      <w:r>
        <w:rPr/>
        <w:t xml:space="preserve"> von </w:t>
      </w:r>
      <w:r>
        <w:rPr>
          <w:color w:val="808080"/>
        </w:rPr>
        <w:t>(für, über, nach Art von)</w:t>
      </w:r>
      <w:r>
        <w:rPr/>
        <w:t xml:space="preserve"> David, das er </w:t>
      </w:r>
      <w:r>
        <w:rPr>
          <w:smallCaps/>
          <w:color w:val="FF0000"/>
        </w:rPr>
        <w:t>JHWH</w:t>
      </w:r>
      <w:r>
        <w:rPr/>
        <w:t xml:space="preserve"> sang wegen der Reden Kuschs, des Benjaminiten.</w:t>
      </w:r>
      <w:r>
        <w:rPr>
          <w:rStyle w:val="Funotenanker"/>
        </w:rPr>
        <w:footnoteReference w:customMarkFollows="1" w:id="532"/>
        <w:t>b</w:t>
      </w:r>
      <w:r>
        <w:rPr/>
        <w:t xml:space="preserve"> </w:t>
        <w:br/>
        <w:br/>
        <w:t xml:space="preserve">{{field-off:bible}} </w:t>
        <w:br/>
        <w:t>[[@BibleTOBIBLE:Ps 7:2]]</w:t>
      </w:r>
      <w:r>
        <w:rPr>
          <w:b/>
        </w:rPr>
        <w:t>2</w:t>
      </w:r>
      <w:r>
        <w:rPr/>
        <w:t xml:space="preserve"> {{field-on:bible}} </w:t>
        <w:br/>
      </w:r>
      <w:r>
        <w:rPr>
          <w:smallCaps/>
          <w:color w:val="FF0000"/>
        </w:rPr>
        <w:t>JHWH</w:t>
      </w:r>
      <w:r>
        <w:rPr/>
        <w:t xml:space="preserve">, mein Gott, ich suche Schutz bei dir </w:t>
      </w:r>
      <w:r>
        <w:rPr>
          <w:color w:val="808080"/>
        </w:rPr>
        <w:t>(auf dich setze ich mein Vertrauen)</w:t>
      </w:r>
      <w:r>
        <w:rPr/>
        <w:t xml:space="preserve">: Hilf mir vor all meinen Verfolgern und rette mich, </w:t>
      </w:r>
      <w:r>
        <w:rPr>
          <w:position w:val="8"/>
          <w:sz w:val="19"/>
        </w:rPr>
        <w:t>[[ ℘ &gt;&gt; BibleTOBIBLE:Ps 31:2]]</w:t>
      </w:r>
      <w:r>
        <w:rPr/>
        <w:t xml:space="preserve"> </w:t>
        <w:br/>
        <w:t xml:space="preserve">{{field-off:bible}} </w:t>
        <w:br/>
        <w:t>[[@BibleTOBIBLE:Ps 7:3]]</w:t>
      </w:r>
      <w:r>
        <w:rPr>
          <w:b/>
        </w:rPr>
        <w:t>3</w:t>
      </w:r>
      <w:r>
        <w:rPr/>
        <w:t xml:space="preserve"> {{field-on:bible}} </w:t>
        <w:br/>
        <w:t>Damit er</w:t>
      </w:r>
      <w:r>
        <w:rPr>
          <w:rStyle w:val="Funotenanker"/>
        </w:rPr>
        <w:footnoteReference w:customMarkFollows="1" w:id="533"/>
        <w:t>c</w:t>
      </w:r>
      <w:r>
        <w:rPr/>
        <w:t xml:space="preserve"> nicht meine Seele </w:t>
      </w:r>
      <w:r>
        <w:rPr>
          <w:color w:val="808080"/>
        </w:rPr>
        <w:t>(mich)</w:t>
      </w:r>
      <w:r>
        <w:rPr/>
        <w:t xml:space="preserve"> </w:t>
      </w:r>
      <w:r>
        <w:rPr>
          <w:rStyle w:val="Funotenanker"/>
        </w:rPr>
        <w:footnoteReference w:customMarkFollows="1" w:id="534"/>
        <w:t>d</w:t>
      </w:r>
      <w:r>
        <w:rPr/>
        <w:t xml:space="preserve"> zerreißt wie ein Löwe,</w:t>
      </w:r>
      <w:r>
        <w:rPr>
          <w:b/>
          <w:color w:val="808080"/>
        </w:rPr>
        <w:t>[</w:t>
      </w:r>
      <w:r>
        <w:rPr/>
        <w:t xml:space="preserve">Sie </w:t>
      </w:r>
      <w:r>
        <w:rPr>
          <w:color w:val="808080"/>
        </w:rPr>
        <w:t>(mich)</w:t>
      </w:r>
      <w:r>
        <w:rPr>
          <w:b/>
          <w:color w:val="808080"/>
        </w:rPr>
        <w:t>]</w:t>
      </w:r>
      <w:r>
        <w:rPr/>
        <w:t xml:space="preserve"> zerfleischt, ohne dass jemand </w:t>
      </w:r>
      <w:r>
        <w:rPr>
          <w:b/>
          <w:color w:val="808080"/>
        </w:rPr>
        <w:t>[</w:t>
      </w:r>
      <w:r>
        <w:rPr/>
        <w:t xml:space="preserve">sie </w:t>
      </w:r>
      <w:r>
        <w:rPr>
          <w:color w:val="808080"/>
        </w:rPr>
        <w:t>(mich)</w:t>
      </w:r>
      <w:r>
        <w:rPr>
          <w:b/>
          <w:color w:val="808080"/>
        </w:rPr>
        <w:t>]</w:t>
      </w:r>
      <w:r>
        <w:rPr/>
        <w:t xml:space="preserve"> rettet!</w:t>
      </w:r>
      <w:r>
        <w:rPr>
          <w:rStyle w:val="Funotenanker"/>
        </w:rPr>
        <w:footnoteReference w:customMarkFollows="1" w:id="535"/>
        <w:t>e</w:t>
      </w:r>
      <w:r>
        <w:rPr/>
        <w:t xml:space="preserve"> </w:t>
      </w:r>
      <w:r>
        <w:rPr>
          <w:position w:val="8"/>
          <w:sz w:val="19"/>
        </w:rPr>
        <w:t>[[ ℘ &gt;&gt; BibleTOBIBLE:Ps 10:9]][[ ℘ &gt;&gt; BibleTOBIBLE:Ps 17:12]][[ ℘ &gt;&gt; BibleTOBIBLE:Ps 22:13]]</w:t>
      </w:r>
      <w:r>
        <w:rPr/>
        <w:t xml:space="preserve"> </w:t>
        <w:br/>
        <w:br/>
        <w:t xml:space="preserve">{{field-off:bible}} </w:t>
        <w:br/>
        <w:t>[[@BibleTOBIBLE:Ps 7:4]]</w:t>
      </w:r>
      <w:r>
        <w:rPr>
          <w:b/>
        </w:rPr>
        <w:t>4</w:t>
      </w:r>
      <w:r>
        <w:rPr/>
        <w:t xml:space="preserve"> {{field-on:bible}} </w:t>
        <w:br/>
      </w:r>
      <w:r>
        <w:rPr>
          <w:smallCaps/>
          <w:color w:val="FF0000"/>
        </w:rPr>
        <w:t>JHWH</w:t>
      </w:r>
      <w:r>
        <w:rPr/>
        <w:t>, mein Gott, wenn ich dies getan habe,</w:t>
      </w:r>
      <w:r>
        <w:rPr>
          <w:rStyle w:val="Funotenanker"/>
        </w:rPr>
        <w:footnoteReference w:customMarkFollows="1" w:id="536"/>
        <w:t>f</w:t>
      </w:r>
      <w:r>
        <w:rPr/>
        <w:t xml:space="preserve"> wenn Unrecht an meinen Händen </w:t>
      </w:r>
      <w:r>
        <w:rPr>
          <w:b/>
          <w:color w:val="808080"/>
        </w:rPr>
        <w:t>[</w:t>
      </w:r>
      <w:r>
        <w:rPr/>
        <w:t>ist</w:t>
      </w:r>
      <w:r>
        <w:rPr>
          <w:b/>
          <w:color w:val="808080"/>
        </w:rPr>
        <w:t>]</w:t>
      </w:r>
      <w:r>
        <w:rPr/>
        <w:t xml:space="preserve"> </w:t>
      </w:r>
      <w:r>
        <w:rPr>
          <w:rStyle w:val="Funotenanker"/>
        </w:rPr>
        <w:footnoteReference w:customMarkFollows="1" w:id="537"/>
        <w:t>g</w:t>
      </w:r>
      <w:r>
        <w:rPr/>
        <w:t xml:space="preserve"> </w:t>
      </w:r>
      <w:r>
        <w:rPr>
          <w:position w:val="8"/>
          <w:sz w:val="19"/>
        </w:rPr>
        <w:t>[[ ℘ &gt;&gt; BibleTOBIBLE:Job 31:7]][[ ℘ &gt;&gt; BibleTOBIBLE:Ps 26:10]]</w:t>
      </w:r>
      <w:r>
        <w:rPr/>
        <w:t xml:space="preserve"> </w:t>
        <w:br/>
        <w:t xml:space="preserve">{{field-off:bible}} </w:t>
        <w:br/>
        <w:t>[[@BibleTOBIBLE:Ps 7:5]]</w:t>
      </w:r>
      <w:r>
        <w:rPr>
          <w:b/>
        </w:rPr>
        <w:t>5</w:t>
      </w:r>
      <w:r>
        <w:rPr/>
        <w:t xml:space="preserve"> {{field-on:bible}} </w:t>
        <w:br/>
        <w:t>Wenn ich Böses tat dem, der</w:t>
      </w:r>
      <w:r>
        <w:rPr>
          <w:rStyle w:val="Funotenanker"/>
        </w:rPr>
        <w:footnoteReference w:customMarkFollows="1" w:id="538"/>
        <w:t>h</w:t>
      </w:r>
      <w:r>
        <w:rPr/>
        <w:t xml:space="preserve"> es mir </w:t>
      </w:r>
      <w:r>
        <w:rPr>
          <w:b/>
          <w:color w:val="808080"/>
        </w:rPr>
        <w:t>[</w:t>
      </w:r>
      <w:r>
        <w:rPr/>
        <w:t>nun</w:t>
      </w:r>
      <w:r>
        <w:rPr>
          <w:b/>
          <w:color w:val="808080"/>
        </w:rPr>
        <w:t>]</w:t>
      </w:r>
      <w:r>
        <w:rPr/>
        <w:t xml:space="preserve"> vergilt </w:t>
      </w:r>
      <w:r>
        <w:rPr>
          <w:color w:val="808080"/>
        </w:rPr>
        <w:t>(meinem Verbündeten?)</w:t>
      </w:r>
      <w:r>
        <w:rPr/>
        <w:t xml:space="preserve">,und </w:t>
      </w:r>
      <w:r>
        <w:rPr>
          <w:b/>
          <w:color w:val="808080"/>
        </w:rPr>
        <w:t>[</w:t>
      </w:r>
      <w:r>
        <w:rPr/>
        <w:t>wenn</w:t>
      </w:r>
      <w:r>
        <w:rPr>
          <w:b/>
          <w:color w:val="808080"/>
        </w:rPr>
        <w:t>]</w:t>
      </w:r>
      <w:r>
        <w:rPr/>
        <w:t xml:space="preserve"> ich grundlos meine Gegner </w:t>
      </w:r>
      <w:r>
        <w:rPr>
          <w:color w:val="808080"/>
        </w:rPr>
        <w:t xml:space="preserve">(die, die grundlos meine Gegner </w:t>
      </w:r>
      <w:r>
        <w:rPr>
          <w:b/>
          <w:color w:val="808080"/>
        </w:rPr>
        <w:t>[</w:t>
      </w:r>
      <w:r>
        <w:rPr>
          <w:color w:val="808080"/>
        </w:rPr>
        <w:t>sind</w:t>
      </w:r>
      <w:r>
        <w:rPr>
          <w:b/>
          <w:color w:val="808080"/>
        </w:rPr>
        <w:t>]</w:t>
      </w:r>
      <w:r>
        <w:rPr>
          <w:color w:val="808080"/>
        </w:rPr>
        <w:t>)</w:t>
      </w:r>
      <w:r>
        <w:rPr/>
        <w:t xml:space="preserve"> bedrängte </w:t>
      </w:r>
      <w:r>
        <w:rPr>
          <w:color w:val="808080"/>
        </w:rPr>
        <w:t>(rettete?)</w:t>
      </w:r>
      <w:r>
        <w:rPr/>
        <w:t>,</w:t>
      </w:r>
      <w:r>
        <w:rPr>
          <w:rStyle w:val="Funotenanker"/>
        </w:rPr>
        <w:footnoteReference w:customMarkFollows="1" w:id="539"/>
        <w:t>i</w:t>
      </w:r>
      <w:r>
        <w:rPr/>
        <w:t xml:space="preserve"> </w:t>
        <w:br/>
        <w:t xml:space="preserve">{{field-off:bible}} </w:t>
        <w:br/>
        <w:t>[[@BibleTOBIBLE:Ps 7:6]]</w:t>
      </w:r>
      <w:r>
        <w:rPr>
          <w:b/>
        </w:rPr>
        <w:t>6</w:t>
      </w:r>
      <w:r>
        <w:rPr/>
        <w:t xml:space="preserve"> {{field-on:bible}} </w:t>
        <w:br/>
        <w:t xml:space="preserve">dann verfolge </w:t>
      </w:r>
      <w:r>
        <w:rPr>
          <w:b/>
          <w:color w:val="808080"/>
        </w:rPr>
        <w:t>[</w:t>
      </w:r>
      <w:r>
        <w:rPr/>
        <w:t>mein</w:t>
      </w:r>
      <w:r>
        <w:rPr>
          <w:b/>
          <w:color w:val="808080"/>
        </w:rPr>
        <w:t>]</w:t>
      </w:r>
      <w:r>
        <w:rPr/>
        <w:t xml:space="preserve"> Feind meine Seele </w:t>
      </w:r>
      <w:r>
        <w:rPr>
          <w:color w:val="808080"/>
        </w:rPr>
        <w:t>(mich)</w:t>
      </w:r>
      <w:r>
        <w:rPr/>
        <w:t xml:space="preserve"> </w:t>
      </w:r>
      <w:r>
        <w:rPr>
          <w:rStyle w:val="Funotenanker"/>
        </w:rPr>
        <w:footnoteReference w:customMarkFollows="1" w:id="540"/>
        <w:t>j</w:t>
      </w:r>
      <w:r>
        <w:rPr/>
        <w:t xml:space="preserve"> und erreiche </w:t>
      </w:r>
      <w:r>
        <w:rPr>
          <w:b/>
          <w:color w:val="808080"/>
        </w:rPr>
        <w:t>[</w:t>
      </w:r>
      <w:r>
        <w:rPr/>
        <w:t>sie</w:t>
      </w:r>
      <w:r>
        <w:rPr>
          <w:b/>
          <w:color w:val="808080"/>
        </w:rPr>
        <w:t>]</w:t>
      </w:r>
      <w:r>
        <w:rPr/>
        <w:t xml:space="preserve">und trete meine Seele </w:t>
      </w:r>
      <w:r>
        <w:rPr>
          <w:color w:val="808080"/>
        </w:rPr>
        <w:t>(mich)</w:t>
      </w:r>
      <w:r>
        <w:rPr/>
        <w:t xml:space="preserve"> zu Boden </w:t>
      </w:r>
      <w:r>
        <w:rPr>
          <w:position w:val="8"/>
          <w:sz w:val="19"/>
        </w:rPr>
        <w:t>[[ ℘ &gt;&gt; BibleTOBIBLE:Ps 44:5]][[ ℘ &gt;&gt; BibleTOBIBLE:Ps 60:12]][[ ℘ &gt;&gt; BibleTOBIBLE:Is 63:3]]</w:t>
      </w:r>
      <w:r>
        <w:rPr/>
        <w:t xml:space="preserve">und lasse meine Ehre </w:t>
      </w:r>
      <w:r>
        <w:rPr>
          <w:color w:val="808080"/>
        </w:rPr>
        <w:t>(mich)</w:t>
      </w:r>
      <w:r>
        <w:rPr/>
        <w:t xml:space="preserve"> im Staub wohnen!</w:t>
      </w:r>
      <w:r>
        <w:rPr>
          <w:rStyle w:val="Funotenanker"/>
        </w:rPr>
        <w:footnoteReference w:customMarkFollows="1" w:id="541"/>
        <w:t>k</w:t>
      </w:r>
      <w:r>
        <w:rPr/>
        <w:t xml:space="preserve"> </w:t>
      </w:r>
      <w:r>
        <w:rPr>
          <w:strike/>
          <w:color w:val="808080"/>
        </w:rPr>
        <w:t>{Selah}</w:t>
      </w:r>
      <w:r>
        <w:rPr/>
        <w:t xml:space="preserve"> </w:t>
      </w:r>
      <w:r>
        <w:rPr>
          <w:rStyle w:val="Funotenanker"/>
        </w:rPr>
        <w:footnoteReference w:customMarkFollows="1" w:id="542"/>
        <w:t>l</w:t>
      </w:r>
      <w:r>
        <w:rPr/>
        <w:t xml:space="preserve"> </w:t>
      </w:r>
      <w:r>
        <w:rPr>
          <w:position w:val="8"/>
          <w:sz w:val="19"/>
        </w:rPr>
        <w:t>[[ ℘ &gt;&gt; BibleTOBIBLE:Job 31:5]][[ ℘ &gt;&gt; BibleTOBIBLE:Job 31:38]]</w:t>
      </w:r>
      <w:r>
        <w:rPr/>
        <w:t xml:space="preserve"> </w:t>
        <w:br/>
        <w:br/>
        <w:t xml:space="preserve">{{field-off:bible}} </w:t>
        <w:br/>
        <w:t>[[@BibleTOBIBLE:Ps 7:7]]</w:t>
      </w:r>
      <w:r>
        <w:rPr>
          <w:b/>
        </w:rPr>
        <w:t>7</w:t>
      </w:r>
      <w:r>
        <w:rPr/>
        <w:t xml:space="preserve"> {{field-on:bible}} </w:t>
        <w:br/>
        <w:t xml:space="preserve">Steh auf, </w:t>
      </w:r>
      <w:r>
        <w:rPr>
          <w:smallCaps/>
          <w:color w:val="FF0000"/>
        </w:rPr>
        <w:t>JHWH</w:t>
      </w:r>
      <w:r>
        <w:rPr/>
        <w:t xml:space="preserve">, in Deinem Zorn! </w:t>
      </w:r>
      <w:r>
        <w:rPr>
          <w:position w:val="8"/>
          <w:sz w:val="19"/>
        </w:rPr>
        <w:t>[[ ℘ &gt;&gt; BibleTOBIBLE:Ps 3:7]][[ ℘ &gt;&gt; BibleTOBIBLE:Ps 44:26]]</w:t>
      </w:r>
      <w:r>
        <w:rPr/>
        <w:t xml:space="preserve">Erhebe Dich gegen die Wut meiner Feinde </w:t>
      </w:r>
      <w:r>
        <w:rPr>
          <w:color w:val="808080"/>
        </w:rPr>
        <w:t xml:space="preserve">(in </w:t>
      </w:r>
      <w:r>
        <w:rPr>
          <w:b/>
          <w:color w:val="808080"/>
        </w:rPr>
        <w:t>[</w:t>
      </w:r>
      <w:r>
        <w:rPr>
          <w:color w:val="808080"/>
        </w:rPr>
        <w:t>Deiner</w:t>
      </w:r>
      <w:r>
        <w:rPr>
          <w:b/>
          <w:color w:val="808080"/>
        </w:rPr>
        <w:t>]</w:t>
      </w:r>
      <w:r>
        <w:rPr>
          <w:color w:val="808080"/>
        </w:rPr>
        <w:t xml:space="preserve"> Wut auf meine Feinde)</w:t>
      </w:r>
      <w:r>
        <w:rPr/>
        <w:t>Und erwache</w:t>
      </w:r>
      <w:r>
        <w:rPr>
          <w:rStyle w:val="Funotenanker"/>
        </w:rPr>
        <w:footnoteReference w:customMarkFollows="1" w:id="543"/>
        <w:t>m</w:t>
      </w:r>
      <w:r>
        <w:rPr/>
        <w:t xml:space="preserve">, mein Gott </w:t>
      </w:r>
      <w:r>
        <w:rPr>
          <w:color w:val="808080"/>
        </w:rPr>
        <w:t>(Und erwache zu mir hin?)</w:t>
      </w:r>
      <w:r>
        <w:rPr/>
        <w:t xml:space="preserve"> </w:t>
      </w:r>
      <w:r>
        <w:rPr>
          <w:rStyle w:val="Funotenanker"/>
        </w:rPr>
        <w:footnoteReference w:customMarkFollows="1" w:id="544"/>
        <w:t>n</w:t>
      </w:r>
      <w:r>
        <w:rPr/>
        <w:t xml:space="preserve">, </w:t>
      </w:r>
      <w:r>
        <w:rPr>
          <w:b/>
          <w:color w:val="808080"/>
        </w:rPr>
        <w:t>[</w:t>
      </w:r>
      <w:r>
        <w:rPr/>
        <w:t>der</w:t>
      </w:r>
      <w:r>
        <w:rPr>
          <w:b/>
          <w:color w:val="808080"/>
        </w:rPr>
        <w:t>]</w:t>
      </w:r>
      <w:r>
        <w:rPr/>
        <w:t xml:space="preserve"> du das Recht eingesetzt hast!</w:t>
      </w:r>
      <w:r>
        <w:rPr>
          <w:rStyle w:val="Funotenanker"/>
        </w:rPr>
        <w:footnoteReference w:customMarkFollows="1" w:id="545"/>
        <w:t>o</w:t>
      </w:r>
      <w:r>
        <w:rPr/>
        <w:t xml:space="preserve"> </w:t>
      </w:r>
      <w:r>
        <w:rPr>
          <w:position w:val="8"/>
          <w:sz w:val="19"/>
        </w:rPr>
        <w:t>[[ ℘ &gt;&gt; BibleTOBIBLE:Ps 35:23]][[ ℘ &gt;&gt; BibleTOBIBLE:Ps 44:23]][[ ℘ &gt;&gt; BibleTOBIBLE:Ps 73:20]][[ ℘ &gt;&gt; BibleTOBIBLE:Ps 76:9]][[ ℘ &gt;&gt; BibleTOBIBLE:Ps 78:65]][[ ℘ &gt;&gt; BibleTOBIBLE:Is 51:9]]</w:t>
      </w:r>
      <w:r>
        <w:rPr/>
        <w:t xml:space="preserve"> </w:t>
        <w:br/>
        <w:t xml:space="preserve">{{field-off:bible}} </w:t>
        <w:br/>
        <w:t>[[@BibleTOBIBLE:Ps 7:8]]</w:t>
      </w:r>
      <w:r>
        <w:rPr>
          <w:b/>
        </w:rPr>
        <w:t>8</w:t>
      </w:r>
      <w:r>
        <w:rPr/>
        <w:t xml:space="preserve"> {{field-on:bible}} </w:t>
        <w:br/>
      </w:r>
      <w:r>
        <w:rPr>
          <w:strike/>
          <w:color w:val="808080"/>
        </w:rPr>
        <w:t>{Und}</w:t>
      </w:r>
      <w:r>
        <w:rPr/>
        <w:t xml:space="preserve"> die Versammlung der Völker umgebe dichUnd über sie kehre zur Höhe zurück!</w:t>
      </w:r>
      <w:r>
        <w:rPr>
          <w:rStyle w:val="Funotenanker"/>
        </w:rPr>
        <w:footnoteReference w:customMarkFollows="1" w:id="546"/>
        <w:t>p</w:t>
      </w:r>
      <w:r>
        <w:rPr/>
        <w:t xml:space="preserve"> </w:t>
      </w:r>
      <w:r>
        <w:rPr>
          <w:position w:val="8"/>
          <w:sz w:val="19"/>
        </w:rPr>
        <w:t>[[ ℘ &gt;&gt; BibleTOBIBLE:Ps 2:4]][[ ℘ &gt;&gt; BibleTOBIBLE:Ps 9:4]][[ ℘ &gt;&gt; BibleTOBIBLE:Ps 11:4]][[ ℘ &gt;&gt; BibleTOBIBLE:Ps 33:14]][[ ℘ &gt;&gt; BibleTOBIBLE:Ps 96:10]][[ ℘ &gt;&gt; BibleTOBIBLE:Ps 98:9]][[ ℘ &gt;&gt; BibleTOBIBLE:Ps 103:19]][[ ℘ &gt;&gt; BibleTOBIBLE:Ps 113:5]][[ ℘ &gt;&gt; BibleTOBIBLE:Re 4:2]][[ ℘ &gt;&gt; BibleTOBIBLE:Re 20:12]]</w:t>
      </w:r>
      <w:r>
        <w:rPr/>
        <w:t xml:space="preserve"> </w:t>
        <w:br/>
        <w:t xml:space="preserve">{{field-off:bible}} </w:t>
        <w:br/>
        <w:t>[[@BibleTOBIBLE:Ps 7:9]]</w:t>
      </w:r>
      <w:r>
        <w:rPr>
          <w:b/>
        </w:rPr>
        <w:t>9</w:t>
      </w:r>
      <w:r>
        <w:rPr/>
        <w:t xml:space="preserve"> {{field-on:bible}} </w:t>
        <w:br/>
      </w:r>
      <w:r>
        <w:rPr>
          <w:smallCaps/>
          <w:color w:val="FF0000"/>
        </w:rPr>
        <w:t>JHWH</w:t>
      </w:r>
      <w:r>
        <w:rPr/>
        <w:t xml:space="preserve"> richte die Völker</w:t>
      </w:r>
      <w:r>
        <w:rPr>
          <w:rStyle w:val="Funotenanker"/>
        </w:rPr>
        <w:footnoteReference w:customMarkFollows="1" w:id="547"/>
        <w:t>q</w:t>
      </w:r>
      <w:r>
        <w:rPr/>
        <w:t xml:space="preserve"> </w:t>
      </w:r>
      <w:r>
        <w:rPr>
          <w:position w:val="8"/>
          <w:sz w:val="19"/>
        </w:rPr>
        <w:t>[[ ℘ &gt;&gt; BibleTOBIBLE:Ps 9:8]]</w:t>
      </w:r>
      <w:r>
        <w:rPr/>
        <w:t xml:space="preserve">Schaff </w:t>
      </w:r>
      <w:r>
        <w:rPr>
          <w:b/>
          <w:color w:val="808080"/>
        </w:rPr>
        <w:t>[</w:t>
      </w:r>
      <w:r>
        <w:rPr/>
        <w:t>auch</w:t>
      </w:r>
      <w:r>
        <w:rPr>
          <w:b/>
          <w:color w:val="808080"/>
        </w:rPr>
        <w:t>]</w:t>
      </w:r>
      <w:r>
        <w:rPr/>
        <w:t xml:space="preserve"> mir Recht</w:t>
      </w:r>
      <w:r>
        <w:rPr>
          <w:rStyle w:val="Funotenanker"/>
        </w:rPr>
        <w:footnoteReference w:customMarkFollows="1" w:id="548"/>
        <w:t>r</w:t>
      </w:r>
      <w:r>
        <w:rPr/>
        <w:t xml:space="preserve">, </w:t>
      </w:r>
      <w:r>
        <w:rPr>
          <w:smallCaps/>
          <w:color w:val="FF0000"/>
        </w:rPr>
        <w:t>JHWH</w:t>
      </w:r>
      <w:r>
        <w:rPr/>
        <w:t>, gemäß meiner Gerechtigkeit</w:t>
      </w:r>
      <w:r>
        <w:rPr>
          <w:rStyle w:val="Funotenanker"/>
        </w:rPr>
        <w:footnoteReference w:customMarkFollows="1" w:id="549"/>
        <w:t>s</w:t>
      </w:r>
      <w:r>
        <w:rPr/>
        <w:t xml:space="preserve">Und gemäß meiner Unschuld, </w:t>
      </w:r>
      <w:r>
        <w:rPr>
          <w:b/>
          <w:color w:val="808080"/>
        </w:rPr>
        <w:t>[</w:t>
      </w:r>
      <w:r>
        <w:rPr/>
        <w:t>die</w:t>
      </w:r>
      <w:r>
        <w:rPr>
          <w:b/>
          <w:color w:val="808080"/>
        </w:rPr>
        <w:t>]</w:t>
      </w:r>
      <w:r>
        <w:rPr/>
        <w:t xml:space="preserve"> auf mir </w:t>
      </w:r>
      <w:r>
        <w:rPr>
          <w:b/>
          <w:color w:val="808080"/>
        </w:rPr>
        <w:t>[</w:t>
      </w:r>
      <w:r>
        <w:rPr/>
        <w:t>ist</w:t>
      </w:r>
      <w:r>
        <w:rPr>
          <w:b/>
          <w:color w:val="808080"/>
        </w:rPr>
        <w:t>]</w:t>
      </w:r>
      <w:r>
        <w:rPr/>
        <w:t xml:space="preserve"> </w:t>
      </w:r>
      <w:r>
        <w:rPr>
          <w:rStyle w:val="Funotenanker"/>
        </w:rPr>
        <w:footnoteReference w:customMarkFollows="1" w:id="550"/>
        <w:t>t</w:t>
      </w:r>
      <w:r>
        <w:rPr/>
        <w:t xml:space="preserve">! </w:t>
      </w:r>
      <w:r>
        <w:rPr>
          <w:position w:val="8"/>
          <w:sz w:val="19"/>
        </w:rPr>
        <w:t>[[ ℘ &gt;&gt; BibleTOBIBLE:Ps 26:1]][[ ℘ &gt;&gt; BibleTOBIBLE:Ps 37:23]][[ ℘ &gt;&gt; BibleTOBIBLE:Ps 43:1]][[ ℘ &gt;&gt; BibleTOBIBLE:Ps 96:13]][[ ℘ &gt;&gt; BibleTOBIBLE:Ps 98:9]]</w:t>
      </w:r>
      <w:r>
        <w:rPr/>
        <w:t xml:space="preserve"> </w:t>
        <w:br/>
        <w:t xml:space="preserve">{{field-off:bible}} </w:t>
        <w:br/>
        <w:t>[[@BibleTOBIBLE:Ps 7:10]]</w:t>
      </w:r>
      <w:r>
        <w:rPr>
          <w:b/>
        </w:rPr>
        <w:t>10</w:t>
      </w:r>
      <w:r>
        <w:rPr/>
        <w:t xml:space="preserve"> {{field-on:bible}} </w:t>
        <w:br/>
        <w:t xml:space="preserve">Ach, es möge enden Böses von Frevlern </w:t>
      </w:r>
      <w:r>
        <w:rPr>
          <w:color w:val="808080"/>
        </w:rPr>
        <w:t>(böse Frevler, Bosheit von Frevler?)</w:t>
      </w:r>
      <w:r>
        <w:rPr/>
        <w:t xml:space="preserve"> </w:t>
      </w:r>
      <w:r>
        <w:rPr>
          <w:rStyle w:val="Funotenanker"/>
        </w:rPr>
        <w:footnoteReference w:customMarkFollows="1" w:id="551"/>
        <w:t>u</w:t>
      </w:r>
      <w:r>
        <w:rPr/>
        <w:t>,</w:t>
      </w:r>
      <w:r>
        <w:rPr>
          <w:b/>
          <w:color w:val="808080"/>
        </w:rPr>
        <w:t>[</w:t>
      </w:r>
      <w:r>
        <w:rPr/>
        <w:t>Aber</w:t>
      </w:r>
      <w:r>
        <w:rPr>
          <w:b/>
          <w:color w:val="808080"/>
        </w:rPr>
        <w:t>]</w:t>
      </w:r>
      <w:r>
        <w:rPr/>
        <w:t xml:space="preserve"> Gerechte mögest du sicher stehen lassen</w:t>
      </w:r>
      <w:r>
        <w:rPr>
          <w:rStyle w:val="Funotenanker"/>
        </w:rPr>
        <w:footnoteReference w:customMarkFollows="1" w:id="552"/>
        <w:t>v</w:t>
      </w:r>
      <w:r>
        <w:rPr/>
        <w:t>.</w:t>
        <w:br/>
        <w:br/>
        <w:t>Der gerechte Gott prüft Herz und Nieren</w:t>
      </w:r>
      <w:r>
        <w:rPr>
          <w:rStyle w:val="Funotenanker"/>
        </w:rPr>
        <w:footnoteReference w:customMarkFollows="1" w:id="553"/>
        <w:t>w</w:t>
      </w:r>
      <w:r>
        <w:rPr/>
        <w:t xml:space="preserve"> </w:t>
      </w:r>
      <w:r>
        <w:rPr>
          <w:rStyle w:val="Funotenanker"/>
        </w:rPr>
        <w:footnoteReference w:customMarkFollows="1" w:id="554"/>
        <w:t>x</w:t>
      </w:r>
      <w:r>
        <w:rPr/>
        <w:t xml:space="preserve">, </w:t>
      </w:r>
      <w:r>
        <w:rPr>
          <w:position w:val="8"/>
          <w:sz w:val="19"/>
        </w:rPr>
        <w:t>[[ ℘ &gt;&gt; BibleTOBIBLE:1Sa 16:7]][[ ℘ &gt;&gt; BibleTOBIBLE:1Ch 28:9]][[ ℘ &gt;&gt; BibleTOBIBLE:Ps 11:4]][[ ℘ &gt;&gt; BibleTOBIBLE:Ps 17:3]][[ ℘ &gt;&gt; BibleTOBIBLE:Ps 44:21]][[ ℘ &gt;&gt; BibleTOBIBLE:Ps 139:1]][[ ℘ &gt;&gt; BibleTOBIBLE:Je 11:20]][[ ℘ &gt;&gt; BibleTOBIBLE:Je 17:10]][[ ℘ &gt;&gt; BibleTOBIBLE:Je 20:12]][[ ℘ &gt;&gt; BibleTOBIBLE:1Co 4:5]][[ ℘ &gt;&gt; BibleTOBIBLE:Re 2:23]]</w:t>
      </w:r>
      <w:r>
        <w:rPr/>
        <w:t xml:space="preserve"> </w:t>
        <w:br/>
        <w:t xml:space="preserve">{{field-off:bible}} </w:t>
        <w:br/>
        <w:t>[[@BibleTOBIBLE:Ps 7:11]]</w:t>
      </w:r>
      <w:r>
        <w:rPr>
          <w:b/>
        </w:rPr>
        <w:t>11</w:t>
      </w:r>
      <w:r>
        <w:rPr/>
        <w:t xml:space="preserve"> {{field-on:bible}} </w:t>
        <w:br/>
      </w:r>
      <w:r>
        <w:rPr>
          <w:b/>
          <w:color w:val="808080"/>
        </w:rPr>
        <w:t>[</w:t>
      </w:r>
      <w:r>
        <w:rPr/>
        <w:t>Darum</w:t>
      </w:r>
      <w:r>
        <w:rPr>
          <w:b/>
          <w:color w:val="808080"/>
        </w:rPr>
        <w:t>]</w:t>
      </w:r>
      <w:r>
        <w:rPr/>
        <w:t xml:space="preserve"> </w:t>
      </w:r>
      <w:r>
        <w:rPr>
          <w:b/>
          <w:color w:val="808080"/>
        </w:rPr>
        <w:t>[</w:t>
      </w:r>
      <w:r>
        <w:rPr/>
        <w:t>Ist</w:t>
      </w:r>
      <w:r>
        <w:rPr>
          <w:b/>
          <w:color w:val="808080"/>
        </w:rPr>
        <w:t>]</w:t>
      </w:r>
      <w:r>
        <w:rPr/>
        <w:t xml:space="preserve"> mein Schild auf mir </w:t>
      </w:r>
      <w:r>
        <w:rPr>
          <w:color w:val="808080"/>
        </w:rPr>
        <w:t>(auf)</w:t>
      </w:r>
      <w:r>
        <w:rPr/>
        <w:t xml:space="preserve"> </w:t>
      </w:r>
      <w:r>
        <w:rPr>
          <w:rStyle w:val="Funotenanker"/>
        </w:rPr>
        <w:footnoteReference w:customMarkFollows="1" w:id="555"/>
        <w:t>y</w:t>
      </w:r>
      <w:r>
        <w:rPr/>
        <w:t xml:space="preserve"> Gott, </w:t>
      </w:r>
      <w:r>
        <w:rPr>
          <w:position w:val="8"/>
          <w:sz w:val="19"/>
        </w:rPr>
        <w:t>[[ ℘ &gt;&gt; BibleTOBIBLE:Ps 3:4]][[ ℘ &gt;&gt; BibleTOBIBLE:Ps 18:3]][[ ℘ &gt;&gt; BibleTOBIBLE:Ps 89:19]]</w:t>
      </w:r>
      <w:r>
        <w:rPr/>
        <w:t xml:space="preserve">der Retter </w:t>
      </w:r>
      <w:r>
        <w:rPr>
          <w:b/>
          <w:color w:val="808080"/>
        </w:rPr>
        <w:t>[</w:t>
      </w:r>
      <w:r>
        <w:rPr/>
        <w:t>derer, die</w:t>
      </w:r>
      <w:r>
        <w:rPr>
          <w:b/>
          <w:color w:val="808080"/>
        </w:rPr>
        <w:t>]</w:t>
      </w:r>
      <w:r>
        <w:rPr/>
        <w:t xml:space="preserve"> redlichen Herzens </w:t>
      </w:r>
      <w:r>
        <w:rPr>
          <w:b/>
          <w:color w:val="808080"/>
        </w:rPr>
        <w:t>[</w:t>
      </w:r>
      <w:r>
        <w:rPr/>
        <w:t>sind</w:t>
      </w:r>
      <w:r>
        <w:rPr>
          <w:b/>
          <w:color w:val="808080"/>
        </w:rPr>
        <w:t>]</w:t>
      </w:r>
      <w:r>
        <w:rPr/>
        <w:t xml:space="preserve">. </w:t>
      </w:r>
      <w:r>
        <w:rPr>
          <w:position w:val="8"/>
          <w:sz w:val="19"/>
        </w:rPr>
        <w:t>[[ ℘ &gt;&gt; BibleTOBIBLE:Job 18:6]][[ ℘ &gt;&gt; BibleTOBIBLE:Ps 18:20]][[ ℘ &gt;&gt; BibleTOBIBLE:Ps 112:2]][[ ℘ &gt;&gt; BibleTOBIBLE:Ps 125:4]][[ ℘ &gt;&gt; BibleTOBIBLE:Pr 2:21]]</w:t>
      </w:r>
      <w:r>
        <w:rPr/>
        <w:t xml:space="preserve"> </w:t>
        <w:br/>
        <w:t xml:space="preserve">{{field-off:bible}} </w:t>
        <w:br/>
        <w:t>[[@BibleTOBIBLE:Ps 7:12]]</w:t>
      </w:r>
      <w:r>
        <w:rPr>
          <w:b/>
        </w:rPr>
        <w:t>12</w:t>
      </w:r>
      <w:r>
        <w:rPr/>
        <w:t xml:space="preserve"> {{field-on:bible}} </w:t>
        <w:br/>
        <w:t xml:space="preserve">Gott </w:t>
      </w:r>
      <w:r>
        <w:rPr>
          <w:b/>
          <w:color w:val="808080"/>
        </w:rPr>
        <w:t>[</w:t>
      </w:r>
      <w:r>
        <w:rPr/>
        <w:t>ist</w:t>
      </w:r>
      <w:r>
        <w:rPr>
          <w:b/>
          <w:color w:val="808080"/>
        </w:rPr>
        <w:t>]</w:t>
      </w:r>
      <w:r>
        <w:rPr/>
        <w:t xml:space="preserve"> ein gerechter Richter,</w:t>
      </w:r>
      <w:r>
        <w:rPr>
          <w:b/>
          <w:color w:val="808080"/>
        </w:rPr>
        <w:t>[</w:t>
      </w:r>
      <w:r>
        <w:rPr/>
        <w:t>Darum</w:t>
      </w:r>
      <w:r>
        <w:rPr>
          <w:b/>
          <w:color w:val="808080"/>
        </w:rPr>
        <w:t>]</w:t>
      </w:r>
      <w:r>
        <w:rPr/>
        <w:t xml:space="preserve"> </w:t>
      </w:r>
      <w:r>
        <w:rPr>
          <w:b/>
          <w:color w:val="808080"/>
        </w:rPr>
        <w:t>[</w:t>
      </w:r>
      <w:r>
        <w:rPr/>
        <w:t>ist</w:t>
      </w:r>
      <w:r>
        <w:rPr>
          <w:b/>
          <w:color w:val="808080"/>
        </w:rPr>
        <w:t>]</w:t>
      </w:r>
      <w:r>
        <w:rPr/>
        <w:t xml:space="preserve"> er </w:t>
      </w:r>
      <w:r>
        <w:rPr>
          <w:b/>
          <w:color w:val="808080"/>
        </w:rPr>
        <w:t>[</w:t>
      </w:r>
      <w:r>
        <w:rPr/>
        <w:t>auch</w:t>
      </w:r>
      <w:r>
        <w:rPr>
          <w:b/>
          <w:color w:val="808080"/>
        </w:rPr>
        <w:t>]</w:t>
      </w:r>
      <w:r>
        <w:rPr/>
        <w:t xml:space="preserve"> ein Gott, </w:t>
      </w:r>
      <w:r>
        <w:rPr>
          <w:b/>
          <w:color w:val="808080"/>
        </w:rPr>
        <w:t>[</w:t>
      </w:r>
      <w:r>
        <w:rPr/>
        <w:t>der</w:t>
      </w:r>
      <w:r>
        <w:rPr>
          <w:b/>
          <w:color w:val="808080"/>
        </w:rPr>
        <w:t>]</w:t>
      </w:r>
      <w:r>
        <w:rPr/>
        <w:t xml:space="preserve"> jeden Tag zürnt:</w:t>
      </w:r>
      <w:r>
        <w:rPr>
          <w:rStyle w:val="Funotenanker"/>
        </w:rPr>
        <w:footnoteReference w:customMarkFollows="1" w:id="556"/>
        <w:t>z</w:t>
      </w:r>
      <w:r>
        <w:rPr/>
        <w:t xml:space="preserve"> </w:t>
      </w:r>
      <w:r>
        <w:rPr>
          <w:position w:val="8"/>
          <w:sz w:val="19"/>
        </w:rPr>
        <w:t>[[ ℘ &gt;&gt; BibleTOBIBLE:1Sa 2:10]][[ ℘ &gt;&gt; BibleTOBIBLE:Ps 10:15]][[ ℘ &gt;&gt; BibleTOBIBLE:Ps 35:24]][[ ℘ &gt;&gt; BibleTOBIBLE:Pr 11:20]][[ ℘ &gt;&gt; BibleTOBIBLE:Pr 28:18]]</w:t>
      </w:r>
      <w:r>
        <w:rPr/>
        <w:t xml:space="preserve"> </w:t>
        <w:br/>
        <w:t xml:space="preserve">{{field-off:bible}} </w:t>
        <w:br/>
        <w:t>[[@BibleTOBIBLE:Ps 7:13]]</w:t>
      </w:r>
      <w:r>
        <w:rPr>
          <w:b/>
        </w:rPr>
        <w:t>13</w:t>
      </w:r>
      <w:r>
        <w:rPr/>
        <w:t xml:space="preserve"> {{field-on:bible}} </w:t>
        <w:br/>
        <w:t xml:space="preserve">Wenn man sich nicht bekehrt, </w:t>
      </w:r>
      <w:r>
        <w:rPr>
          <w:b/>
          <w:color w:val="808080"/>
        </w:rPr>
        <w:t>[</w:t>
      </w:r>
      <w:r>
        <w:rPr/>
        <w:t>sondern</w:t>
      </w:r>
      <w:r>
        <w:rPr>
          <w:b/>
          <w:color w:val="808080"/>
        </w:rPr>
        <w:t>]</w:t>
      </w:r>
      <w:r>
        <w:rPr/>
        <w:t xml:space="preserve"> sein Schwert wetzt,</w:t>
      </w:r>
      <w:r>
        <w:rPr>
          <w:rStyle w:val="Funotenanker"/>
        </w:rPr>
        <w:footnoteReference w:customMarkFollows="1" w:id="557"/>
        <w:t>aa</w:t>
      </w:r>
      <w:r>
        <w:rPr/>
        <w:t>Seinen Bogen spannt und ihn aufrichtet</w:t>
      </w:r>
      <w:r>
        <w:rPr>
          <w:rStyle w:val="Funotenanker"/>
        </w:rPr>
        <w:footnoteReference w:customMarkFollows="1" w:id="558"/>
        <w:t>ab</w:t>
      </w:r>
      <w:r>
        <w:rPr/>
        <w:t xml:space="preserve"> - </w:t>
      </w:r>
      <w:r>
        <w:rPr>
          <w:position w:val="8"/>
          <w:sz w:val="19"/>
        </w:rPr>
        <w:t>[[ ℘ &gt;&gt; BibleTOBIBLE:Ps 11:2]][[ ℘ &gt;&gt; BibleTOBIBLE:Ps 64:4]][[ ℘ &gt;&gt; BibleTOBIBLE:Ps 64:8]][[ ℘ &gt;&gt; BibleTOBIBLE:La 3:12]]</w:t>
      </w:r>
      <w:r>
        <w:rPr/>
        <w:t xml:space="preserve"> </w:t>
        <w:br/>
        <w:t xml:space="preserve">{{field-off:bible}} </w:t>
        <w:br/>
        <w:t>[[@BibleTOBIBLE:Ps 7:14]]</w:t>
      </w:r>
      <w:r>
        <w:rPr>
          <w:b/>
        </w:rPr>
        <w:t>14</w:t>
      </w:r>
      <w:r>
        <w:rPr/>
        <w:t xml:space="preserve"> {{field-on:bible}} </w:t>
        <w:br/>
        <w:t xml:space="preserve">für sich </w:t>
      </w:r>
      <w:r>
        <w:rPr>
          <w:b/>
          <w:color w:val="808080"/>
        </w:rPr>
        <w:t>[</w:t>
      </w:r>
      <w:r>
        <w:rPr/>
        <w:t>selbst</w:t>
      </w:r>
      <w:r>
        <w:rPr>
          <w:b/>
          <w:color w:val="808080"/>
        </w:rPr>
        <w:t>]</w:t>
      </w:r>
      <w:r>
        <w:rPr/>
        <w:t xml:space="preserve"> richtet man </w:t>
      </w:r>
      <w:r>
        <w:rPr>
          <w:b/>
          <w:color w:val="808080"/>
        </w:rPr>
        <w:t>[</w:t>
      </w:r>
      <w:r>
        <w:rPr/>
        <w:t>dann</w:t>
      </w:r>
      <w:r>
        <w:rPr>
          <w:b/>
          <w:color w:val="808080"/>
        </w:rPr>
        <w:t>]</w:t>
      </w:r>
      <w:r>
        <w:rPr/>
        <w:t xml:space="preserve"> die tödlichen Waffen</w:t>
      </w:r>
      <w:r>
        <w:rPr>
          <w:b/>
          <w:color w:val="808080"/>
        </w:rPr>
        <w:t>[</w:t>
      </w:r>
      <w:r>
        <w:rPr/>
        <w:t>Und</w:t>
      </w:r>
      <w:r>
        <w:rPr>
          <w:b/>
          <w:color w:val="808080"/>
        </w:rPr>
        <w:t>]</w:t>
      </w:r>
      <w:r>
        <w:rPr/>
        <w:t xml:space="preserve"> macht seine Pfeile zu brennenden</w:t>
      </w:r>
      <w:r>
        <w:rPr>
          <w:rStyle w:val="Funotenanker"/>
        </w:rPr>
        <w:footnoteReference w:customMarkFollows="1" w:id="559"/>
        <w:t>ac</w:t>
      </w:r>
      <w:r>
        <w:rPr/>
        <w:t>.</w:t>
        <w:br/>
        <w:t xml:space="preserve">{{field-off:bible}} </w:t>
        <w:br/>
        <w:t>[[@BibleTOBIBLE:Ps 7:15]]</w:t>
      </w:r>
      <w:r>
        <w:rPr>
          <w:b/>
        </w:rPr>
        <w:t>15</w:t>
      </w:r>
      <w:r>
        <w:rPr/>
        <w:t xml:space="preserve"> {{field-on:bible}} </w:t>
        <w:br/>
        <w:t xml:space="preserve">Wenn </w:t>
      </w:r>
      <w:r>
        <w:rPr>
          <w:color w:val="808080"/>
        </w:rPr>
        <w:t>(siehe)</w:t>
      </w:r>
      <w:r>
        <w:rPr/>
        <w:t xml:space="preserve"> </w:t>
      </w:r>
      <w:r>
        <w:rPr>
          <w:rStyle w:val="Funotenanker"/>
        </w:rPr>
        <w:footnoteReference w:customMarkFollows="1" w:id="560"/>
        <w:t>ad</w:t>
      </w:r>
      <w:r>
        <w:rPr/>
        <w:t xml:space="preserve"> man Frevel empfängt,Geht man mit Bosheit schwanger und gebiert - Trug </w:t>
      </w:r>
      <w:r>
        <w:rPr>
          <w:color w:val="808080"/>
        </w:rPr>
        <w:t>(und gebiert Lügen)</w:t>
      </w:r>
      <w:r>
        <w:rPr/>
        <w:t>.</w:t>
      </w:r>
      <w:r>
        <w:rPr>
          <w:rStyle w:val="Funotenanker"/>
        </w:rPr>
        <w:footnoteReference w:customMarkFollows="1" w:id="561"/>
        <w:t>ae</w:t>
      </w:r>
      <w:r>
        <w:rPr/>
        <w:t xml:space="preserve"> </w:t>
      </w:r>
      <w:r>
        <w:rPr>
          <w:position w:val="8"/>
          <w:sz w:val="19"/>
        </w:rPr>
        <w:t>[[ ℘ &gt;&gt; BibleTOBIBLE:Job 15:35]][[ ℘ &gt;&gt; BibleTOBIBLE:Is 33:11]][[ ℘ &gt;&gt; BibleTOBIBLE:Jas 1:15]]</w:t>
      </w:r>
      <w:r>
        <w:rPr/>
        <w:t xml:space="preserve"> </w:t>
        <w:br/>
        <w:t xml:space="preserve">{{field-off:bible}} </w:t>
        <w:br/>
        <w:t>[[@BibleTOBIBLE:Ps 7:16]]</w:t>
      </w:r>
      <w:r>
        <w:rPr>
          <w:b/>
        </w:rPr>
        <w:t>16</w:t>
      </w:r>
      <w:r>
        <w:rPr/>
        <w:t xml:space="preserve"> {{field-on:bible}} </w:t>
        <w:br/>
        <w:t xml:space="preserve">Gräbt man ein Loch und hebt es aus -Fällt man </w:t>
      </w:r>
      <w:r>
        <w:rPr>
          <w:b/>
          <w:color w:val="808080"/>
        </w:rPr>
        <w:t>[</w:t>
      </w:r>
      <w:r>
        <w:rPr/>
        <w:t>selbst</w:t>
      </w:r>
      <w:r>
        <w:rPr>
          <w:b/>
          <w:color w:val="808080"/>
        </w:rPr>
        <w:t>]</w:t>
      </w:r>
      <w:r>
        <w:rPr/>
        <w:t xml:space="preserve"> in die Grube, </w:t>
      </w:r>
      <w:r>
        <w:rPr>
          <w:b/>
          <w:color w:val="808080"/>
        </w:rPr>
        <w:t>[</w:t>
      </w:r>
      <w:r>
        <w:rPr/>
        <w:t>die</w:t>
      </w:r>
      <w:r>
        <w:rPr>
          <w:b/>
          <w:color w:val="808080"/>
        </w:rPr>
        <w:t>]</w:t>
      </w:r>
      <w:r>
        <w:rPr/>
        <w:t xml:space="preserve"> man machen wollte. </w:t>
      </w:r>
      <w:r>
        <w:rPr>
          <w:position w:val="8"/>
          <w:sz w:val="19"/>
        </w:rPr>
        <w:t>[[ ℘ &gt;&gt; BibleTOBIBLE:Ps 9:16]][[ ℘ &gt;&gt; BibleTOBIBLE:Ps 35:7]][[ ℘ &gt;&gt; BibleTOBIBLE:Ps 57:7]][[ ℘ &gt;&gt; BibleTOBIBLE:Ps 141:10]][[ ℘ &gt;&gt; BibleTOBIBLE:Pr 5:22]][[ ℘ &gt;&gt; BibleTOBIBLE:Pr 26:27]][[ ℘ &gt;&gt; BibleTOBIBLE:Ec 10:8]][[ ℘ &gt;&gt; BibleTOBIBLE:Re 16:6]]</w:t>
      </w:r>
      <w:r>
        <w:rPr/>
        <w:t xml:space="preserve"> </w:t>
        <w:br/>
        <w:t xml:space="preserve">{{field-off:bible}} </w:t>
        <w:br/>
        <w:t>[[@BibleTOBIBLE:Ps 7:17]]</w:t>
      </w:r>
      <w:r>
        <w:rPr>
          <w:b/>
        </w:rPr>
        <w:t>17</w:t>
      </w:r>
      <w:r>
        <w:rPr/>
        <w:t xml:space="preserve"> {{field-on:bible}} </w:t>
        <w:br/>
        <w:t xml:space="preserve">Jemandes Bosheit kehrt auf seinen </w:t>
      </w:r>
      <w:r>
        <w:rPr>
          <w:b/>
          <w:color w:val="808080"/>
        </w:rPr>
        <w:t>[</w:t>
      </w:r>
      <w:r>
        <w:rPr/>
        <w:t>eigenen</w:t>
      </w:r>
      <w:r>
        <w:rPr>
          <w:b/>
          <w:color w:val="808080"/>
        </w:rPr>
        <w:t>]</w:t>
      </w:r>
      <w:r>
        <w:rPr/>
        <w:t xml:space="preserve"> Kopf zurückUnd auf seinen </w:t>
      </w:r>
      <w:r>
        <w:rPr>
          <w:b/>
          <w:color w:val="808080"/>
        </w:rPr>
        <w:t>[</w:t>
      </w:r>
      <w:r>
        <w:rPr/>
        <w:t>eigenen</w:t>
      </w:r>
      <w:r>
        <w:rPr>
          <w:b/>
          <w:color w:val="808080"/>
        </w:rPr>
        <w:t>]</w:t>
      </w:r>
      <w:r>
        <w:rPr/>
        <w:t xml:space="preserve"> Scheitel kommt jemandes Untat hinab. </w:t>
      </w:r>
      <w:r>
        <w:rPr>
          <w:position w:val="8"/>
          <w:sz w:val="19"/>
        </w:rPr>
        <w:t>[[ ℘ &gt;&gt; BibleTOBIBLE:1Ki 2:32]][[ ℘ &gt;&gt; BibleTOBIBLE:Job 4:8]][[ ℘ &gt;&gt; BibleTOBIBLE:Pr 26:27]][[ ℘ &gt;&gt; BibleTOBIBLE:Ec 10:9]][[ ℘ &gt;&gt; BibleTOBIBLE:Ob 1:15]][[ ℘ &gt;&gt; BibleTOBIBLE:Joe 4:4]][[ ℘ &gt;&gt; BibleTOBIBLE:Joe 4:7]]</w:t>
      </w:r>
      <w:r>
        <w:rPr/>
        <w:t xml:space="preserve"> </w:t>
        <w:br/>
        <w:br/>
        <w:t xml:space="preserve">{{field-off:bible}} </w:t>
        <w:br/>
        <w:t>[[@BibleTOBIBLE:Ps 7:18]]</w:t>
      </w:r>
      <w:r>
        <w:rPr>
          <w:b/>
        </w:rPr>
        <w:t>18</w:t>
      </w:r>
      <w:r>
        <w:rPr/>
        <w:t xml:space="preserve"> {{field-on:bible}} </w:t>
        <w:br/>
        <w:t xml:space="preserve">Ich will </w:t>
      </w:r>
      <w:r>
        <w:rPr>
          <w:smallCaps/>
          <w:color w:val="FF0000"/>
        </w:rPr>
        <w:t>JHWH</w:t>
      </w:r>
      <w:r>
        <w:rPr/>
        <w:t xml:space="preserve"> ob </w:t>
      </w:r>
      <w:r>
        <w:rPr>
          <w:color w:val="808080"/>
        </w:rPr>
        <w:t>(gemäß)</w:t>
      </w:r>
      <w:r>
        <w:rPr/>
        <w:t xml:space="preserve"> seiner Gerechtigkeit preisenUnd spielen dem Namen </w:t>
      </w:r>
      <w:r>
        <w:rPr>
          <w:smallCaps/>
          <w:color w:val="FF0000"/>
        </w:rPr>
        <w:t>JHWH</w:t>
      </w:r>
      <w:r>
        <w:rPr/>
        <w:t>s, des Höchsten!</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562"/>
        <w:t>Status</w:t>
      </w:r>
      <w:r>
        <w:rPr/>
        <w:t xml:space="preserve"> Für den Chorleiter </w:t>
      </w:r>
      <w:r>
        <w:rPr>
          <w:color w:val="808080"/>
        </w:rPr>
        <w:t>(Dirigenten, Singenden, Musizierenden)</w:t>
      </w:r>
      <w:r>
        <w:rPr/>
        <w:t xml:space="preserve"> </w:t>
      </w:r>
      <w:r>
        <w:rPr>
          <w:rStyle w:val="Funotenanker"/>
        </w:rPr>
        <w:footnoteReference w:customMarkFollows="1" w:id="563"/>
        <w:t>a</w:t>
      </w:r>
      <w:r>
        <w:rPr/>
        <w:t xml:space="preserve"> nach der Melodie „Gittith“ </w:t>
      </w:r>
      <w:r>
        <w:rPr>
          <w:color w:val="808080"/>
        </w:rPr>
        <w:t>(nach dem Kelterlied, auf gathitischem Instrument, auf der Gittith)</w:t>
      </w:r>
      <w:r>
        <w:rPr/>
        <w:t xml:space="preserve"> </w:t>
      </w:r>
      <w:r>
        <w:rPr>
          <w:rStyle w:val="Funotenanker"/>
        </w:rPr>
        <w:footnoteReference w:customMarkFollows="1" w:id="564"/>
        <w:t>b</w:t>
      </w:r>
      <w:r>
        <w:rPr/>
        <w:t>.</w:t>
      </w:r>
      <w:r>
        <w:rPr>
          <w:position w:val="8"/>
          <w:sz w:val="19"/>
        </w:rPr>
        <w:t>[[ ℘ &gt;&gt; BibleTOBIBLE:Ps 81:1]][[ ℘ &gt;&gt; BibleTOBIBLE:Ps 84:1]]</w:t>
      </w:r>
      <w:r>
        <w:rPr/>
        <w:t xml:space="preserve"> Ein Psalm </w:t>
      </w:r>
      <w:r>
        <w:rPr>
          <w:color w:val="808080"/>
        </w:rPr>
        <w:t>(begleitetes Lied)</w:t>
      </w:r>
      <w:r>
        <w:rPr/>
        <w:t xml:space="preserve"> von </w:t>
      </w:r>
      <w:r>
        <w:rPr>
          <w:color w:val="808080"/>
        </w:rPr>
        <w:t>(für)</w:t>
      </w:r>
      <w:r>
        <w:rPr/>
        <w:t xml:space="preserve"> David. </w:t>
        <w:br/>
        <w:t xml:space="preserve">{{field-off:bible}} </w:t>
        <w:br/>
        <w:t>[[@BibleTOBIBLE:Ps 8:2]]</w:t>
      </w:r>
      <w:r>
        <w:rPr>
          <w:b/>
        </w:rPr>
        <w:t>2</w:t>
      </w:r>
      <w:r>
        <w:rPr/>
        <w:t xml:space="preserve"> {{field-on:bible}} </w:t>
        <w:br/>
      </w:r>
      <w:r>
        <w:rPr>
          <w:smallCaps/>
          <w:color w:val="FF0000"/>
        </w:rPr>
        <w:t>JHWH</w:t>
      </w:r>
      <w:r>
        <w:rPr/>
        <w:t xml:space="preserve">, unser Herr, wie herrlich </w:t>
      </w:r>
      <w:r>
        <w:rPr>
          <w:color w:val="808080"/>
        </w:rPr>
        <w:t>(mächtig)</w:t>
      </w:r>
      <w:r>
        <w:rPr/>
        <w:t xml:space="preserve"> </w:t>
      </w:r>
      <w:r>
        <w:rPr>
          <w:b/>
          <w:color w:val="808080"/>
        </w:rPr>
        <w:t>[</w:t>
      </w:r>
      <w:r>
        <w:rPr/>
        <w:t>ist</w:t>
      </w:r>
      <w:r>
        <w:rPr>
          <w:b/>
          <w:color w:val="808080"/>
        </w:rPr>
        <w:t>]</w:t>
      </w:r>
      <w:r>
        <w:rPr/>
        <w:t xml:space="preserve"> dein Name </w:t>
      </w:r>
      <w:r>
        <w:rPr>
          <w:color w:val="808080"/>
        </w:rPr>
        <w:t>(bist du)</w:t>
      </w:r>
      <w:r>
        <w:rPr/>
        <w:t xml:space="preserve"> </w:t>
      </w:r>
      <w:r>
        <w:rPr>
          <w:rStyle w:val="Funotenanker"/>
        </w:rPr>
        <w:footnoteReference w:customMarkFollows="1" w:id="565"/>
        <w:t>c</w:t>
      </w:r>
      <w:r>
        <w:rPr/>
        <w:t xml:space="preserve"> auf der ganzen Erde </w:t>
      </w:r>
      <w:r>
        <w:rPr>
          <w:color w:val="808080"/>
        </w:rPr>
        <w:t>(im ganzen Land)</w:t>
      </w:r>
      <w:r>
        <w:rPr/>
        <w:t xml:space="preserve">! </w:t>
      </w:r>
      <w:r>
        <w:rPr>
          <w:strike/>
          <w:color w:val="808080"/>
        </w:rPr>
        <w:t>{welche}</w:t>
      </w:r>
      <w:r>
        <w:rPr/>
        <w:t xml:space="preserve"> Deine Hoheit </w:t>
      </w:r>
      <w:r>
        <w:rPr>
          <w:color w:val="808080"/>
        </w:rPr>
        <w:t>(Majestät, Pracht, Du)</w:t>
      </w:r>
      <w:r>
        <w:rPr/>
        <w:t xml:space="preserve"> </w:t>
      </w:r>
      <w:r>
        <w:rPr>
          <w:rStyle w:val="Funotenanker"/>
        </w:rPr>
        <w:footnoteReference w:customMarkFollows="1" w:id="566"/>
        <w:t>d</w:t>
      </w:r>
      <w:r>
        <w:rPr/>
        <w:t xml:space="preserve"> wird gepriesen</w:t>
      </w:r>
      <w:r>
        <w:rPr>
          <w:rStyle w:val="Funotenanker"/>
        </w:rPr>
        <w:footnoteReference w:customMarkFollows="1" w:id="567"/>
        <w:t>e</w:t>
      </w:r>
      <w:r>
        <w:rPr/>
        <w:t xml:space="preserve"> im Himmel </w:t>
      </w:r>
      <w:r>
        <w:rPr>
          <w:color w:val="808080"/>
        </w:rPr>
        <w:t>(den Himmeln, über dem Himmel)</w:t>
      </w:r>
      <w:r>
        <w:rPr/>
        <w:t xml:space="preserve"> </w:t>
      </w:r>
      <w:r>
        <w:rPr>
          <w:position w:val="8"/>
          <w:sz w:val="19"/>
        </w:rPr>
        <w:t>[[ ℘ &gt;&gt; BibleTOBIBLE:Ps 19:1]][[ ℘ &gt;&gt; BibleTOBIBLE:Ps 148:13]]</w:t>
      </w:r>
      <w:r>
        <w:rPr/>
        <w:t xml:space="preserve"> </w:t>
        <w:br/>
        <w:br/>
        <w:t xml:space="preserve">{{field-off:bible}} </w:t>
        <w:br/>
        <w:t>[[@BibleTOBIBLE:Ps 8:3]]</w:t>
      </w:r>
      <w:r>
        <w:rPr>
          <w:b/>
        </w:rPr>
        <w:t>3</w:t>
      </w:r>
      <w:r>
        <w:rPr/>
        <w:t xml:space="preserve"> {{field-on:bible}} </w:t>
        <w:br/>
        <w:t xml:space="preserve">Aus dem Mund von </w:t>
      </w:r>
      <w:r>
        <w:rPr>
          <w:color w:val="808080"/>
        </w:rPr>
        <w:t>(Wegen der, Wegen dem dem Klagen der)</w:t>
      </w:r>
      <w:r>
        <w:rPr/>
        <w:t xml:space="preserve"> </w:t>
      </w:r>
      <w:r>
        <w:rPr>
          <w:rStyle w:val="Funotenanker"/>
        </w:rPr>
        <w:footnoteReference w:customMarkFollows="1" w:id="568"/>
        <w:t>f</w:t>
      </w:r>
      <w:r>
        <w:rPr/>
        <w:t xml:space="preserve"> Babies</w:t>
      </w:r>
      <w:r>
        <w:rPr>
          <w:rStyle w:val="Funotenanker"/>
        </w:rPr>
        <w:footnoteReference w:customMarkFollows="1" w:id="569"/>
        <w:t>g</w:t>
      </w:r>
      <w:r>
        <w:rPr/>
        <w:t xml:space="preserve"> und Säuglingen </w:t>
      </w:r>
      <w:r>
        <w:rPr>
          <w:position w:val="8"/>
          <w:sz w:val="19"/>
        </w:rPr>
        <w:t>[[ ℘ &gt;&gt; BibleTOBIBLE:Mt 21:15]]</w:t>
      </w:r>
      <w:r>
        <w:rPr/>
        <w:t xml:space="preserve"> hast du ein Bollwerk </w:t>
      </w:r>
      <w:r>
        <w:rPr>
          <w:color w:val="808080"/>
        </w:rPr>
        <w:t>(Kraft, Macht, Schutz, Festung; Lob)</w:t>
      </w:r>
      <w:r>
        <w:rPr/>
        <w:t xml:space="preserve"> </w:t>
      </w:r>
      <w:r>
        <w:rPr>
          <w:rStyle w:val="Funotenanker"/>
        </w:rPr>
        <w:footnoteReference w:customMarkFollows="1" w:id="570"/>
        <w:t>h</w:t>
      </w:r>
      <w:r>
        <w:rPr/>
        <w:t xml:space="preserve"> errichtet </w:t>
      </w:r>
      <w:r>
        <w:rPr>
          <w:color w:val="808080"/>
        </w:rPr>
        <w:t>(grundgelegt)</w:t>
      </w:r>
      <w:r>
        <w:rPr/>
        <w:t xml:space="preserve"> um deiner Gegner willen</w:t>
      </w:r>
      <w:r>
        <w:rPr>
          <w:rStyle w:val="Funotenanker"/>
        </w:rPr>
        <w:footnoteReference w:customMarkFollows="1" w:id="571"/>
        <w:t>i</w:t>
      </w:r>
      <w:r>
        <w:rPr/>
        <w:t xml:space="preserve">, um </w:t>
      </w:r>
      <w:r>
        <w:rPr>
          <w:b/>
          <w:color w:val="808080"/>
        </w:rPr>
        <w:t>[</w:t>
      </w:r>
      <w:r>
        <w:rPr/>
        <w:t>dem</w:t>
      </w:r>
      <w:r>
        <w:rPr>
          <w:b/>
          <w:color w:val="808080"/>
        </w:rPr>
        <w:t>]</w:t>
      </w:r>
      <w:r>
        <w:rPr/>
        <w:t xml:space="preserve"> Feind und </w:t>
      </w:r>
      <w:r>
        <w:rPr>
          <w:b/>
          <w:color w:val="808080"/>
        </w:rPr>
        <w:t>[</w:t>
      </w:r>
      <w:r>
        <w:rPr/>
        <w:t>dem</w:t>
      </w:r>
      <w:r>
        <w:rPr>
          <w:b/>
          <w:color w:val="808080"/>
        </w:rPr>
        <w:t>]</w:t>
      </w:r>
      <w:r>
        <w:rPr/>
        <w:t xml:space="preserve"> Rachgierigen </w:t>
      </w:r>
      <w:r>
        <w:rPr>
          <w:color w:val="808080"/>
        </w:rPr>
        <w:t>(Rächern, Rachsüchtigen)</w:t>
      </w:r>
      <w:r>
        <w:rPr/>
        <w:t xml:space="preserve"> ein Ende zu bereiten </w:t>
      </w:r>
      <w:r>
        <w:rPr>
          <w:color w:val="808080"/>
        </w:rPr>
        <w:t>(um sie zum Schweigen zu bringen, zu vernichten)</w:t>
      </w:r>
      <w:r>
        <w:rPr/>
        <w:t>.</w:t>
        <w:br/>
        <w:t xml:space="preserve">{{field-off:bible}} </w:t>
        <w:br/>
        <w:t>[[@BibleTOBIBLE:Ps 8:4]]</w:t>
      </w:r>
      <w:r>
        <w:rPr>
          <w:b/>
        </w:rPr>
        <w:t>4</w:t>
      </w:r>
      <w:r>
        <w:rPr/>
        <w:t xml:space="preserve"> {{field-on:bible}} </w:t>
        <w:br/>
        <w:t xml:space="preserve">Sooft </w:t>
      </w:r>
      <w:r>
        <w:rPr>
          <w:color w:val="808080"/>
        </w:rPr>
        <w:t>(wenn)</w:t>
      </w:r>
      <w:r>
        <w:rPr/>
        <w:t xml:space="preserve"> ich deinen Himmel sehe </w:t>
      </w:r>
      <w:r>
        <w:rPr>
          <w:color w:val="808080"/>
        </w:rPr>
        <w:t>(betrachte, zu deinem Himmel sehe)</w:t>
      </w:r>
      <w:r>
        <w:rPr/>
        <w:t>,</w:t>
      </w:r>
      <w:r>
        <w:rPr>
          <w:position w:val="8"/>
          <w:sz w:val="19"/>
        </w:rPr>
        <w:t>[[ ℘ &gt;&gt; BibleTOBIBLE:Is 55:8]]</w:t>
      </w:r>
      <w:r>
        <w:rPr/>
        <w:t xml:space="preserve"> </w:t>
      </w:r>
      <w:r>
        <w:rPr>
          <w:b/>
          <w:color w:val="808080"/>
        </w:rPr>
        <w:t>[</w:t>
      </w:r>
      <w:r>
        <w:rPr/>
        <w:t>das</w:t>
      </w:r>
      <w:r>
        <w:rPr>
          <w:b/>
          <w:color w:val="808080"/>
        </w:rPr>
        <w:t>]</w:t>
      </w:r>
      <w:r>
        <w:rPr/>
        <w:t xml:space="preserve"> Werk </w:t>
      </w:r>
      <w:r>
        <w:rPr>
          <w:color w:val="808080"/>
        </w:rPr>
        <w:t>(</w:t>
      </w:r>
      <w:r>
        <w:rPr>
          <w:b/>
          <w:color w:val="808080"/>
        </w:rPr>
        <w:t>[</w:t>
      </w:r>
      <w:r>
        <w:rPr>
          <w:color w:val="808080"/>
        </w:rPr>
        <w:t>die</w:t>
      </w:r>
      <w:r>
        <w:rPr>
          <w:b/>
          <w:color w:val="808080"/>
        </w:rPr>
        <w:t>]</w:t>
      </w:r>
      <w:r>
        <w:rPr>
          <w:color w:val="808080"/>
        </w:rPr>
        <w:t xml:space="preserve"> Werke)</w:t>
      </w:r>
      <w:r>
        <w:rPr/>
        <w:t xml:space="preserve"> deiner Finger </w:t>
      </w:r>
      <w:r>
        <w:rPr>
          <w:color w:val="808080"/>
        </w:rPr>
        <w:t>(dein mächtiges Werk, dein Werk)</w:t>
      </w:r>
      <w:r>
        <w:rPr/>
        <w:t xml:space="preserve"> </w:t>
      </w:r>
      <w:r>
        <w:rPr>
          <w:rStyle w:val="Funotenanker"/>
        </w:rPr>
        <w:footnoteReference w:customMarkFollows="1" w:id="572"/>
        <w:t>j</w:t>
      </w:r>
      <w:r>
        <w:rPr/>
        <w:t>,</w:t>
      </w:r>
      <w:r>
        <w:rPr>
          <w:position w:val="8"/>
          <w:sz w:val="19"/>
        </w:rPr>
        <w:t>[[ ℘ &gt;&gt; BibleTOBIBLE:Ex 8:15]][[ ℘ &gt;&gt; BibleTOBIBLE:Ex 31:18]]</w:t>
      </w:r>
      <w:r>
        <w:rPr/>
        <w:t xml:space="preserve"> </w:t>
        <w:br/>
        <w:t xml:space="preserve">Mond und Sterne, die du bereitet </w:t>
      </w:r>
      <w:r>
        <w:rPr>
          <w:color w:val="808080"/>
        </w:rPr>
        <w:t>(festgemacht, fertiggemacht, eingesetzt)</w:t>
      </w:r>
      <w:r>
        <w:rPr/>
        <w:t xml:space="preserve"> hast,</w:t>
        <w:br/>
        <w:t xml:space="preserve">{{field-off:bible}} </w:t>
        <w:br/>
        <w:t>[[@BibleTOBIBLE:Ps 8:5]]</w:t>
      </w:r>
      <w:r>
        <w:rPr>
          <w:b/>
        </w:rPr>
        <w:t>5</w:t>
      </w:r>
      <w:r>
        <w:rPr/>
        <w:t xml:space="preserve"> {{field-on:bible}} </w:t>
        <w:br/>
      </w:r>
      <w:r>
        <w:rPr>
          <w:b/>
          <w:color w:val="808080"/>
        </w:rPr>
        <w:t>[</w:t>
      </w:r>
      <w:r>
        <w:rPr/>
        <w:t xml:space="preserve">denke ich </w:t>
      </w:r>
      <w:r>
        <w:rPr>
          <w:color w:val="808080"/>
        </w:rPr>
        <w:t>(sage ich, rufe ich)</w:t>
      </w:r>
      <w:r>
        <w:rPr/>
        <w:t>:</w:t>
      </w:r>
      <w:r>
        <w:rPr>
          <w:b/>
          <w:color w:val="808080"/>
        </w:rPr>
        <w:t>]</w:t>
      </w:r>
      <w:r>
        <w:rPr/>
        <w:t xml:space="preserve"> </w:t>
      </w:r>
      <w:r>
        <w:rPr>
          <w:rStyle w:val="Funotenanker"/>
        </w:rPr>
        <w:footnoteReference w:customMarkFollows="1" w:id="573"/>
        <w:t>k</w:t>
      </w:r>
      <w:r>
        <w:rPr/>
        <w:t xml:space="preserve"> Was </w:t>
      </w:r>
      <w:r>
        <w:rPr>
          <w:b/>
          <w:color w:val="808080"/>
        </w:rPr>
        <w:t>[</w:t>
      </w:r>
      <w:r>
        <w:rPr/>
        <w:t>ist das</w:t>
      </w:r>
      <w:r>
        <w:rPr>
          <w:b/>
          <w:color w:val="808080"/>
        </w:rPr>
        <w:t>]</w:t>
      </w:r>
      <w:r>
        <w:rPr/>
        <w:t xml:space="preserve"> Menschlein </w:t>
      </w:r>
      <w:r>
        <w:rPr>
          <w:color w:val="808080"/>
        </w:rPr>
        <w:t>(der Mensch, die Menschheit, der Sterbliche)</w:t>
      </w:r>
      <w:r>
        <w:rPr/>
        <w:t xml:space="preserve"> </w:t>
      </w:r>
      <w:r>
        <w:rPr>
          <w:rStyle w:val="Funotenanker"/>
        </w:rPr>
        <w:footnoteReference w:customMarkFollows="1" w:id="574"/>
        <w:t>l</w:t>
      </w:r>
      <w:r>
        <w:rPr/>
        <w:t xml:space="preserve">, dass du dich seiner erinnerst </w:t>
      </w:r>
      <w:r>
        <w:rPr>
          <w:color w:val="808080"/>
        </w:rPr>
        <w:t>(dich um es kümmerst)</w:t>
      </w:r>
      <w:r>
        <w:rPr/>
        <w:t xml:space="preserve"> </w:t>
      </w:r>
      <w:r>
        <w:rPr>
          <w:rStyle w:val="Funotenanker"/>
        </w:rPr>
        <w:footnoteReference w:customMarkFollows="1" w:id="575"/>
        <w:t>m</w:t>
      </w:r>
      <w:r>
        <w:rPr/>
        <w:t xml:space="preserve"> </w:t>
      </w:r>
      <w:r>
        <w:rPr>
          <w:position w:val="8"/>
          <w:sz w:val="19"/>
        </w:rPr>
        <w:t>[[ ℘ &gt;&gt; BibleTOBIBLE:Job 7:17]][[ ℘ &gt;&gt; BibleTOBIBLE:Job 15:14]][[ ℘ &gt;&gt; BibleTOBIBLE:Ps 144:3]]</w:t>
      </w:r>
      <w:r>
        <w:rPr/>
        <w:t xml:space="preserve"> und was </w:t>
      </w:r>
      <w:r>
        <w:rPr>
          <w:b/>
          <w:color w:val="808080"/>
        </w:rPr>
        <w:t>[</w:t>
      </w:r>
      <w:r>
        <w:rPr/>
        <w:t>das</w:t>
      </w:r>
      <w:r>
        <w:rPr>
          <w:b/>
          <w:color w:val="808080"/>
        </w:rPr>
        <w:t>]</w:t>
      </w:r>
      <w:r>
        <w:rPr/>
        <w:t xml:space="preserve"> Menschenkind</w:t>
      </w:r>
      <w:r>
        <w:rPr>
          <w:rStyle w:val="Funotenanker"/>
        </w:rPr>
        <w:footnoteReference w:customMarkFollows="1" w:id="576"/>
        <w:t>n</w:t>
      </w:r>
      <w:r>
        <w:rPr/>
        <w:t xml:space="preserve"> </w:t>
      </w:r>
      <w:r>
        <w:rPr>
          <w:color w:val="808080"/>
        </w:rPr>
        <w:t>(der Mensch, der Sohn des Menschen, das Kind des Menschen, der Menschensohn)</w:t>
      </w:r>
      <w:r>
        <w:rPr/>
        <w:t xml:space="preserve"> </w:t>
      </w:r>
      <w:r>
        <w:rPr>
          <w:rStyle w:val="Funotenanker"/>
        </w:rPr>
        <w:footnoteReference w:customMarkFollows="1" w:id="577"/>
        <w:t>o</w:t>
      </w:r>
      <w:r>
        <w:rPr/>
        <w:t xml:space="preserve">, dass du es beachtest </w:t>
      </w:r>
      <w:r>
        <w:rPr>
          <w:color w:val="808080"/>
        </w:rPr>
        <w:t>(auf es achtest, für es sorgst)</w:t>
      </w:r>
      <w:r>
        <w:rPr/>
        <w:t>?</w:t>
      </w:r>
      <w:r>
        <w:rPr>
          <w:position w:val="8"/>
          <w:sz w:val="19"/>
        </w:rPr>
        <w:t>[[ ℘ &gt;&gt; BibleTOBIBLE:Is 56:2]]</w:t>
      </w:r>
      <w:r>
        <w:rPr/>
        <w:t xml:space="preserve"> </w:t>
        <w:br/>
        <w:t xml:space="preserve">{{field-off:bible}} </w:t>
        <w:br/>
        <w:t>[[@BibleTOBIBLE:Ps 8:6]]</w:t>
      </w:r>
      <w:r>
        <w:rPr>
          <w:b/>
        </w:rPr>
        <w:t>6</w:t>
      </w:r>
      <w:r>
        <w:rPr/>
        <w:t xml:space="preserve"> {{field-on:bible}} </w:t>
        <w:br/>
      </w:r>
      <w:r>
        <w:rPr>
          <w:b/>
          <w:color w:val="808080"/>
        </w:rPr>
        <w:t>[</w:t>
      </w:r>
      <w:r>
        <w:rPr/>
        <w:t>Nur</w:t>
      </w:r>
      <w:r>
        <w:rPr>
          <w:b/>
          <w:color w:val="808080"/>
        </w:rPr>
        <w:t>]</w:t>
      </w:r>
      <w:r>
        <w:rPr/>
        <w:t xml:space="preserve"> ein Stäubchen </w:t>
      </w:r>
      <w:r>
        <w:rPr>
          <w:color w:val="808080"/>
        </w:rPr>
        <w:t>(ein bisschen, nur wenig)</w:t>
      </w:r>
      <w:r>
        <w:rPr/>
        <w:t xml:space="preserve"> ließest du ihm fehlen</w:t>
      </w:r>
      <w:r>
        <w:rPr>
          <w:rStyle w:val="Funotenanker"/>
        </w:rPr>
        <w:footnoteReference w:customMarkFollows="1" w:id="578"/>
        <w:t>p</w:t>
      </w:r>
      <w:r>
        <w:rPr/>
        <w:t xml:space="preserve"> zu </w:t>
      </w:r>
      <w:r>
        <w:rPr>
          <w:color w:val="808080"/>
        </w:rPr>
        <w:t>(ließest ihn geringer sein als)</w:t>
      </w:r>
      <w:r>
        <w:rPr/>
        <w:t xml:space="preserve"> Gott </w:t>
      </w:r>
      <w:r>
        <w:rPr>
          <w:color w:val="808080"/>
        </w:rPr>
        <w:t>(Göttern, Engeln, himmlischen/übernatürliche Wesen)</w:t>
      </w:r>
      <w:r>
        <w:rPr/>
        <w:t>,</w:t>
      </w:r>
      <w:r>
        <w:rPr>
          <w:rStyle w:val="Funotenanker"/>
        </w:rPr>
        <w:footnoteReference w:customMarkFollows="1" w:id="579"/>
        <w:t>q</w:t>
      </w:r>
      <w:r>
        <w:rPr/>
        <w:t xml:space="preserve"> um ihn mit Herrlichkeit </w:t>
      </w:r>
      <w:r>
        <w:rPr>
          <w:color w:val="808080"/>
        </w:rPr>
        <w:t>(Hoheit, Würde, Ehre)</w:t>
      </w:r>
      <w:r>
        <w:rPr/>
        <w:t xml:space="preserve"> und Pracht</w:t>
      </w:r>
      <w:r>
        <w:rPr>
          <w:rStyle w:val="Funotenanker"/>
        </w:rPr>
        <w:footnoteReference w:customMarkFollows="1" w:id="580"/>
        <w:t>r</w:t>
      </w:r>
      <w:r>
        <w:rPr/>
        <w:t xml:space="preserve"> zu krönen </w:t>
      </w:r>
      <w:r>
        <w:rPr>
          <w:color w:val="808080"/>
        </w:rPr>
        <w:t>(segnen, hast ihn mit Herrlichkeit und Pracht gekrönt)</w:t>
      </w:r>
      <w:r>
        <w:rPr/>
        <w:t>.</w:t>
      </w:r>
      <w:r>
        <w:rPr>
          <w:rStyle w:val="Funotenanker"/>
        </w:rPr>
        <w:footnoteReference w:customMarkFollows="1" w:id="581"/>
        <w:t>s</w:t>
      </w:r>
      <w:r>
        <w:rPr/>
        <w:t xml:space="preserve"> </w:t>
        <w:br/>
        <w:t xml:space="preserve">{{field-off:bible}} </w:t>
        <w:br/>
        <w:t>[[@BibleTOBIBLE:Ps 8:7]]</w:t>
      </w:r>
      <w:r>
        <w:rPr>
          <w:b/>
        </w:rPr>
        <w:t>7</w:t>
      </w:r>
      <w:r>
        <w:rPr/>
        <w:t xml:space="preserve"> {{field-on:bible}} </w:t>
        <w:br/>
        <w:t xml:space="preserve">Um ihn herrschen zu lassen </w:t>
      </w:r>
      <w:r>
        <w:rPr>
          <w:color w:val="808080"/>
        </w:rPr>
        <w:t>(und machtest ihn zum Herrscher / Herrn, um ihn als Herrscher / Herrn einzusetzen)</w:t>
      </w:r>
      <w:r>
        <w:rPr/>
        <w:t xml:space="preserve"> über das Werk deiner Hände </w:t>
      </w:r>
      <w:r>
        <w:rPr>
          <w:color w:val="808080"/>
        </w:rPr>
        <w:t>(Macht)</w:t>
      </w:r>
      <w:r>
        <w:rPr/>
        <w:t xml:space="preserve"> hast du ihm alles </w:t>
      </w:r>
      <w:r>
        <w:rPr>
          <w:color w:val="808080"/>
        </w:rPr>
        <w:t>(alle Dinge)</w:t>
      </w:r>
      <w:r>
        <w:rPr/>
        <w:t xml:space="preserve"> zu Füßen gelegt.</w:t>
      </w:r>
      <w:r>
        <w:rPr>
          <w:position w:val="8"/>
          <w:sz w:val="19"/>
        </w:rPr>
        <w:t>[[ ℘ &gt;&gt; BibleTOBIBLE:Ge 1:28]][[ ℘ &gt;&gt; BibleTOBIBLE:1Co 15:27]][[ ℘ &gt;&gt; BibleTOBIBLE:Eph 1:22]][[ ℘ &gt;&gt; BibleTOBIBLE:Heb 2:8]]</w:t>
      </w:r>
      <w:r>
        <w:rPr/>
        <w:t xml:space="preserve"> </w:t>
        <w:br/>
        <w:t xml:space="preserve">{{field-off:bible}} </w:t>
        <w:br/>
        <w:t>[[@BibleTOBIBLE:Ps 8:8]]</w:t>
      </w:r>
      <w:r>
        <w:rPr>
          <w:b/>
        </w:rPr>
        <w:t>8</w:t>
      </w:r>
      <w:r>
        <w:rPr/>
        <w:t xml:space="preserve"> {{field-on:bible}} </w:t>
        <w:br/>
        <w:t xml:space="preserve">Schafe </w:t>
      </w:r>
      <w:r>
        <w:rPr>
          <w:color w:val="808080"/>
        </w:rPr>
        <w:t>(Herden)</w:t>
      </w:r>
      <w:r>
        <w:rPr/>
        <w:t xml:space="preserve"> und Rinder </w:t>
      </w:r>
      <w:r>
        <w:rPr>
          <w:color w:val="808080"/>
        </w:rPr>
        <w:t>(Vieh, Viehzeug, Kleinvieh und Großvieh</w:t>
      </w:r>
      <w:r>
        <w:rPr/>
        <w:t xml:space="preserve"> </w:t>
      </w:r>
      <w:r>
        <w:rPr>
          <w:rStyle w:val="Funotenanker"/>
        </w:rPr>
        <w:footnoteReference w:customMarkFollows="1" w:id="582"/>
        <w:t>t</w:t>
      </w:r>
      <w:r>
        <w:rPr/>
        <w:t xml:space="preserve"> </w:t>
      </w:r>
      <w:r>
        <w:rPr>
          <w:color w:val="808080"/>
        </w:rPr>
        <w:t>)</w:t>
      </w:r>
      <w:r>
        <w:rPr/>
        <w:t xml:space="preserve"> allesamt </w:t>
      </w:r>
      <w:r>
        <w:rPr>
          <w:color w:val="808080"/>
        </w:rPr>
        <w:t>(alle)</w:t>
      </w:r>
      <w:r>
        <w:rPr/>
        <w:t xml:space="preserve"> und auch </w:t>
      </w:r>
      <w:r>
        <w:rPr>
          <w:color w:val="808080"/>
        </w:rPr>
        <w:t>(sogar)</w:t>
      </w:r>
      <w:r>
        <w:rPr/>
        <w:t xml:space="preserve"> die Tiere des Feldes</w:t>
      </w:r>
      <w:r>
        <w:rPr>
          <w:rStyle w:val="Funotenanker"/>
        </w:rPr>
        <w:footnoteReference w:customMarkFollows="1" w:id="583"/>
        <w:t>u</w:t>
      </w:r>
      <w:r>
        <w:rPr/>
        <w:t xml:space="preserve"> </w:t>
      </w:r>
      <w:r>
        <w:rPr>
          <w:color w:val="808080"/>
        </w:rPr>
        <w:t>(Feld, Land)</w:t>
      </w:r>
      <w:r>
        <w:rPr/>
        <w:t xml:space="preserve"> </w:t>
        <w:br/>
        <w:t xml:space="preserve">{{field-off:bible}} </w:t>
        <w:br/>
        <w:t>[[@BibleTOBIBLE:Ps 8:9]]</w:t>
      </w:r>
      <w:r>
        <w:rPr>
          <w:b/>
        </w:rPr>
        <w:t>9</w:t>
      </w:r>
      <w:r>
        <w:rPr/>
        <w:t xml:space="preserve"> {{field-on:bible}} </w:t>
        <w:br/>
        <w:t>die Vögel des Himmels und die Fische des Meeres</w:t>
      </w:r>
      <w:r>
        <w:rPr>
          <w:position w:val="8"/>
          <w:sz w:val="19"/>
        </w:rPr>
        <w:t>[[ ℘ &gt;&gt; BibleTOBIBLE:Ge 1:26]][[ ℘ &gt;&gt; BibleTOBIBLE:Ge 9:2]]</w:t>
      </w:r>
      <w:r>
        <w:rPr/>
        <w:t xml:space="preserve"> und </w:t>
      </w:r>
      <w:r>
        <w:rPr>
          <w:color w:val="808080"/>
        </w:rPr>
        <w:t>(selbst)</w:t>
      </w:r>
      <w:r>
        <w:rPr/>
        <w:t xml:space="preserve"> das</w:t>
      </w:r>
      <w:r>
        <w:rPr>
          <w:rStyle w:val="Funotenanker"/>
        </w:rPr>
        <w:footnoteReference w:customMarkFollows="1" w:id="584"/>
        <w:t>v</w:t>
      </w:r>
      <w:r>
        <w:rPr/>
        <w:t xml:space="preserve">, was die Pfade </w:t>
      </w:r>
      <w:r>
        <w:rPr>
          <w:color w:val="808080"/>
        </w:rPr>
        <w:t>(Wege, Ströme?)</w:t>
      </w:r>
      <w:r>
        <w:rPr/>
        <w:t xml:space="preserve"> des Meeres durchzieht </w:t>
      </w:r>
      <w:r>
        <w:rPr>
          <w:color w:val="808080"/>
        </w:rPr>
        <w:t>(was im Meer seine Bahnen zieht</w:t>
      </w:r>
      <w:r>
        <w:rPr/>
        <w:t xml:space="preserve"> </w:t>
      </w:r>
      <w:r>
        <w:rPr>
          <w:rStyle w:val="Funotenanker"/>
        </w:rPr>
        <w:footnoteReference w:customMarkFollows="1" w:id="585"/>
        <w:t>w</w:t>
      </w:r>
      <w:r>
        <w:rPr/>
        <w:t xml:space="preserve"> </w:t>
      </w:r>
      <w:r>
        <w:rPr>
          <w:color w:val="808080"/>
        </w:rPr>
        <w:t>)</w:t>
      </w:r>
      <w:r>
        <w:rPr/>
        <w:t>.</w:t>
      </w:r>
      <w:r>
        <w:rPr>
          <w:position w:val="8"/>
          <w:sz w:val="19"/>
        </w:rPr>
        <w:t>[[ ℘ &gt;&gt; BibleTOBIBLE:Ps 104:25]]</w:t>
      </w:r>
      <w:r>
        <w:rPr/>
        <w:t xml:space="preserve"> </w:t>
        <w:br/>
        <w:br/>
        <w:t xml:space="preserve">{{field-off:bible}} </w:t>
        <w:br/>
        <w:t>[[@BibleTOBIBLE:Ps 8:10]]</w:t>
      </w:r>
      <w:r>
        <w:rPr>
          <w:b/>
        </w:rPr>
        <w:t>10</w:t>
      </w:r>
      <w:r>
        <w:rPr/>
        <w:t xml:space="preserve"> {{field-on:bible}} </w:t>
        <w:br/>
      </w:r>
      <w:r>
        <w:rPr>
          <w:smallCaps/>
          <w:color w:val="FF0000"/>
        </w:rPr>
        <w:t>JHWH</w:t>
      </w:r>
      <w:r>
        <w:rPr/>
        <w:t xml:space="preserve">, unser Herr, wie mächtig </w:t>
      </w:r>
      <w:r>
        <w:rPr>
          <w:color w:val="808080"/>
        </w:rPr>
        <w:t>(majestätisch, glanzvoll)</w:t>
      </w:r>
      <w:r>
        <w:rPr/>
        <w:t xml:space="preserve"> ist dein Name </w:t>
      </w:r>
      <w:r>
        <w:rPr>
          <w:color w:val="808080"/>
        </w:rPr>
        <w:t>(bist du)</w:t>
      </w:r>
      <w:r>
        <w:rPr/>
        <w:t xml:space="preserve"> auf der ganzen Erde </w:t>
      </w:r>
      <w:r>
        <w:rPr>
          <w:color w:val="808080"/>
        </w:rPr>
        <w:t>(im ganzen Land)</w:t>
      </w:r>
      <w:r>
        <w:rPr/>
        <w:t>!</w:t>
        <w:br/>
        <w:t xml:space="preserve">{{field-off:bible}} </w:t>
      </w:r>
    </w:p>
    <w:p>
      <w:pPr>
        <w:pStyle w:val="Berschrift3"/>
        <w:rPr/>
      </w:pPr>
      <w:r>
        <w:rPr/>
        <w:t>[[@BibleTOBIBLE:Ps 9]]Kapitel 9</w:t>
      </w:r>
    </w:p>
    <w:p>
      <w:pPr>
        <w:pStyle w:val="Textkrper"/>
        <w:rPr/>
      </w:pPr>
      <w:r>
        <w:rPr/>
        <w:t xml:space="preserve">Die Psalmen 9 und 10 gehören eigentlich zusammen; gemeinsam bilden sie das erste Akrostichon im Psalmenbuch: Jede zweite Doppelzeile soll mit dem nächsten Buchstaben des hebräischen Alphabets beginnen. Das besondere an Ps 9-10 ist aber, dass diese Form nur sehr „unsauber“ durchgehalten wird; v.a. im zweiten Teil - Psalm 10 - wird zwischendurch die alphabetische Ordnung fast völlig ausgesetzt. Diese formale Besonderheit stimmt zusammen mit der Aussage des Psalms (wir folgen hier der Deutung von Benun 2006): Ps 9-10 gehören zu den sog. „Feindklagen“: Ein Beter wird von Feinden bedrängt und beklagt sich darüber bei Gott, damit dieser ihm hilft. V. 1 nennt man die „Psalmenüberschrift“. Diese Psalmenüberschriften wurden nachträglich zu den Psalmen hinzugefügt; über ihren Sinn weiß man immer noch nichts Genaueres und auch die Bedeutung der einzelnen Vokabeln ist hier wie meist unklar. Doch da es sich um nachträgliche Hinzufügungen handelt, wirkt sich das glücklicherweise nicht allzu nachteilig auf das Verständnis des Psalms im Ganzen aus. Mit Vv. 2-13 beginnt der eigentliche Psalm, und zwar mit dem „Lobgelübde“: Der Beter hat eine Bitte, und für den Fall, dass Gott ihn erhört, gelobt er, ihn dann vor versammelter Kultgemeinde zu preisen. Das ist ungewöhnlich: Solche Lobgelübde finden sich häufiger in den Klagepsalmen (s, z.B. Ps 13,6; 22,24f.; 59,17f.), doch nie am Anfang eines Psalms und nie mit einer derart breit ausgeführten Kostprobe des später zu leistenden Lobes wie in Vv. 4-13. In Vv. 14 folgt dann erst die „Bitte“, die in Vv. 18-21 noch einmal breiter ausgeführt wird: </w:t>
      </w:r>
      <w:r>
        <w:rPr>
          <w:rStyle w:val="Funotenanker"/>
        </w:rPr>
        <w:footnoteReference w:customMarkFollows="1" w:id="586"/>
        <w:t>a</w:t>
      </w:r>
      <w:r>
        <w:rPr/>
        <w:t xml:space="preserve"> soll sich seiner erbarmen, da es ihm aufgrund seiner Hasser elend geht. In Vv. 15-17 folgt darauf ein weiteres Lobgelübde, hier eindeutig als Zweck formuliert: Die beiden Kostproben des künftigen Lobes sollen Gott motivieren, der Bitte des Psalmisten in V. 14 nachzukommen. Mit diesem Inhalt stimmt die Form des Akrostichons überein: Bis V. 17 sind trotz aktueller Bedrängnis (s. V. 14) Akrostichon und Welt noch in Ordnung, der Beter blickt im Zwiegespräch mit Gott auf seine Rettung voraus und breitet sozusagen in „akrostisch gefälliger Form“ sein Lobesversprechen vor ihm aus. Doch in V. 19 beginnt mit dem Vorwurf an </w:t>
      </w:r>
      <w:r>
        <w:rPr>
          <w:rStyle w:val="Funotenanker"/>
        </w:rPr>
        <w:footnoteReference w:customMarkFollows="1" w:id="587"/>
        <w:t>b</w:t>
      </w:r>
      <w:r>
        <w:rPr/>
        <w:t xml:space="preserve"> („Ach!, nicht auf immer werde vergessen der Arme!“) die schöne Ordnung sich auf einmal aufzulösen: Der Vorwurf bricht eine Doppelzeile zu früh aus dem Beter heraus, und zwei Doppelzeilen später findet sich der nächste erwartete Buchstabe nicht. Mit dem Einsatz von Vorwurf und Klage beginnt auch das Akrostichon zu zerfasern, was sich in Psalm 10 fortsetzen wird. </w:t>
        <w:br/>
        <w:br/>
        <w:t>[[@BibleTOBIBLE:Ps 9:1]]</w:t>
      </w:r>
      <w:r>
        <w:rPr>
          <w:b/>
        </w:rPr>
        <w:t>1</w:t>
      </w:r>
      <w:r>
        <w:rPr/>
        <w:t xml:space="preserve"> {{field-on:bible}} </w:t>
      </w:r>
      <w:r>
        <w:rPr>
          <w:rStyle w:val="Funotenanker"/>
        </w:rPr>
        <w:footnoteReference w:customMarkFollows="1" w:id="588"/>
        <w:t>Status</w:t>
      </w:r>
      <w:r>
        <w:rPr/>
        <w:t xml:space="preserve"> ''Für den Chorleiter </w:t>
      </w:r>
      <w:r>
        <w:rPr>
          <w:color w:val="808080"/>
        </w:rPr>
        <w:t>(Dirigenten, Singenden, Musizierenden)</w:t>
      </w:r>
      <w:r>
        <w:rPr/>
        <w:t>''.</w:t>
      </w:r>
      <w:r>
        <w:rPr>
          <w:rStyle w:val="Funotenanker"/>
        </w:rPr>
        <w:footnoteReference w:customMarkFollows="1" w:id="589"/>
        <w:t>c</w:t>
      </w:r>
      <w:r>
        <w:rPr/>
        <w:t xml:space="preserve"> `almut labben ''</w:t>
      </w:r>
      <w:r>
        <w:rPr>
          <w:color w:val="808080"/>
        </w:rPr>
        <w:t>(</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 xml:space="preserve"> „`almut labben“)</w:t>
      </w:r>
      <w:r>
        <w:rPr/>
        <w:t>''</w:t>
      </w:r>
      <w:r>
        <w:rPr>
          <w:rStyle w:val="Funotenanker"/>
        </w:rPr>
        <w:footnoteReference w:customMarkFollows="1" w:id="590"/>
        <w:t>d</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9:2]]</w:t>
      </w:r>
      <w:r>
        <w:rPr>
          <w:b/>
        </w:rPr>
        <w:t>2</w:t>
      </w:r>
      <w:r>
        <w:rPr/>
        <w:t xml:space="preserve"> {{field-on:bible}} </w:t>
        <w:br/>
      </w:r>
      <w:r>
        <w:rPr>
          <w:b/>
          <w:color w:val="808080"/>
        </w:rPr>
        <w:t>[</w:t>
      </w:r>
      <w:r>
        <w:rPr/>
        <w:t>'''A'''</w:t>
      </w:r>
      <w:r>
        <w:rPr>
          <w:b/>
          <w:color w:val="808080"/>
        </w:rPr>
        <w:t>]</w:t>
      </w:r>
      <w:r>
        <w:rPr/>
        <w:t xml:space="preserve"> </w:t>
      </w:r>
      <w:r>
        <w:rPr>
          <w:rStyle w:val="Funotenanker"/>
        </w:rPr>
        <w:footnoteReference w:customMarkFollows="1" w:id="591"/>
        <w:t>e</w:t>
      </w:r>
      <w:r>
        <w:rPr/>
        <w:t xml:space="preserve"> Ich will </w:t>
      </w:r>
      <w:r>
        <w:rPr>
          <w:color w:val="808080"/>
        </w:rPr>
        <w:t>(werde)</w:t>
      </w:r>
      <w:r>
        <w:rPr/>
        <w:t xml:space="preserve"> </w:t>
      </w:r>
      <w:r>
        <w:rPr>
          <w:smallCaps/>
          <w:color w:val="FF0000"/>
        </w:rPr>
        <w:t>JHWH</w:t>
      </w:r>
      <w:r>
        <w:rPr/>
        <w:t xml:space="preserve"> preisen </w:t>
      </w:r>
      <w:r>
        <w:rPr>
          <w:color w:val="808080"/>
        </w:rPr>
        <w:t>(danken, bekennen)</w:t>
      </w:r>
      <w:r>
        <w:rPr/>
        <w:t xml:space="preserve"> </w:t>
      </w:r>
      <w:r>
        <w:rPr>
          <w:rStyle w:val="Funotenanker"/>
        </w:rPr>
        <w:footnoteReference w:customMarkFollows="1" w:id="592"/>
        <w:t>f</w:t>
      </w:r>
      <w:r>
        <w:rPr/>
        <w:t xml:space="preserve"> mit meinem ganzen HerzenIch will erzählen all' deine Wundertaten.</w:t>
        <w:br/>
        <w:t xml:space="preserve">{{field-off:bible}} </w:t>
        <w:br/>
        <w:t>[[@BibleTOBIBLE:Ps 9:3]]</w:t>
      </w:r>
      <w:r>
        <w:rPr>
          <w:b/>
        </w:rPr>
        <w:t>3</w:t>
      </w:r>
      <w:r>
        <w:rPr/>
        <w:t xml:space="preserve"> {{field-on:bible}} </w:t>
        <w:br/>
        <w:t xml:space="preserve">Ich will mich freuen und jubeln über dich,Ich will deinen Namen </w:t>
      </w:r>
      <w:r>
        <w:rPr>
          <w:color w:val="808080"/>
        </w:rPr>
        <w:t>(dich)</w:t>
      </w:r>
      <w:r>
        <w:rPr/>
        <w:t xml:space="preserve"> </w:t>
      </w:r>
      <w:r>
        <w:rPr>
          <w:rStyle w:val="Funotenanker"/>
        </w:rPr>
        <w:footnoteReference w:customMarkFollows="1" w:id="593"/>
        <w:t>g</w:t>
      </w:r>
      <w:r>
        <w:rPr/>
        <w:t xml:space="preserve"> besingen </w:t>
      </w:r>
      <w:r>
        <w:rPr>
          <w:color w:val="808080"/>
        </w:rPr>
        <w:t>(bespielen)</w:t>
      </w:r>
      <w:r>
        <w:rPr/>
        <w:t>, Höchster</w:t>
      </w:r>
      <w:r>
        <w:rPr>
          <w:b/>
          <w:color w:val="808080"/>
        </w:rPr>
        <w:t>[</w:t>
      </w:r>
      <w:r>
        <w:rPr/>
        <w:t>, mit den Worten</w:t>
      </w:r>
      <w:r>
        <w:rPr>
          <w:b/>
          <w:color w:val="808080"/>
        </w:rPr>
        <w:t>]</w:t>
      </w:r>
      <w:r>
        <w:rPr/>
        <w:t>:</w:t>
      </w:r>
      <w:r>
        <w:rPr>
          <w:rStyle w:val="Funotenanker"/>
        </w:rPr>
        <w:footnoteReference w:customMarkFollows="1" w:id="594"/>
        <w:t>h</w:t>
      </w:r>
      <w:r>
        <w:rPr/>
        <w:t xml:space="preserve"> </w:t>
      </w:r>
      <w:r>
        <w:rPr>
          <w:rStyle w:val="Funotenanker"/>
        </w:rPr>
        <w:footnoteReference w:customMarkFollows="1" w:id="595"/>
        <w:t>i</w:t>
      </w:r>
      <w:r>
        <w:rPr/>
        <w:t xml:space="preserve"> </w:t>
        <w:br/>
        <w:br/>
        <w:t xml:space="preserve">{{field-off:bible}} </w:t>
        <w:br/>
        <w:t>[[@BibleTOBIBLE:Ps 9:4]]</w:t>
      </w:r>
      <w:r>
        <w:rPr>
          <w:b/>
        </w:rPr>
        <w:t>4</w:t>
      </w:r>
      <w:r>
        <w:rPr/>
        <w:t xml:space="preserve"> {{field-on:bible}} </w:t>
        <w:br/>
      </w:r>
      <w:r>
        <w:rPr>
          <w:b/>
          <w:color w:val="808080"/>
        </w:rPr>
        <w:t>[</w:t>
      </w:r>
      <w:r>
        <w:rPr/>
        <w:t>'''B'''</w:t>
      </w:r>
      <w:r>
        <w:rPr>
          <w:b/>
          <w:color w:val="808080"/>
        </w:rPr>
        <w:t>]</w:t>
      </w:r>
      <w:r>
        <w:rPr/>
        <w:t xml:space="preserve"> „Als meine Feinde zurückwichen,Mussten sie stolpern</w:t>
      </w:r>
      <w:r>
        <w:rPr>
          <w:rStyle w:val="Funotenanker"/>
        </w:rPr>
        <w:footnoteReference w:customMarkFollows="1" w:id="596"/>
        <w:t>j</w:t>
      </w:r>
      <w:r>
        <w:rPr/>
        <w:t xml:space="preserve"> und vor dir</w:t>
      </w:r>
      <w:r>
        <w:rPr>
          <w:rStyle w:val="Funotenanker"/>
        </w:rPr>
        <w:footnoteReference w:customMarkFollows="1" w:id="597"/>
        <w:t>k</w:t>
      </w:r>
      <w:r>
        <w:rPr/>
        <w:t xml:space="preserve"> zugrunde gehen,</w:t>
      </w:r>
      <w:r>
        <w:rPr>
          <w:rStyle w:val="Funotenanker"/>
        </w:rPr>
        <w:footnoteReference w:customMarkFollows="1" w:id="598"/>
        <w:t>l</w:t>
      </w:r>
      <w:r>
        <w:rPr/>
        <w:t xml:space="preserve"> </w:t>
        <w:br/>
        <w:t xml:space="preserve">{{field-off:bible}} </w:t>
        <w:br/>
        <w:t>[[@BibleTOBIBLE:Ps 9:5]]</w:t>
      </w:r>
      <w:r>
        <w:rPr>
          <w:b/>
        </w:rPr>
        <w:t>5</w:t>
      </w:r>
      <w:r>
        <w:rPr/>
        <w:t xml:space="preserve"> {{field-on:bible}} </w:t>
        <w:br/>
        <w:t xml:space="preserve">Denn du hast mir Recht und mir Gerechtigkeit geschafft,saßest </w:t>
      </w:r>
      <w:r>
        <w:rPr>
          <w:color w:val="808080"/>
        </w:rPr>
        <w:t>(hast dich gesetzt)</w:t>
      </w:r>
      <w:r>
        <w:rPr/>
        <w:t xml:space="preserve"> auf dem Thron als gerechter Richter</w:t>
      </w:r>
      <w:r>
        <w:rPr>
          <w:rStyle w:val="Funotenanker"/>
        </w:rPr>
        <w:footnoteReference w:customMarkFollows="1" w:id="599"/>
        <w:t>m</w:t>
      </w:r>
      <w:r>
        <w:rPr/>
        <w:t xml:space="preserve"> </w:t>
      </w:r>
      <w:r>
        <w:rPr>
          <w:color w:val="808080"/>
        </w:rPr>
        <w:t xml:space="preserve">(, </w:t>
      </w:r>
      <w:r>
        <w:rPr>
          <w:b/>
          <w:color w:val="808080"/>
        </w:rPr>
        <w:t>[</w:t>
      </w:r>
      <w:r>
        <w:rPr>
          <w:color w:val="808080"/>
        </w:rPr>
        <w:t>hast</w:t>
      </w:r>
      <w:r>
        <w:rPr>
          <w:b/>
          <w:color w:val="808080"/>
        </w:rPr>
        <w:t>]</w:t>
      </w:r>
      <w:r>
        <w:rPr>
          <w:color w:val="808080"/>
        </w:rPr>
        <w:t xml:space="preserve"> gerecht gerichtet)</w:t>
      </w:r>
      <w:r>
        <w:rPr/>
        <w:t>.</w:t>
        <w:br/>
        <w:t xml:space="preserve">{{field-off:bible}} </w:t>
        <w:br/>
        <w:t>[[@BibleTOBIBLE:Ps 9:6]]</w:t>
      </w:r>
      <w:r>
        <w:rPr>
          <w:b/>
        </w:rPr>
        <w:t>6</w:t>
      </w:r>
      <w:r>
        <w:rPr/>
        <w:t xml:space="preserve"> {{field-on:bible}} </w:t>
        <w:br/>
      </w:r>
      <w:r>
        <w:rPr>
          <w:b/>
          <w:color w:val="808080"/>
        </w:rPr>
        <w:t>[</w:t>
      </w:r>
      <w:r>
        <w:rPr/>
        <w:t>'''C'''</w:t>
      </w:r>
      <w:r>
        <w:rPr>
          <w:b/>
          <w:color w:val="808080"/>
        </w:rPr>
        <w:t>]</w:t>
      </w:r>
      <w:r>
        <w:rPr/>
        <w:t xml:space="preserve"> Du hast Nationen</w:t>
      </w:r>
      <w:r>
        <w:rPr>
          <w:rStyle w:val="Funotenanker"/>
        </w:rPr>
        <w:footnoteReference w:customMarkFollows="1" w:id="600"/>
        <w:t>n</w:t>
      </w:r>
      <w:r>
        <w:rPr/>
        <w:t xml:space="preserve"> niedergemacht </w:t>
      </w:r>
      <w:r>
        <w:rPr>
          <w:color w:val="808080"/>
        </w:rPr>
        <w:t>(gescholten)</w:t>
      </w:r>
      <w:r>
        <w:rPr/>
        <w:t>:</w:t>
      </w:r>
      <w:r>
        <w:rPr>
          <w:rStyle w:val="Funotenanker"/>
        </w:rPr>
        <w:footnoteReference w:customMarkFollows="1" w:id="601"/>
        <w:t>o</w:t>
      </w:r>
      <w:r>
        <w:rPr/>
        <w:t xml:space="preserve"> Einen Schlechten </w:t>
      </w:r>
      <w:r>
        <w:rPr>
          <w:color w:val="808080"/>
        </w:rPr>
        <w:t>(Schlechte)</w:t>
      </w:r>
      <w:r>
        <w:rPr/>
        <w:t xml:space="preserve"> </w:t>
      </w:r>
      <w:r>
        <w:rPr>
          <w:rStyle w:val="Funotenanker"/>
        </w:rPr>
        <w:footnoteReference w:customMarkFollows="1" w:id="602"/>
        <w:t>p</w:t>
      </w:r>
      <w:r>
        <w:rPr/>
        <w:t xml:space="preserve"> ließest du zugrunde gehen,Ihren Namen hast du ausgelöscht</w:t>
      </w:r>
      <w:r>
        <w:rPr>
          <w:rStyle w:val="Funotenanker"/>
        </w:rPr>
        <w:footnoteReference w:customMarkFollows="1" w:id="603"/>
        <w:t>q</w:t>
      </w:r>
      <w:r>
        <w:rPr/>
        <w:t xml:space="preserve"> auf immer und </w:t>
      </w:r>
      <w:r>
        <w:rPr>
          <w:b/>
          <w:color w:val="808080"/>
        </w:rPr>
        <w:t>[</w:t>
      </w:r>
      <w:r>
        <w:rPr/>
        <w:t>für alle</w:t>
      </w:r>
      <w:r>
        <w:rPr>
          <w:b/>
          <w:color w:val="808080"/>
        </w:rPr>
        <w:t>]</w:t>
      </w:r>
      <w:r>
        <w:rPr/>
        <w:t xml:space="preserve"> Zeit.</w:t>
        <w:br/>
        <w:t xml:space="preserve">{{field-off:bible}} </w:t>
        <w:br/>
        <w:t>[[@BibleTOBIBLE:Ps 9:7]]</w:t>
      </w:r>
      <w:r>
        <w:rPr>
          <w:b/>
        </w:rPr>
        <w:t>7</w:t>
      </w:r>
      <w:r>
        <w:rPr/>
        <w:t xml:space="preserve"> {{field-on:bible}} </w:t>
        <w:br/>
        <w:t xml:space="preserve">Der Feind - vernichtet sind </w:t>
      </w:r>
      <w:r>
        <w:rPr>
          <w:b/>
          <w:color w:val="808080"/>
        </w:rPr>
        <w:t>[</w:t>
      </w:r>
      <w:r>
        <w:rPr/>
        <w:t>seine</w:t>
      </w:r>
      <w:r>
        <w:rPr>
          <w:b/>
          <w:color w:val="808080"/>
        </w:rPr>
        <w:t>]</w:t>
      </w:r>
      <w:r>
        <w:rPr/>
        <w:t xml:space="preserve"> Ruinen </w:t>
      </w:r>
      <w:r>
        <w:rPr>
          <w:rStyle w:val="Funotenanker"/>
        </w:rPr>
        <w:footnoteReference w:customMarkFollows="1" w:id="604"/>
        <w:t>r</w:t>
      </w:r>
      <w:r>
        <w:rPr/>
        <w:t xml:space="preserve">auf ewig;Und Gegner </w:t>
      </w:r>
      <w:r>
        <w:rPr>
          <w:color w:val="808080"/>
        </w:rPr>
        <w:t>(Städte)</w:t>
      </w:r>
      <w:r>
        <w:rPr/>
        <w:t xml:space="preserve"> </w:t>
      </w:r>
      <w:r>
        <w:rPr>
          <w:rStyle w:val="Funotenanker"/>
        </w:rPr>
        <w:footnoteReference w:customMarkFollows="1" w:id="605"/>
        <w:t>s</w:t>
      </w:r>
      <w:r>
        <w:rPr/>
        <w:t xml:space="preserve"> hast du entwurzelt </w:t>
      </w:r>
      <w:r>
        <w:rPr>
          <w:color w:val="808080"/>
        </w:rPr>
        <w:t>(zerstört?)</w:t>
      </w:r>
      <w:r>
        <w:rPr/>
        <w:t xml:space="preserve">, was an sie erinnert, ist zugrunde gegangen. </w:t>
      </w:r>
      <w:r>
        <w:rPr>
          <w:strike/>
          <w:color w:val="808080"/>
        </w:rPr>
        <w:t>{Sie}</w:t>
      </w:r>
      <w:r>
        <w:rPr/>
        <w:t xml:space="preserve"> </w:t>
      </w:r>
      <w:r>
        <w:rPr>
          <w:rStyle w:val="Funotenanker"/>
        </w:rPr>
        <w:footnoteReference w:customMarkFollows="1" w:id="606"/>
        <w:t>t</w:t>
      </w:r>
      <w:r>
        <w:rPr/>
        <w:t xml:space="preserve"> </w:t>
        <w:br/>
        <w:t xml:space="preserve">{{field-off:bible}} </w:t>
        <w:br/>
        <w:t>[[@BibleTOBIBLE:Ps 9:8]]</w:t>
      </w:r>
      <w:r>
        <w:rPr>
          <w:b/>
        </w:rPr>
        <w:t>8</w:t>
      </w:r>
      <w:r>
        <w:rPr/>
        <w:t xml:space="preserve"> {{field-on:bible}} </w:t>
        <w:br/>
      </w:r>
      <w:r>
        <w:rPr>
          <w:b/>
          <w:color w:val="808080"/>
        </w:rPr>
        <w:t>[</w:t>
      </w:r>
      <w:r>
        <w:rPr/>
        <w:t xml:space="preserve">'''E''' </w:t>
      </w:r>
      <w:r>
        <w:rPr>
          <w:color w:val="808080"/>
        </w:rPr>
        <w:t>(?)</w:t>
      </w:r>
      <w:r>
        <w:rPr>
          <w:b/>
          <w:color w:val="808080"/>
        </w:rPr>
        <w:t>]</w:t>
      </w:r>
      <w:r>
        <w:rPr/>
        <w:t xml:space="preserve"> </w:t>
      </w:r>
      <w:r>
        <w:rPr>
          <w:b/>
          <w:color w:val="808080"/>
        </w:rPr>
        <w:t>[</w:t>
      </w:r>
      <w:r>
        <w:rPr/>
        <w:t>Sie!</w:t>
      </w:r>
      <w:r>
        <w:rPr>
          <w:b/>
          <w:color w:val="808080"/>
        </w:rPr>
        <w:t>]</w:t>
      </w:r>
      <w:r>
        <w:rPr/>
        <w:t xml:space="preserve"> Doch </w:t>
      </w:r>
      <w:r>
        <w:rPr>
          <w:smallCaps/>
          <w:color w:val="FF0000"/>
        </w:rPr>
        <w:t>JHWH</w:t>
      </w:r>
      <w:r>
        <w:rPr/>
        <w:t xml:space="preserve"> wird für immer thronen.Er hat aufgerichtet seinen Thron zum Gericht,</w:t>
        <w:br/>
        <w:t xml:space="preserve">{{field-off:bible}} </w:t>
        <w:br/>
        <w:t>[[@BibleTOBIBLE:Ps 9:9]]</w:t>
      </w:r>
      <w:r>
        <w:rPr>
          <w:b/>
        </w:rPr>
        <w:t>9</w:t>
      </w:r>
      <w:r>
        <w:rPr/>
        <w:t xml:space="preserve"> {{field-on:bible}} </w:t>
        <w:br/>
        <w:t xml:space="preserve">Um die Welt gerecht zu richten </w:t>
      </w:r>
      <w:r>
        <w:rPr>
          <w:color w:val="808080"/>
        </w:rPr>
        <w:t>(und er wird die Welt gerecht richten)</w:t>
      </w:r>
      <w:r>
        <w:rPr/>
        <w:t xml:space="preserve">,Gericht zu halten </w:t>
      </w:r>
      <w:r>
        <w:rPr>
          <w:color w:val="808080"/>
        </w:rPr>
        <w:t>(Gericht halten wird er)</w:t>
      </w:r>
      <w:r>
        <w:rPr/>
        <w:t xml:space="preserve"> über die Völker recht,</w:t>
        <w:br/>
        <w:t xml:space="preserve">{{field-off:bible}} </w:t>
        <w:br/>
        <w:t>[[@BibleTOBIBLE:Ps 9:10]]</w:t>
      </w:r>
      <w:r>
        <w:rPr>
          <w:b/>
        </w:rPr>
        <w:t>10</w:t>
      </w:r>
      <w:r>
        <w:rPr/>
        <w:t xml:space="preserve"> {{field-on:bible}} </w:t>
        <w:br/>
      </w:r>
      <w:r>
        <w:rPr>
          <w:b/>
          <w:color w:val="808080"/>
        </w:rPr>
        <w:t>[</w:t>
      </w:r>
      <w:r>
        <w:rPr/>
        <w:t>'''F'''</w:t>
      </w:r>
      <w:r>
        <w:rPr>
          <w:b/>
          <w:color w:val="808080"/>
        </w:rPr>
        <w:t>]</w:t>
      </w:r>
      <w:r>
        <w:rPr/>
        <w:t xml:space="preserve"> Damit </w:t>
      </w:r>
      <w:r>
        <w:rPr>
          <w:smallCaps/>
          <w:color w:val="FF0000"/>
        </w:rPr>
        <w:t>JHWH</w:t>
      </w:r>
      <w:r>
        <w:rPr/>
        <w:t xml:space="preserve"> sei </w:t>
      </w:r>
      <w:r>
        <w:rPr>
          <w:color w:val="808080"/>
        </w:rPr>
        <w:t xml:space="preserve">(und </w:t>
      </w:r>
      <w:r>
        <w:rPr>
          <w:smallCaps/>
          <w:color w:val="FF0000"/>
        </w:rPr>
        <w:t>JHWH</w:t>
      </w:r>
      <w:r>
        <w:rPr>
          <w:color w:val="808080"/>
        </w:rPr>
        <w:t xml:space="preserve"> soll sein)</w:t>
      </w:r>
      <w:r>
        <w:rPr/>
        <w:t xml:space="preserve"> eine Zuflucht für die Bedrückten,Eine Zuflucht für Zeiten der Bedrängnis,</w:t>
        <w:br/>
        <w:t xml:space="preserve">{{field-off:bible}} </w:t>
        <w:br/>
        <w:t>[[@BibleTOBIBLE:Ps 9:11]]</w:t>
      </w:r>
      <w:r>
        <w:rPr>
          <w:b/>
        </w:rPr>
        <w:t>11</w:t>
      </w:r>
      <w:r>
        <w:rPr/>
        <w:t xml:space="preserve"> {{field-on:bible}} </w:t>
        <w:br/>
        <w:t xml:space="preserve">Auf dass zu dir flüchten können </w:t>
      </w:r>
      <w:r>
        <w:rPr>
          <w:color w:val="808080"/>
        </w:rPr>
        <w:t>(und zu dir werden/können/dürfen flüchten)</w:t>
      </w:r>
      <w:r>
        <w:rPr/>
        <w:t xml:space="preserve"> </w:t>
      </w:r>
      <w:r>
        <w:rPr>
          <w:b/>
          <w:color w:val="808080"/>
        </w:rPr>
        <w:t>[</w:t>
      </w:r>
      <w:r>
        <w:rPr/>
        <w:t>jene</w:t>
      </w:r>
      <w:r>
        <w:rPr>
          <w:b/>
          <w:color w:val="808080"/>
        </w:rPr>
        <w:t>]</w:t>
      </w:r>
      <w:r>
        <w:rPr/>
        <w:t>, die deinen Namen kennen,</w:t>
      </w:r>
      <w:r>
        <w:rPr>
          <w:rStyle w:val="Funotenanker"/>
        </w:rPr>
        <w:footnoteReference w:customMarkFollows="1" w:id="607"/>
        <w:t>u</w:t>
      </w:r>
      <w:r>
        <w:rPr/>
        <w:t>Weil du nicht im Stich lässt, die dich suchen,</w:t>
      </w:r>
      <w:r>
        <w:rPr>
          <w:rStyle w:val="Funotenanker"/>
        </w:rPr>
        <w:footnoteReference w:customMarkFollows="1" w:id="608"/>
        <w:t>v</w:t>
      </w:r>
      <w:r>
        <w:rPr/>
        <w:t xml:space="preserve"> </w:t>
      </w:r>
      <w:r>
        <w:rPr>
          <w:smallCaps/>
          <w:color w:val="FF0000"/>
        </w:rPr>
        <w:t>JHWH</w:t>
      </w:r>
      <w:r>
        <w:rPr/>
        <w:t>.</w:t>
      </w:r>
      <w:r>
        <w:rPr>
          <w:rStyle w:val="Funotenanker"/>
        </w:rPr>
        <w:footnoteReference w:customMarkFollows="1" w:id="609"/>
        <w:t>w</w:t>
      </w:r>
      <w:r>
        <w:rPr/>
        <w:t xml:space="preserve"> </w:t>
        <w:br/>
        <w:t xml:space="preserve">{{field-off:bible}} </w:t>
        <w:br/>
        <w:t>[[@BibleTOBIBLE:Ps 9:12]]</w:t>
      </w:r>
      <w:r>
        <w:rPr>
          <w:b/>
        </w:rPr>
        <w:t>12</w:t>
      </w:r>
      <w:r>
        <w:rPr/>
        <w:t xml:space="preserve"> {{field-on:bible}} </w:t>
        <w:br/>
      </w:r>
      <w:r>
        <w:rPr>
          <w:b/>
          <w:color w:val="808080"/>
        </w:rPr>
        <w:t>[</w:t>
      </w:r>
      <w:r>
        <w:rPr/>
        <w:t>'''G'''</w:t>
      </w:r>
      <w:r>
        <w:rPr>
          <w:b/>
          <w:color w:val="808080"/>
        </w:rPr>
        <w:t>]</w:t>
      </w:r>
      <w:r>
        <w:rPr/>
        <w:t xml:space="preserve"> Singt </w:t>
      </w:r>
      <w:r>
        <w:rPr>
          <w:smallCaps/>
          <w:color w:val="FF0000"/>
        </w:rPr>
        <w:t>JHWH</w:t>
      </w:r>
      <w:r>
        <w:rPr/>
        <w:t>, der auf dem Zion thront,</w:t>
      </w:r>
      <w:r>
        <w:rPr>
          <w:rStyle w:val="Funotenanker"/>
        </w:rPr>
        <w:footnoteReference w:customMarkFollows="1" w:id="610"/>
        <w:t>x</w:t>
      </w:r>
      <w:r>
        <w:rPr/>
        <w:t>Verkündet den Völkern seine Taten!</w:t>
        <w:br/>
        <w:t xml:space="preserve">{{field-off:bible}} </w:t>
        <w:br/>
        <w:t>[[@BibleTOBIBLE:Ps 9:13]]</w:t>
      </w:r>
      <w:r>
        <w:rPr>
          <w:b/>
        </w:rPr>
        <w:t>13</w:t>
      </w:r>
      <w:r>
        <w:rPr/>
        <w:t xml:space="preserve"> {{field-on:bible}} </w:t>
        <w:br/>
        <w:t xml:space="preserve">Denn </w:t>
      </w:r>
      <w:r>
        <w:rPr>
          <w:b/>
          <w:color w:val="808080"/>
        </w:rPr>
        <w:t>[</w:t>
      </w:r>
      <w:r>
        <w:rPr/>
        <w:t xml:space="preserve">wie ein </w:t>
      </w:r>
      <w:r>
        <w:rPr>
          <w:color w:val="808080"/>
        </w:rPr>
        <w:t>(als)</w:t>
      </w:r>
      <w:r>
        <w:rPr>
          <w:b/>
          <w:color w:val="808080"/>
        </w:rPr>
        <w:t>]</w:t>
      </w:r>
      <w:r>
        <w:rPr/>
        <w:t xml:space="preserve"> Sucher von Blut</w:t>
      </w:r>
      <w:r>
        <w:rPr>
          <w:rStyle w:val="Funotenanker"/>
        </w:rPr>
        <w:footnoteReference w:customMarkFollows="1" w:id="611"/>
        <w:t>y</w:t>
      </w:r>
      <w:r>
        <w:rPr/>
        <w:t xml:space="preserve"> </w:t>
      </w:r>
      <w:r>
        <w:rPr>
          <w:color w:val="808080"/>
        </w:rPr>
        <w:t>(Denn er sucht Blut,)</w:t>
      </w:r>
      <w:r>
        <w:rPr/>
        <w:t xml:space="preserve"> denkt er an sie,</w:t>
      </w:r>
      <w:r>
        <w:rPr>
          <w:rStyle w:val="Funotenanker"/>
        </w:rPr>
        <w:footnoteReference w:customMarkFollows="1" w:id="612"/>
        <w:t>z</w:t>
      </w:r>
      <w:r>
        <w:rPr/>
        <w:t>Er vergisst nicht</w:t>
      </w:r>
      <w:r>
        <w:rPr>
          <w:rStyle w:val="Funotenanker"/>
        </w:rPr>
        <w:footnoteReference w:customMarkFollows="1" w:id="613"/>
        <w:t>aa</w:t>
      </w:r>
      <w:r>
        <w:rPr/>
        <w:t xml:space="preserve"> das Rufen der Elenden </w:t>
      </w:r>
      <w:r>
        <w:rPr>
          <w:color w:val="808080"/>
        </w:rPr>
        <w:t>(Armen)</w:t>
      </w:r>
      <w:r>
        <w:rPr/>
        <w:t>.“</w:t>
      </w:r>
      <w:r>
        <w:rPr>
          <w:rStyle w:val="Funotenanker"/>
        </w:rPr>
        <w:footnoteReference w:customMarkFollows="1" w:id="614"/>
        <w:t>ab</w:t>
      </w:r>
      <w:r>
        <w:rPr/>
        <w:t xml:space="preserve"> </w:t>
        <w:br/>
        <w:br/>
        <w:t xml:space="preserve">{{field-off:bible}} </w:t>
        <w:br/>
        <w:t>[[@BibleTOBIBLE:Ps 9:14]]</w:t>
      </w:r>
      <w:r>
        <w:rPr>
          <w:b/>
        </w:rPr>
        <w:t>14</w:t>
      </w:r>
      <w:r>
        <w:rPr/>
        <w:t xml:space="preserve"> {{field-on:bible}} </w:t>
        <w:br/>
      </w:r>
      <w:r>
        <w:rPr>
          <w:b/>
          <w:color w:val="808080"/>
        </w:rPr>
        <w:t>[</w:t>
      </w:r>
      <w:r>
        <w:rPr/>
        <w:t>'''H'''</w:t>
      </w:r>
      <w:r>
        <w:rPr>
          <w:b/>
          <w:color w:val="808080"/>
        </w:rPr>
        <w:t>]</w:t>
      </w:r>
      <w:r>
        <w:rPr/>
        <w:t xml:space="preserve"> Sei mir gnädig, </w:t>
      </w:r>
      <w:r>
        <w:rPr>
          <w:smallCaps/>
          <w:color w:val="FF0000"/>
        </w:rPr>
        <w:t>JHWH</w:t>
      </w:r>
      <w:r>
        <w:rPr/>
        <w:t>! Sieh auf mein Elend</w:t>
      </w:r>
      <w:r>
        <w:rPr>
          <w:rStyle w:val="Funotenanker"/>
        </w:rPr>
        <w:footnoteReference w:customMarkFollows="1" w:id="615"/>
        <w:t>ac</w:t>
      </w:r>
      <w:r>
        <w:rPr/>
        <w:t xml:space="preserve"> von meinen Hassern,Indem du mich emporhebst </w:t>
      </w:r>
      <w:r>
        <w:rPr>
          <w:color w:val="808080"/>
        </w:rPr>
        <w:t>(</w:t>
      </w:r>
      <w:r>
        <w:rPr>
          <w:b/>
          <w:color w:val="808080"/>
        </w:rPr>
        <w:t>[</w:t>
      </w:r>
      <w:r>
        <w:rPr>
          <w:color w:val="808080"/>
        </w:rPr>
        <w:t>du</w:t>
      </w:r>
      <w:r>
        <w:rPr>
          <w:b/>
          <w:color w:val="808080"/>
        </w:rPr>
        <w:t>]</w:t>
      </w:r>
      <w:r>
        <w:rPr>
          <w:color w:val="808080"/>
        </w:rPr>
        <w:t>, der du mich emporhebst/mich emporgehoben hast/</w:t>
      </w:r>
      <w:r>
        <w:rPr>
          <w:b/>
          <w:color w:val="808080"/>
        </w:rPr>
        <w:t>[</w:t>
      </w:r>
      <w:r>
        <w:rPr>
          <w:color w:val="808080"/>
        </w:rPr>
        <w:t>allein</w:t>
      </w:r>
      <w:r>
        <w:rPr>
          <w:b/>
          <w:color w:val="808080"/>
        </w:rPr>
        <w:t>]</w:t>
      </w:r>
      <w:r>
        <w:rPr>
          <w:color w:val="808080"/>
        </w:rPr>
        <w:t xml:space="preserve"> mich emporheben kann)</w:t>
      </w:r>
      <w:r>
        <w:rPr/>
        <w:t xml:space="preserve"> von den Toren des Todes,</w:t>
      </w:r>
      <w:r>
        <w:rPr>
          <w:rStyle w:val="Funotenanker"/>
        </w:rPr>
        <w:footnoteReference w:customMarkFollows="1" w:id="616"/>
        <w:t>ad</w:t>
      </w:r>
      <w:r>
        <w:rPr/>
        <w:t xml:space="preserve"> </w:t>
        <w:br/>
        <w:t xml:space="preserve">{{field-off:bible}} </w:t>
        <w:br/>
        <w:t>[[@BibleTOBIBLE:Ps 9:15]]</w:t>
      </w:r>
      <w:r>
        <w:rPr>
          <w:b/>
        </w:rPr>
        <w:t>15</w:t>
      </w:r>
      <w:r>
        <w:rPr/>
        <w:t xml:space="preserve"> {{field-on:bible}} </w:t>
        <w:br/>
        <w:t>Damit ich Lobpreisungen auf dich äußern kann in den Toren der Tochter Zion</w:t>
      </w:r>
      <w:r>
        <w:rPr>
          <w:rStyle w:val="Funotenanker"/>
        </w:rPr>
        <w:footnoteReference w:customMarkFollows="1" w:id="617"/>
        <w:t>ae</w:t>
      </w:r>
      <w:r>
        <w:rPr/>
        <w:t xml:space="preserve">und jubeln kann über </w:t>
      </w:r>
      <w:r>
        <w:rPr>
          <w:b/>
          <w:color w:val="808080"/>
        </w:rPr>
        <w:t>[</w:t>
      </w:r>
      <w:r>
        <w:rPr/>
        <w:t>meine</w:t>
      </w:r>
      <w:r>
        <w:rPr>
          <w:b/>
          <w:color w:val="808080"/>
        </w:rPr>
        <w:t>]</w:t>
      </w:r>
      <w:r>
        <w:rPr/>
        <w:t xml:space="preserve"> Rettung durch dich </w:t>
      </w:r>
      <w:r>
        <w:rPr>
          <w:b/>
          <w:color w:val="808080"/>
        </w:rPr>
        <w:t>[</w:t>
      </w:r>
      <w:r>
        <w:rPr/>
        <w:t>mit den Worten</w:t>
      </w:r>
      <w:r>
        <w:rPr>
          <w:b/>
          <w:color w:val="808080"/>
        </w:rPr>
        <w:t>]</w:t>
      </w:r>
      <w:r>
        <w:rPr/>
        <w:t>:</w:t>
        <w:br/>
        <w:br/>
        <w:t xml:space="preserve">{{field-off:bible}} </w:t>
        <w:br/>
        <w:t>[[@BibleTOBIBLE:Ps 9:16]]</w:t>
      </w:r>
      <w:r>
        <w:rPr>
          <w:b/>
        </w:rPr>
        <w:t>16</w:t>
      </w:r>
      <w:r>
        <w:rPr/>
        <w:t xml:space="preserve"> {{field-on:bible}} </w:t>
        <w:br/>
      </w:r>
      <w:r>
        <w:rPr>
          <w:b/>
          <w:color w:val="808080"/>
        </w:rPr>
        <w:t>[</w:t>
      </w:r>
      <w:r>
        <w:rPr/>
        <w:t>'''I'''</w:t>
      </w:r>
      <w:r>
        <w:rPr>
          <w:b/>
          <w:color w:val="808080"/>
        </w:rPr>
        <w:t>]</w:t>
      </w:r>
      <w:r>
        <w:rPr/>
        <w:t xml:space="preserve"> „Versunken sind die Nationen im Schacht, </w:t>
      </w:r>
      <w:r>
        <w:rPr>
          <w:b/>
          <w:color w:val="808080"/>
        </w:rPr>
        <w:t>[</w:t>
      </w:r>
      <w:r>
        <w:rPr/>
        <w:t>den</w:t>
      </w:r>
      <w:r>
        <w:rPr>
          <w:b/>
          <w:color w:val="808080"/>
        </w:rPr>
        <w:t>]</w:t>
      </w:r>
      <w:r>
        <w:rPr/>
        <w:t xml:space="preserve"> sie gemacht haben;Im Netz, das sie versteckt haben, hat sich ihr </w:t>
      </w:r>
      <w:r>
        <w:rPr>
          <w:b/>
          <w:color w:val="808080"/>
        </w:rPr>
        <w:t>[</w:t>
      </w:r>
      <w:r>
        <w:rPr/>
        <w:t>eigener</w:t>
      </w:r>
      <w:r>
        <w:rPr>
          <w:b/>
          <w:color w:val="808080"/>
        </w:rPr>
        <w:t>]</w:t>
      </w:r>
      <w:r>
        <w:rPr/>
        <w:t xml:space="preserve"> Fuß verfangen!</w:t>
        <w:br/>
        <w:t xml:space="preserve">{{field-off:bible}} </w:t>
        <w:br/>
        <w:t>[[@BibleTOBIBLE:Ps 9:17]]</w:t>
      </w:r>
      <w:r>
        <w:rPr>
          <w:b/>
        </w:rPr>
        <w:t>17</w:t>
      </w:r>
      <w:r>
        <w:rPr/>
        <w:t xml:space="preserve"> {{field-on:bible}} </w:t>
        <w:br/>
      </w:r>
      <w:r>
        <w:rPr>
          <w:smallCaps/>
          <w:color w:val="FF0000"/>
        </w:rPr>
        <w:t>JHWH</w:t>
      </w:r>
      <w:r>
        <w:rPr/>
        <w:t xml:space="preserve"> hat sich kundgetan, Gericht hat er geübt:Im Werk seiner </w:t>
      </w:r>
      <w:r>
        <w:rPr>
          <w:b/>
          <w:color w:val="808080"/>
        </w:rPr>
        <w:t>[</w:t>
      </w:r>
      <w:r>
        <w:rPr/>
        <w:t>eigenen</w:t>
      </w:r>
      <w:r>
        <w:rPr>
          <w:b/>
          <w:color w:val="808080"/>
        </w:rPr>
        <w:t>]</w:t>
      </w:r>
      <w:r>
        <w:rPr/>
        <w:t xml:space="preserve"> Hände hat er den Schlechten </w:t>
      </w:r>
      <w:r>
        <w:rPr>
          <w:color w:val="808080"/>
        </w:rPr>
        <w:t>(hat sich der Schlechte)</w:t>
      </w:r>
      <w:r>
        <w:rPr/>
        <w:t xml:space="preserve"> </w:t>
      </w:r>
      <w:r>
        <w:rPr>
          <w:rStyle w:val="Funotenanker"/>
        </w:rPr>
        <w:footnoteReference w:customMarkFollows="1" w:id="618"/>
        <w:t>af</w:t>
      </w:r>
      <w:r>
        <w:rPr/>
        <w:t xml:space="preserve"> verstrickt!“ </w:t>
      </w:r>
      <w:r>
        <w:rPr>
          <w:strike/>
          <w:color w:val="808080"/>
        </w:rPr>
        <w:t>{Higgaion Selah}</w:t>
      </w:r>
      <w:r>
        <w:rPr/>
        <w:t xml:space="preserve"> </w:t>
      </w:r>
      <w:r>
        <w:rPr>
          <w:rStyle w:val="Funotenanker"/>
        </w:rPr>
        <w:footnoteReference w:customMarkFollows="1" w:id="619"/>
        <w:t>ag</w:t>
      </w:r>
      <w:r>
        <w:rPr/>
        <w:t xml:space="preserve"> </w:t>
        <w:br/>
        <w:br/>
        <w:t xml:space="preserve">{{field-off:bible}} </w:t>
        <w:br/>
        <w:t>[[@BibleTOBIBLE:Ps 9:18]]</w:t>
      </w:r>
      <w:r>
        <w:rPr>
          <w:b/>
        </w:rPr>
        <w:t>18</w:t>
      </w:r>
      <w:r>
        <w:rPr/>
        <w:t xml:space="preserve"> {{field-on:bible}} </w:t>
        <w:br/>
      </w:r>
      <w:r>
        <w:rPr>
          <w:b/>
          <w:color w:val="808080"/>
        </w:rPr>
        <w:t>[</w:t>
      </w:r>
      <w:r>
        <w:rPr/>
        <w:t>'''J'''</w:t>
      </w:r>
      <w:r>
        <w:rPr>
          <w:b/>
          <w:color w:val="808080"/>
        </w:rPr>
        <w:t>]</w:t>
      </w:r>
      <w:r>
        <w:rPr/>
        <w:t xml:space="preserve"> Es mögen Schlechte zur </w:t>
      </w:r>
      <w:r>
        <w:rPr>
          <w:strike/>
          <w:color w:val="808080"/>
        </w:rPr>
        <w:t>{gen}</w:t>
      </w:r>
      <w:r>
        <w:rPr/>
        <w:t xml:space="preserve"> </w:t>
      </w:r>
      <w:r>
        <w:rPr>
          <w:rStyle w:val="Funotenanker"/>
        </w:rPr>
        <w:footnoteReference w:customMarkFollows="1" w:id="620"/>
        <w:t>ah</w:t>
      </w:r>
      <w:r>
        <w:rPr/>
        <w:t xml:space="preserve"> Scheol</w:t>
      </w:r>
      <w:r>
        <w:rPr>
          <w:rStyle w:val="Funotenanker"/>
        </w:rPr>
        <w:footnoteReference w:customMarkFollows="1" w:id="621"/>
        <w:t>ai</w:t>
      </w:r>
      <w:r>
        <w:rPr/>
        <w:t xml:space="preserve"> zurückkehren,</w:t>
      </w:r>
      <w:r>
        <w:rPr>
          <w:rStyle w:val="Funotenanker"/>
        </w:rPr>
        <w:footnoteReference w:customMarkFollows="1" w:id="622"/>
        <w:t>aj</w:t>
      </w:r>
      <w:r>
        <w:rPr/>
        <w:t xml:space="preserve">Alle Nationen, die Gott vergessen </w:t>
      </w:r>
      <w:r>
        <w:rPr>
          <w:b/>
          <w:color w:val="808080"/>
        </w:rPr>
        <w:t>[</w:t>
      </w:r>
      <w:r>
        <w:rPr/>
        <w:t>haben</w:t>
      </w:r>
      <w:r>
        <w:rPr>
          <w:b/>
          <w:color w:val="808080"/>
        </w:rPr>
        <w:t>]</w:t>
      </w:r>
      <w:r>
        <w:rPr/>
        <w:t>.</w:t>
      </w:r>
      <w:r>
        <w:rPr>
          <w:rStyle w:val="Funotenanker"/>
        </w:rPr>
        <w:footnoteReference w:customMarkFollows="1" w:id="623"/>
        <w:t>ak</w:t>
      </w:r>
      <w:r>
        <w:rPr/>
        <w:t xml:space="preserve"> </w:t>
        <w:br/>
        <w:t xml:space="preserve">{{field-off:bible}} </w:t>
        <w:br/>
        <w:t>[[@BibleTOBIBLE:Ps 9:19]]</w:t>
      </w:r>
      <w:r>
        <w:rPr>
          <w:b/>
        </w:rPr>
        <w:t>19</w:t>
      </w:r>
      <w:r>
        <w:rPr/>
        <w:t xml:space="preserve"> {{field-on:bible}} </w:t>
        <w:br/>
      </w:r>
      <w:r>
        <w:rPr>
          <w:b/>
          <w:color w:val="808080"/>
        </w:rPr>
        <w:t>[</w:t>
      </w:r>
      <w:r>
        <w:rPr/>
        <w:t>'''K'''</w:t>
      </w:r>
      <w:r>
        <w:rPr>
          <w:b/>
          <w:color w:val="808080"/>
        </w:rPr>
        <w:t>]</w:t>
      </w:r>
      <w:r>
        <w:rPr/>
        <w:t xml:space="preserve"> Ach!, </w:t>
      </w:r>
      <w:r>
        <w:rPr>
          <w:color w:val="808080"/>
        </w:rPr>
        <w:t>(Denn)</w:t>
      </w:r>
      <w:r>
        <w:rPr/>
        <w:t xml:space="preserve"> nicht auf immer werde vergessen </w:t>
      </w:r>
      <w:r>
        <w:rPr>
          <w:color w:val="808080"/>
        </w:rPr>
        <w:t>(wird vergessen werden)</w:t>
      </w:r>
      <w:r>
        <w:rPr/>
        <w:t xml:space="preserve"> der Arme,verderbe </w:t>
      </w:r>
      <w:r>
        <w:rPr>
          <w:color w:val="808080"/>
        </w:rPr>
        <w:t>(wird verderben)</w:t>
      </w:r>
      <w:r>
        <w:rPr/>
        <w:t xml:space="preserve"> die Hoffnung der Elenden für </w:t>
      </w:r>
      <w:r>
        <w:rPr>
          <w:b/>
          <w:color w:val="808080"/>
        </w:rPr>
        <w:t>[</w:t>
      </w:r>
      <w:r>
        <w:rPr/>
        <w:t>alle</w:t>
      </w:r>
      <w:r>
        <w:rPr>
          <w:b/>
          <w:color w:val="808080"/>
        </w:rPr>
        <w:t>]</w:t>
      </w:r>
      <w:r>
        <w:rPr/>
        <w:t xml:space="preserve"> Zeit!</w:t>
      </w:r>
      <w:r>
        <w:rPr>
          <w:rStyle w:val="Funotenanker"/>
        </w:rPr>
        <w:footnoteReference w:customMarkFollows="1" w:id="624"/>
        <w:t>al</w:t>
      </w:r>
      <w:r>
        <w:rPr/>
        <w:t xml:space="preserve"> </w:t>
        <w:br/>
        <w:t xml:space="preserve">{{field-off:bible}} </w:t>
        <w:br/>
        <w:t>[[@BibleTOBIBLE:Ps 9:20]]</w:t>
      </w:r>
      <w:r>
        <w:rPr>
          <w:b/>
        </w:rPr>
        <w:t>20</w:t>
      </w:r>
      <w:r>
        <w:rPr/>
        <w:t xml:space="preserve"> {{field-on:bible}} </w:t>
        <w:br/>
        <w:t xml:space="preserve">Erhebe dich, </w:t>
      </w:r>
      <w:r>
        <w:rPr>
          <w:smallCaps/>
          <w:color w:val="FF0000"/>
        </w:rPr>
        <w:t>JHWH</w:t>
      </w:r>
      <w:r>
        <w:rPr/>
        <w:t xml:space="preserve">! Menschlein </w:t>
      </w:r>
      <w:r>
        <w:rPr>
          <w:color w:val="808080"/>
        </w:rPr>
        <w:t>(Menschen)</w:t>
      </w:r>
      <w:r>
        <w:rPr/>
        <w:t xml:space="preserve"> </w:t>
      </w:r>
      <w:r>
        <w:rPr>
          <w:rStyle w:val="Funotenanker"/>
        </w:rPr>
        <w:footnoteReference w:customMarkFollows="1" w:id="625"/>
        <w:t>am</w:t>
      </w:r>
      <w:r>
        <w:rPr/>
        <w:t xml:space="preserve"> sollen nicht stark sein!</w:t>
      </w:r>
      <w:r>
        <w:rPr>
          <w:rStyle w:val="Funotenanker"/>
        </w:rPr>
        <w:footnoteReference w:customMarkFollows="1" w:id="626"/>
        <w:t>an</w:t>
      </w:r>
      <w:r>
        <w:rPr/>
        <w:t>Die Nationen sollen gerichtet werden vor dir!</w:t>
        <w:br/>
        <w:t xml:space="preserve">{{field-off:bible}} </w:t>
        <w:br/>
        <w:t>[[@BibleTOBIBLE:Ps 9:21]]</w:t>
      </w:r>
      <w:r>
        <w:rPr>
          <w:b/>
        </w:rPr>
        <w:t>21</w:t>
      </w:r>
      <w:r>
        <w:rPr/>
        <w:t xml:space="preserve"> {{field-on:bible}} </w:t>
        <w:br/>
        <w:t xml:space="preserve">Setze, </w:t>
      </w:r>
      <w:r>
        <w:rPr>
          <w:smallCaps/>
          <w:color w:val="FF0000"/>
        </w:rPr>
        <w:t>JHWH</w:t>
      </w:r>
      <w:r>
        <w:rPr/>
        <w:t xml:space="preserve">, Furcht in sie </w:t>
      </w:r>
      <w:r>
        <w:rPr>
          <w:color w:val="808080"/>
        </w:rPr>
        <w:t>(ihnen einen Lehrer vor, gib ihnen eine Lehre)</w:t>
      </w:r>
      <w:r>
        <w:rPr/>
        <w:t>!</w:t>
      </w:r>
      <w:r>
        <w:rPr>
          <w:rStyle w:val="Funotenanker"/>
        </w:rPr>
        <w:footnoteReference w:customMarkFollows="1" w:id="627"/>
        <w:t>ao</w:t>
      </w:r>
      <w:r>
        <w:rPr/>
        <w:t xml:space="preserve">Es sollen wissen Nationen, dass sie </w:t>
      </w:r>
      <w:r>
        <w:rPr>
          <w:b/>
          <w:color w:val="808080"/>
        </w:rPr>
        <w:t>[</w:t>
      </w:r>
      <w:r>
        <w:rPr/>
        <w:t>nur</w:t>
      </w:r>
      <w:r>
        <w:rPr>
          <w:b/>
          <w:color w:val="808080"/>
        </w:rPr>
        <w:t>]</w:t>
      </w:r>
      <w:r>
        <w:rPr/>
        <w:t xml:space="preserve"> Menschlein </w:t>
      </w:r>
      <w:r>
        <w:rPr>
          <w:color w:val="808080"/>
        </w:rPr>
        <w:t>(Menschen)</w:t>
      </w:r>
      <w:r>
        <w:rPr/>
        <w:t xml:space="preserve"> sind! </w:t>
      </w:r>
      <w:r>
        <w:rPr>
          <w:strike/>
          <w:color w:val="808080"/>
        </w:rPr>
        <w:t>{Selah}</w:t>
      </w:r>
      <w:r>
        <w:rPr/>
        <w:t xml:space="preserve"> </w:t>
        <w:br/>
        <w:t xml:space="preserve">{{field-off:bible}} </w:t>
      </w:r>
    </w:p>
    <w:p>
      <w:pPr>
        <w:pStyle w:val="Berschrift3"/>
        <w:rPr/>
      </w:pPr>
      <w:r>
        <w:rPr/>
        <w:t>[[@BibleTOBIBLE:Ps 10]]Kapitel 10</w:t>
      </w:r>
    </w:p>
    <w:p>
      <w:pPr>
        <w:pStyle w:val="Textkrper"/>
        <w:rPr/>
      </w:pPr>
      <w:r>
        <w:rPr/>
        <w:t xml:space="preserve">&lt;small&gt;Ps 10 ist kein eigenständiger Psalm, sondern der zweite Teil des einen Psalms Ps 9-10. Diese Anmerkungen sind daher die Fortsetzung der Anmerkungen zu Psalm 9.&lt;/small&gt; Die Zerfaserung des Akrostichons, die am Ende von Psalm 9 eingesetzt hat, setzt sich in Psalm 10 fort. In Vv. 1-11, dem „Klage“-Abschnitt, in dem Gott die ganze Verderbtheit der Gegner vor Augen geführt werden soll, um ihn zum Handeln zu motivieren, finden sich von den sieben erwarteten Anfangsbuchstaben nur noch zwei; auch besteht der Abschnitt aus vier Zeilen zu wenig. „Erwähnung und Diskussion der Bösen, die den Zusammenbruch der ordentlichen göttlichen Ordnung repräsentieren, finden sich exakt an dem Punkt, an dem auch das Akrostichon zusammenbricht.“ (Benun 2006, S. 6). In Vv. 14-21schließlich wendet sich der Beter wieder mit seiner „Bitte“ an </w:t>
      </w:r>
      <w:r>
        <w:rPr>
          <w:rStyle w:val="Funotenanker"/>
        </w:rPr>
        <w:footnoteReference w:customMarkFollows="1" w:id="628"/>
        <w:t>a</w:t>
      </w:r>
      <w:r>
        <w:rPr/>
        <w:t xml:space="preserve">, in der immer wieder Appell an einen Wesenszug Gottes und Bitte um Gottes Handeln sich abwechseln: Vv. 14a: Du siehst doch - V. 14b: Untersuche!; V. 14cd: Auf dich kann sich der Verfolge verlassen - V. 15: Räche ihn!; V. 17a: Du hörst doch - Lass dein Ohr horchen! Und von dem Moment an, da er sich von der Meditation seiner Not mit dem Ruf: „Steh auf, </w:t>
      </w:r>
      <w:r>
        <w:rPr>
          <w:rStyle w:val="Funotenanker"/>
        </w:rPr>
        <w:footnoteReference w:customMarkFollows="1" w:id="629"/>
        <w:t>b</w:t>
      </w:r>
      <w:r>
        <w:rPr/>
        <w:t xml:space="preserve">! ... Vergiss die Elenden doch nicht!“ wieder </w:t>
      </w:r>
      <w:r>
        <w:rPr>
          <w:rStyle w:val="Funotenanker"/>
        </w:rPr>
        <w:footnoteReference w:customMarkFollows="1" w:id="630"/>
        <w:t>c</w:t>
      </w:r>
      <w:r>
        <w:rPr/>
        <w:t xml:space="preserve"> zuwendet, setzt auch die akrostische Ordnung wieder ein. Der „ordnungslose“ Teil des Psalms fällt zusammen mit dem der Klage über die gottlosen Gegner (Vv. 3b-5b!), der „geordnete“ Teil des Psalms mit dessen Bittgebet an Gott. Es ist, als wolle der Psalm durch seine Form hindurch sagen: Auch, wenn die Welt nicht in Ordnung ist: Solange du nur betest, ist sie es doch, denn: „Auf Gott kann sich verlassen der Verfolgte, weil der der Helfer der Waise ist“ (V. 14). </w:t>
        <w:br/>
        <w:br/>
        <w:t>[[@BibleTOBIBLE:Ps 10:1]]</w:t>
      </w:r>
      <w:r>
        <w:rPr>
          <w:b/>
        </w:rPr>
        <w:t>1</w:t>
      </w:r>
      <w:r>
        <w:rPr/>
        <w:t xml:space="preserve"> {{field-on:bible}} </w:t>
      </w:r>
      <w:r>
        <w:rPr>
          <w:rStyle w:val="Funotenanker"/>
        </w:rPr>
        <w:footnoteReference w:customMarkFollows="1" w:id="631"/>
        <w:t>Status</w:t>
      </w:r>
      <w:r>
        <w:rPr/>
        <w:t xml:space="preserve"> </w:t>
      </w:r>
      <w:r>
        <w:rPr>
          <w:b/>
          <w:color w:val="808080"/>
        </w:rPr>
        <w:t>[</w:t>
      </w:r>
      <w:r>
        <w:rPr/>
        <w:t>'''L'''</w:t>
      </w:r>
      <w:r>
        <w:rPr>
          <w:b/>
          <w:color w:val="808080"/>
        </w:rPr>
        <w:t>]</w:t>
      </w:r>
      <w:r>
        <w:rPr/>
        <w:t xml:space="preserve"> </w:t>
      </w:r>
      <w:r>
        <w:rPr>
          <w:rStyle w:val="Funotenanker"/>
        </w:rPr>
        <w:footnoteReference w:customMarkFollows="1" w:id="632"/>
        <w:t>d</w:t>
      </w:r>
      <w:r>
        <w:rPr/>
        <w:t xml:space="preserve"> Warum, o </w:t>
      </w:r>
      <w:r>
        <w:rPr>
          <w:smallCaps/>
          <w:color w:val="FF0000"/>
        </w:rPr>
        <w:t>JHWH</w:t>
      </w:r>
      <w:r>
        <w:rPr/>
        <w:t>, willst du fern stehen,</w:t>
      </w:r>
      <w:r>
        <w:rPr>
          <w:rStyle w:val="Funotenanker"/>
        </w:rPr>
        <w:footnoteReference w:customMarkFollows="1" w:id="633"/>
        <w:t>e</w:t>
      </w:r>
      <w:r>
        <w:rPr/>
        <w:t xml:space="preserve">Willst du dich verbergen in Zeiten der Bedrängnis? - </w:t>
        <w:br/>
        <w:t xml:space="preserve">{{field-off:bible}} </w:t>
        <w:br/>
        <w:t>[[@BibleTOBIBLE:Ps 10:2]]</w:t>
      </w:r>
      <w:r>
        <w:rPr>
          <w:b/>
        </w:rPr>
        <w:t>2</w:t>
      </w:r>
      <w:r>
        <w:rPr/>
        <w:t xml:space="preserve"> {{field-on:bible}} </w:t>
        <w:br/>
        <w:t xml:space="preserve">In </w:t>
      </w:r>
      <w:r>
        <w:rPr>
          <w:b/>
          <w:color w:val="808080"/>
        </w:rPr>
        <w:t>[</w:t>
      </w:r>
      <w:r>
        <w:rPr/>
        <w:t>seinem</w:t>
      </w:r>
      <w:r>
        <w:rPr>
          <w:b/>
          <w:color w:val="808080"/>
        </w:rPr>
        <w:t>]</w:t>
      </w:r>
      <w:r>
        <w:rPr/>
        <w:t xml:space="preserve"> Hochmut </w:t>
      </w:r>
      <w:r>
        <w:rPr>
          <w:color w:val="808080"/>
        </w:rPr>
        <w:t>(Stolz)</w:t>
      </w:r>
      <w:r>
        <w:rPr/>
        <w:t xml:space="preserve"> verfolgt der Schlechte den Elenden </w:t>
      </w:r>
      <w:r>
        <w:rPr>
          <w:color w:val="808080"/>
        </w:rPr>
        <w:t>(Armen)</w:t>
      </w:r>
      <w:r>
        <w:rPr/>
        <w:t xml:space="preserve"> </w:t>
      </w:r>
      <w:r>
        <w:rPr>
          <w:rStyle w:val="Funotenanker"/>
        </w:rPr>
        <w:footnoteReference w:customMarkFollows="1" w:id="634"/>
        <w:t>f</w:t>
      </w:r>
      <w:r>
        <w:rPr/>
        <w:t xml:space="preserve"> </w:t>
      </w:r>
      <w:r>
        <w:rPr>
          <w:color w:val="808080"/>
        </w:rPr>
        <w:t>(im Hochmut des Schlechten verfolgt er den Elenden, durch den Stolz des Schlechten brennt der Elende)</w:t>
      </w:r>
      <w:r>
        <w:rPr/>
        <w:t xml:space="preserve"> </w:t>
      </w:r>
      <w:r>
        <w:rPr>
          <w:rStyle w:val="Funotenanker"/>
        </w:rPr>
        <w:footnoteReference w:customMarkFollows="1" w:id="635"/>
        <w:t>g</w:t>
      </w:r>
      <w:r>
        <w:rPr/>
        <w:t>Sie werden gefangen durch die Ränke, die sie erdacht haben.</w:t>
      </w:r>
      <w:r>
        <w:rPr>
          <w:rStyle w:val="Funotenanker"/>
        </w:rPr>
        <w:footnoteReference w:customMarkFollows="1" w:id="636"/>
        <w:t>h</w:t>
      </w:r>
      <w:r>
        <w:rPr/>
        <w:t xml:space="preserve"> </w:t>
        <w:br/>
        <w:t xml:space="preserve">{{field-off:bible}} </w:t>
        <w:br/>
        <w:t>[[@BibleTOBIBLE:Ps 10:3]]</w:t>
      </w:r>
      <w:r>
        <w:rPr>
          <w:b/>
        </w:rPr>
        <w:t>3</w:t>
      </w:r>
      <w:r>
        <w:rPr/>
        <w:t xml:space="preserve"> {{field-on:bible}} </w:t>
        <w:br/>
        <w:t xml:space="preserve">Ach!, </w:t>
      </w:r>
      <w:r>
        <w:rPr>
          <w:color w:val="808080"/>
        </w:rPr>
        <w:t>(Denn)</w:t>
      </w:r>
      <w:r>
        <w:rPr/>
        <w:t xml:space="preserve"> der Schlechte rühmt seine Seele für </w:t>
      </w:r>
      <w:r>
        <w:rPr>
          <w:b/>
          <w:color w:val="808080"/>
        </w:rPr>
        <w:t>[</w:t>
      </w:r>
      <w:r>
        <w:rPr/>
        <w:t>ihre</w:t>
      </w:r>
      <w:r>
        <w:rPr>
          <w:b/>
          <w:color w:val="808080"/>
        </w:rPr>
        <w:t>]</w:t>
      </w:r>
      <w:r>
        <w:rPr/>
        <w:t xml:space="preserve"> Lust,</w:t>
      </w:r>
      <w:r>
        <w:rPr>
          <w:rStyle w:val="Funotenanker"/>
        </w:rPr>
        <w:footnoteReference w:customMarkFollows="1" w:id="637"/>
        <w:t>i</w:t>
      </w:r>
      <w:r>
        <w:rPr/>
        <w:t>Und der Abschneider</w:t>
      </w:r>
      <w:r>
        <w:rPr>
          <w:rStyle w:val="Funotenanker"/>
        </w:rPr>
        <w:footnoteReference w:customMarkFollows="1" w:id="638"/>
        <w:t>j</w:t>
      </w:r>
      <w:r>
        <w:rPr/>
        <w:t xml:space="preserve"> flucht,</w:t>
      </w:r>
      <w:r>
        <w:rPr>
          <w:rStyle w:val="Funotenanker"/>
        </w:rPr>
        <w:footnoteReference w:customMarkFollows="1" w:id="639"/>
        <w:t>k</w:t>
      </w:r>
      <w:r>
        <w:rPr/>
        <w:t xml:space="preserve"> verachtet</w:t>
      </w:r>
      <w:r>
        <w:rPr>
          <w:rStyle w:val="Funotenanker"/>
        </w:rPr>
        <w:footnoteReference w:customMarkFollows="1" w:id="640"/>
        <w:t>l</w:t>
      </w:r>
      <w:r>
        <w:rPr/>
        <w:t xml:space="preserve"> </w:t>
      </w:r>
      <w:r>
        <w:rPr>
          <w:smallCaps/>
          <w:color w:val="FF0000"/>
        </w:rPr>
        <w:t>JHWH</w:t>
      </w:r>
      <w:r>
        <w:rPr/>
        <w:t>.</w:t>
        <w:br/>
        <w:t xml:space="preserve">{{field-off:bible}} </w:t>
        <w:br/>
        <w:t>[[@BibleTOBIBLE:Ps 10:4]]</w:t>
      </w:r>
      <w:r>
        <w:rPr>
          <w:b/>
        </w:rPr>
        <w:t>4</w:t>
      </w:r>
      <w:r>
        <w:rPr/>
        <w:t xml:space="preserve"> {{field-on:bible}} </w:t>
        <w:br/>
        <w:t xml:space="preserve">Der Schlechte, im Hochmut seiner Nase </w:t>
      </w:r>
      <w:r>
        <w:rPr>
          <w:color w:val="808080"/>
        </w:rPr>
        <w:t>(in seiner Hochnäsigkeit)</w:t>
      </w:r>
      <w:r>
        <w:rPr/>
        <w:t xml:space="preserve">, </w:t>
      </w:r>
      <w:r>
        <w:rPr>
          <w:b/>
          <w:color w:val="808080"/>
        </w:rPr>
        <w:t>[</w:t>
      </w:r>
      <w:r>
        <w:rPr/>
        <w:t>denkt:</w:t>
      </w:r>
      <w:r>
        <w:rPr>
          <w:b/>
          <w:color w:val="808080"/>
        </w:rPr>
        <w:t>]</w:t>
      </w:r>
      <w:r>
        <w:rPr/>
        <w:t xml:space="preserve"> </w:t>
      </w:r>
      <w:r>
        <w:rPr>
          <w:rStyle w:val="Funotenanker"/>
        </w:rPr>
        <w:footnoteReference w:customMarkFollows="1" w:id="641"/>
        <w:t>m</w:t>
      </w:r>
      <w:r>
        <w:rPr/>
        <w:t xml:space="preserve"> „Er sucht nicht!“</w:t>
      </w:r>
      <w:r>
        <w:rPr>
          <w:rStyle w:val="Funotenanker"/>
        </w:rPr>
        <w:footnoteReference w:customMarkFollows="1" w:id="642"/>
        <w:t>n</w:t>
      </w:r>
      <w:r>
        <w:rPr/>
        <w:t xml:space="preserve">„Es </w:t>
      </w:r>
      <w:r>
        <w:rPr>
          <w:b/>
          <w:color w:val="808080"/>
        </w:rPr>
        <w:t>[</w:t>
      </w:r>
      <w:r>
        <w:rPr/>
        <w:t>gibt</w:t>
      </w:r>
      <w:r>
        <w:rPr>
          <w:b/>
          <w:color w:val="808080"/>
        </w:rPr>
        <w:t>]</w:t>
      </w:r>
      <w:r>
        <w:rPr/>
        <w:t xml:space="preserve"> keinen Gott“</w:t>
      </w:r>
      <w:r>
        <w:rPr>
          <w:rStyle w:val="Funotenanker"/>
        </w:rPr>
        <w:footnoteReference w:customMarkFollows="1" w:id="643"/>
        <w:t>o</w:t>
      </w:r>
      <w:r>
        <w:rPr/>
        <w:t xml:space="preserve"> </w:t>
      </w:r>
      <w:r>
        <w:rPr>
          <w:b/>
          <w:color w:val="808080"/>
        </w:rPr>
        <w:t>[</w:t>
      </w:r>
      <w:r>
        <w:rPr/>
        <w:t>sind</w:t>
      </w:r>
      <w:r>
        <w:rPr>
          <w:b/>
          <w:color w:val="808080"/>
        </w:rPr>
        <w:t>]</w:t>
      </w:r>
      <w:r>
        <w:rPr/>
        <w:t xml:space="preserve"> all' seine Gedanken.</w:t>
        <w:br/>
        <w:t xml:space="preserve">{{field-off:bible}} </w:t>
        <w:br/>
        <w:t>[[@BibleTOBIBLE:Ps 10:5]]</w:t>
      </w:r>
      <w:r>
        <w:rPr>
          <w:b/>
        </w:rPr>
        <w:t>5</w:t>
      </w:r>
      <w:r>
        <w:rPr/>
        <w:t xml:space="preserve"> {{field-on:bible}} </w:t>
        <w:br/>
        <w:t xml:space="preserve">Profan </w:t>
      </w:r>
      <w:r>
        <w:rPr>
          <w:color w:val="808080"/>
        </w:rPr>
        <w:t>(stark?)</w:t>
      </w:r>
      <w:r>
        <w:rPr/>
        <w:t xml:space="preserve"> </w:t>
      </w:r>
      <w:r>
        <w:rPr>
          <w:rStyle w:val="Funotenanker"/>
        </w:rPr>
        <w:footnoteReference w:customMarkFollows="1" w:id="644"/>
        <w:t>p</w:t>
      </w:r>
      <w:r>
        <w:rPr/>
        <w:t xml:space="preserve"> sind seine Wege allezeit, Hoch </w:t>
      </w:r>
      <w:r>
        <w:rPr>
          <w:b/>
          <w:color w:val="808080"/>
        </w:rPr>
        <w:t>[</w:t>
      </w:r>
      <w:r>
        <w:rPr/>
        <w:t>sind</w:t>
      </w:r>
      <w:r>
        <w:rPr>
          <w:b/>
          <w:color w:val="808080"/>
        </w:rPr>
        <w:t>]</w:t>
      </w:r>
      <w:r>
        <w:rPr/>
        <w:t xml:space="preserve"> deine Gesetze </w:t>
      </w:r>
      <w:r>
        <w:rPr>
          <w:color w:val="808080"/>
        </w:rPr>
        <w:t>(Gerichte)</w:t>
      </w:r>
      <w:r>
        <w:rPr/>
        <w:t>, fern von ihm;</w:t>
      </w:r>
      <w:r>
        <w:rPr>
          <w:rStyle w:val="Funotenanker"/>
        </w:rPr>
        <w:footnoteReference w:customMarkFollows="1" w:id="645"/>
        <w:t>q</w:t>
      </w:r>
      <w:r>
        <w:rPr/>
        <w:t>All' seine Gegner, die schnaubt er an.</w:t>
      </w:r>
      <w:r>
        <w:rPr>
          <w:rStyle w:val="Funotenanker"/>
        </w:rPr>
        <w:footnoteReference w:customMarkFollows="1" w:id="646"/>
        <w:t>r</w:t>
      </w:r>
      <w:r>
        <w:rPr/>
        <w:t xml:space="preserve"> </w:t>
        <w:br/>
        <w:t xml:space="preserve">{{field-off:bible}} </w:t>
        <w:br/>
        <w:t>[[@BibleTOBIBLE:Ps 10:6]]</w:t>
      </w:r>
      <w:r>
        <w:rPr>
          <w:b/>
        </w:rPr>
        <w:t>6</w:t>
      </w:r>
      <w:r>
        <w:rPr/>
        <w:t xml:space="preserve"> {{field-on:bible}} </w:t>
        <w:br/>
        <w:t xml:space="preserve">Er sagt in seinem Herzen </w:t>
      </w:r>
      <w:r>
        <w:rPr>
          <w:color w:val="808080"/>
        </w:rPr>
        <w:t>(sagt sich)</w:t>
      </w:r>
      <w:r>
        <w:rPr/>
        <w:t>: „Ich werde nicht wanken</w:t>
      </w:r>
      <w:r>
        <w:rPr>
          <w:rStyle w:val="Funotenanker"/>
        </w:rPr>
        <w:footnoteReference w:customMarkFollows="1" w:id="647"/>
        <w:t>s</w:t>
      </w:r>
      <w:r>
        <w:rPr/>
        <w:t xml:space="preserve"> von Geschlecht zu Geschlecht,So dass </w:t>
      </w:r>
      <w:r>
        <w:rPr>
          <w:color w:val="808080"/>
        </w:rPr>
        <w:t xml:space="preserve">(weil; </w:t>
      </w:r>
      <w:r>
        <w:rPr>
          <w:b/>
          <w:color w:val="808080"/>
        </w:rPr>
        <w:t>[</w:t>
      </w:r>
      <w:r>
        <w:rPr>
          <w:color w:val="808080"/>
        </w:rPr>
        <w:t>ich</w:t>
      </w:r>
      <w:r>
        <w:rPr>
          <w:b/>
          <w:color w:val="808080"/>
        </w:rPr>
        <w:t>]</w:t>
      </w:r>
      <w:r>
        <w:rPr>
          <w:color w:val="808080"/>
        </w:rPr>
        <w:t>, der)</w:t>
      </w:r>
      <w:r>
        <w:rPr/>
        <w:t xml:space="preserve"> </w:t>
      </w:r>
      <w:r>
        <w:rPr>
          <w:b/>
          <w:color w:val="808080"/>
        </w:rPr>
        <w:t>[</w:t>
      </w:r>
      <w:r>
        <w:rPr/>
        <w:t>ich</w:t>
      </w:r>
      <w:r>
        <w:rPr>
          <w:b/>
          <w:color w:val="808080"/>
        </w:rPr>
        <w:t>]</w:t>
      </w:r>
      <w:r>
        <w:rPr/>
        <w:t xml:space="preserve"> nicht </w:t>
      </w:r>
      <w:r>
        <w:rPr>
          <w:color w:val="808080"/>
        </w:rPr>
        <w:t>(nie)</w:t>
      </w:r>
      <w:r>
        <w:rPr/>
        <w:t xml:space="preserve"> </w:t>
      </w:r>
      <w:r>
        <w:rPr>
          <w:b/>
          <w:color w:val="808080"/>
        </w:rPr>
        <w:t>[</w:t>
      </w:r>
      <w:r>
        <w:rPr/>
        <w:t>sein werde</w:t>
      </w:r>
      <w:r>
        <w:rPr>
          <w:b/>
          <w:color w:val="808080"/>
        </w:rPr>
        <w:t>]</w:t>
      </w:r>
      <w:r>
        <w:rPr/>
        <w:t xml:space="preserve"> im Unglück.“</w:t>
      </w:r>
      <w:r>
        <w:rPr>
          <w:rStyle w:val="Funotenanker"/>
        </w:rPr>
        <w:footnoteReference w:customMarkFollows="1" w:id="648"/>
        <w:t>t</w:t>
      </w:r>
      <w:r>
        <w:rPr/>
        <w:t xml:space="preserve"> </w:t>
        <w:br/>
        <w:t xml:space="preserve">{{field-off:bible}} </w:t>
        <w:br/>
        <w:t>[[@BibleTOBIBLE:Ps 10:7]]</w:t>
      </w:r>
      <w:r>
        <w:rPr>
          <w:b/>
        </w:rPr>
        <w:t>7</w:t>
      </w:r>
      <w:r>
        <w:rPr/>
        <w:t xml:space="preserve"> {{field-on:bible}} </w:t>
        <w:br/>
      </w:r>
      <w:r>
        <w:rPr>
          <w:b/>
          <w:color w:val="808080"/>
        </w:rPr>
        <w:t>[</w:t>
      </w:r>
      <w:r>
        <w:rPr/>
        <w:t>Von</w:t>
      </w:r>
      <w:r>
        <w:rPr>
          <w:b/>
          <w:color w:val="808080"/>
        </w:rPr>
        <w:t>]</w:t>
      </w:r>
      <w:r>
        <w:rPr/>
        <w:t xml:space="preserve"> Fluch ist sein Mund voll und </w:t>
      </w:r>
      <w:r>
        <w:rPr>
          <w:b/>
          <w:color w:val="808080"/>
        </w:rPr>
        <w:t>[</w:t>
      </w:r>
      <w:r>
        <w:rPr/>
        <w:t>von</w:t>
      </w:r>
      <w:r>
        <w:rPr>
          <w:b/>
          <w:color w:val="808080"/>
        </w:rPr>
        <w:t>]</w:t>
      </w:r>
      <w:r>
        <w:rPr/>
        <w:t xml:space="preserve"> List und Gewalttätigkeit,Unter seiner Zunge</w:t>
      </w:r>
      <w:r>
        <w:rPr>
          <w:rStyle w:val="Funotenanker"/>
        </w:rPr>
        <w:footnoteReference w:customMarkFollows="1" w:id="649"/>
        <w:t>u</w:t>
      </w:r>
      <w:r>
        <w:rPr/>
        <w:t xml:space="preserve"> </w:t>
      </w:r>
      <w:r>
        <w:rPr>
          <w:b/>
          <w:color w:val="808080"/>
        </w:rPr>
        <w:t>[</w:t>
      </w:r>
      <w:r>
        <w:rPr/>
        <w:t>ist</w:t>
      </w:r>
      <w:r>
        <w:rPr>
          <w:b/>
          <w:color w:val="808080"/>
        </w:rPr>
        <w:t>]</w:t>
      </w:r>
      <w:r>
        <w:rPr/>
        <w:t xml:space="preserve"> Mühsal und Unheil.</w:t>
        <w:br/>
        <w:t xml:space="preserve">{{field-off:bible}} </w:t>
        <w:br/>
        <w:t>[[@BibleTOBIBLE:Ps 10:8]]</w:t>
      </w:r>
      <w:r>
        <w:rPr>
          <w:b/>
        </w:rPr>
        <w:t>8</w:t>
      </w:r>
      <w:r>
        <w:rPr/>
        <w:t xml:space="preserve"> {{field-on:bible}} </w:t>
        <w:br/>
        <w:t>Er sitzt im Hinterhalt in Dörfern,</w:t>
      </w:r>
      <w:r>
        <w:rPr>
          <w:rStyle w:val="Funotenanker"/>
        </w:rPr>
        <w:footnoteReference w:customMarkFollows="1" w:id="650"/>
        <w:t>v</w:t>
      </w:r>
      <w:r>
        <w:rPr/>
        <w:t xml:space="preserve">Um insgeheim Unschuldige </w:t>
      </w:r>
      <w:r>
        <w:rPr>
          <w:color w:val="808080"/>
        </w:rPr>
        <w:t>(Wehrlose)</w:t>
      </w:r>
      <w:r>
        <w:rPr/>
        <w:t xml:space="preserve"> zu ermorden </w:t>
      </w:r>
      <w:r>
        <w:rPr>
          <w:color w:val="808080"/>
        </w:rPr>
        <w:t>(wird ... morden)</w:t>
      </w:r>
      <w:r>
        <w:rPr/>
        <w:t>.</w:t>
        <w:br/>
      </w:r>
      <w:r>
        <w:rPr>
          <w:b/>
          <w:color w:val="808080"/>
        </w:rPr>
        <w:t>[</w:t>
      </w:r>
      <w:r>
        <w:rPr/>
        <w:t>'''Q'''</w:t>
      </w:r>
      <w:r>
        <w:rPr>
          <w:b/>
          <w:color w:val="808080"/>
        </w:rPr>
        <w:t>]</w:t>
      </w:r>
      <w:r>
        <w:rPr/>
        <w:t xml:space="preserve"> Seine Augen spähen nach dem Verfolgten</w:t>
      </w:r>
      <w:r>
        <w:rPr>
          <w:rStyle w:val="Funotenanker"/>
        </w:rPr>
        <w:footnoteReference w:customMarkFollows="1" w:id="651"/>
        <w:t>w</w:t>
      </w:r>
      <w:r>
        <w:rPr/>
        <w:t xml:space="preserve"> </w:t>
        <w:br/>
        <w:t xml:space="preserve">{{field-off:bible}} </w:t>
        <w:br/>
        <w:t>[[@BibleTOBIBLE:Ps 10:9]]</w:t>
      </w:r>
      <w:r>
        <w:rPr>
          <w:b/>
        </w:rPr>
        <w:t>9</w:t>
      </w:r>
      <w:r>
        <w:rPr/>
        <w:t xml:space="preserve"> {{field-on:bible}} </w:t>
        <w:br/>
        <w:t xml:space="preserve">Er lauert in </w:t>
      </w:r>
      <w:r>
        <w:rPr>
          <w:b/>
          <w:color w:val="808080"/>
        </w:rPr>
        <w:t>[</w:t>
      </w:r>
      <w:r>
        <w:rPr/>
        <w:t>seinem</w:t>
      </w:r>
      <w:r>
        <w:rPr>
          <w:b/>
          <w:color w:val="808080"/>
        </w:rPr>
        <w:t>]</w:t>
      </w:r>
      <w:r>
        <w:rPr/>
        <w:t xml:space="preserve"> Versteck wie ein Löwe in einer Höhle - </w:t>
        <w:br/>
        <w:t xml:space="preserve">Er lauert, um den Elenden zu fassen,Fasst den Elenden, indem er ihn in sein </w:t>
      </w:r>
      <w:r>
        <w:rPr>
          <w:color w:val="808080"/>
        </w:rPr>
        <w:t>(mit seinem)</w:t>
      </w:r>
      <w:r>
        <w:rPr/>
        <w:t xml:space="preserve"> Netz zieht.</w:t>
      </w:r>
      <w:r>
        <w:rPr>
          <w:rStyle w:val="Funotenanker"/>
        </w:rPr>
        <w:footnoteReference w:customMarkFollows="1" w:id="652"/>
        <w:t>x</w:t>
      </w:r>
      <w:r>
        <w:rPr/>
        <w:t xml:space="preserve"> </w:t>
        <w:br/>
        <w:t xml:space="preserve">{{field-off:bible}} </w:t>
        <w:br/>
        <w:t>[[@BibleTOBIBLE:Ps 10:10]]</w:t>
      </w:r>
      <w:r>
        <w:rPr>
          <w:b/>
        </w:rPr>
        <w:t>10</w:t>
      </w:r>
      <w:r>
        <w:rPr/>
        <w:t xml:space="preserve"> {{field-on:bible}} </w:t>
        <w:br/>
        <w:t xml:space="preserve">Der bricht zusammen, sinkt niederUnd fällt in die Klauen </w:t>
      </w:r>
      <w:r>
        <w:rPr>
          <w:color w:val="808080"/>
        </w:rPr>
        <w:t>(durch die Macht)</w:t>
      </w:r>
      <w:r>
        <w:rPr/>
        <w:t xml:space="preserve"> </w:t>
      </w:r>
      <w:r>
        <w:rPr>
          <w:b/>
          <w:color w:val="808080"/>
        </w:rPr>
        <w:t>[</w:t>
      </w:r>
      <w:r>
        <w:rPr/>
        <w:t>der</w:t>
      </w:r>
      <w:r>
        <w:rPr>
          <w:b/>
          <w:color w:val="808080"/>
        </w:rPr>
        <w:t>]</w:t>
      </w:r>
      <w:r>
        <w:rPr/>
        <w:t xml:space="preserve"> Verfolger.</w:t>
      </w:r>
      <w:r>
        <w:rPr>
          <w:rStyle w:val="Funotenanker"/>
        </w:rPr>
        <w:footnoteReference w:customMarkFollows="1" w:id="653"/>
        <w:t>y</w:t>
      </w:r>
      <w:r>
        <w:rPr/>
        <w:t xml:space="preserve"> </w:t>
        <w:br/>
        <w:t xml:space="preserve">{{field-off:bible}} </w:t>
        <w:br/>
        <w:t>[[@BibleTOBIBLE:Ps 10:11]]</w:t>
      </w:r>
      <w:r>
        <w:rPr>
          <w:b/>
        </w:rPr>
        <w:t>11</w:t>
      </w:r>
      <w:r>
        <w:rPr/>
        <w:t xml:space="preserve"> {{field-on:bible}} </w:t>
        <w:br/>
        <w:t xml:space="preserve">Er spricht in seinem Herzen </w:t>
      </w:r>
      <w:r>
        <w:rPr>
          <w:color w:val="808080"/>
        </w:rPr>
        <w:t>(zu sich)</w:t>
      </w:r>
      <w:r>
        <w:rPr/>
        <w:t>: „Gott vergisst,</w:t>
      </w:r>
      <w:r>
        <w:rPr>
          <w:rStyle w:val="Funotenanker"/>
        </w:rPr>
        <w:footnoteReference w:customMarkFollows="1" w:id="654"/>
        <w:t>z</w:t>
      </w:r>
      <w:r>
        <w:rPr/>
        <w:t>Verbirgt sein Gesicht,</w:t>
      </w:r>
      <w:r>
        <w:rPr>
          <w:rStyle w:val="Funotenanker"/>
        </w:rPr>
        <w:footnoteReference w:customMarkFollows="1" w:id="655"/>
        <w:t>aa</w:t>
      </w:r>
      <w:r>
        <w:rPr/>
        <w:t xml:space="preserve"> Sieht nicht auf immer!“</w:t>
      </w:r>
      <w:r>
        <w:rPr>
          <w:rStyle w:val="Funotenanker"/>
        </w:rPr>
        <w:footnoteReference w:customMarkFollows="1" w:id="656"/>
        <w:t>ab</w:t>
      </w:r>
      <w:r>
        <w:rPr/>
        <w:t xml:space="preserve"> </w:t>
        <w:br/>
        <w:br/>
        <w:t xml:space="preserve">{{field-off:bible}} </w:t>
        <w:br/>
        <w:t>[[@BibleTOBIBLE:Ps 10:12]]</w:t>
      </w:r>
      <w:r>
        <w:rPr>
          <w:b/>
        </w:rPr>
        <w:t>12</w:t>
      </w:r>
      <w:r>
        <w:rPr/>
        <w:t xml:space="preserve"> {{field-on:bible}} </w:t>
        <w:br/>
      </w:r>
      <w:r>
        <w:rPr>
          <w:b/>
          <w:color w:val="808080"/>
        </w:rPr>
        <w:t>[</w:t>
      </w:r>
      <w:r>
        <w:rPr/>
        <w:t>'''S'''</w:t>
      </w:r>
      <w:r>
        <w:rPr>
          <w:b/>
          <w:color w:val="808080"/>
        </w:rPr>
        <w:t>]</w:t>
      </w:r>
      <w:r>
        <w:rPr/>
        <w:t xml:space="preserve"> Steh auf, </w:t>
      </w:r>
      <w:r>
        <w:rPr>
          <w:smallCaps/>
          <w:color w:val="FF0000"/>
        </w:rPr>
        <w:t>JHWH</w:t>
      </w:r>
      <w:r>
        <w:rPr/>
        <w:t xml:space="preserve">! Mein Gott </w:t>
      </w:r>
      <w:r>
        <w:rPr>
          <w:color w:val="808080"/>
        </w:rPr>
        <w:t>(Gott)</w:t>
      </w:r>
      <w:r>
        <w:rPr/>
        <w:t>,</w:t>
      </w:r>
      <w:r>
        <w:rPr>
          <w:rStyle w:val="Funotenanker"/>
        </w:rPr>
        <w:footnoteReference w:customMarkFollows="1" w:id="657"/>
        <w:t>ac</w:t>
      </w:r>
      <w:r>
        <w:rPr/>
        <w:t xml:space="preserve"> heb deine Hand!Vergiss die Elenden </w:t>
      </w:r>
      <w:r>
        <w:rPr>
          <w:b/>
          <w:color w:val="808080"/>
        </w:rPr>
        <w:t>[</w:t>
      </w:r>
      <w:r>
        <w:rPr/>
        <w:t>doch</w:t>
      </w:r>
      <w:r>
        <w:rPr>
          <w:b/>
          <w:color w:val="808080"/>
        </w:rPr>
        <w:t>]</w:t>
      </w:r>
      <w:r>
        <w:rPr/>
        <w:t xml:space="preserve"> nicht!</w:t>
        <w:br/>
        <w:t xml:space="preserve">{{field-off:bible}} </w:t>
        <w:br/>
        <w:t>[[@BibleTOBIBLE:Ps 10:13]]</w:t>
      </w:r>
      <w:r>
        <w:rPr>
          <w:b/>
        </w:rPr>
        <w:t>13</w:t>
      </w:r>
      <w:r>
        <w:rPr/>
        <w:t xml:space="preserve"> {{field-on:bible}} </w:t>
        <w:br/>
        <w:t xml:space="preserve">Warum verachtet der Schlechte Gott,sagt in seinem Herzen </w:t>
      </w:r>
      <w:r>
        <w:rPr>
          <w:color w:val="808080"/>
        </w:rPr>
        <w:t>(sagt sich)</w:t>
      </w:r>
      <w:r>
        <w:rPr/>
        <w:t>: „Er sucht nicht!“?</w:t>
        <w:br/>
        <w:t xml:space="preserve">{{field-off:bible}} </w:t>
        <w:br/>
        <w:t>[[@BibleTOBIBLE:Ps 10:14]]</w:t>
      </w:r>
      <w:r>
        <w:rPr>
          <w:b/>
        </w:rPr>
        <w:t>14</w:t>
      </w:r>
      <w:r>
        <w:rPr/>
        <w:t xml:space="preserve"> {{field-on:bible}} </w:t>
        <w:br/>
      </w:r>
      <w:r>
        <w:rPr>
          <w:b/>
          <w:color w:val="808080"/>
        </w:rPr>
        <w:t>[</w:t>
      </w:r>
      <w:r>
        <w:rPr/>
        <w:t>'''T'''</w:t>
      </w:r>
      <w:r>
        <w:rPr>
          <w:b/>
          <w:color w:val="808080"/>
        </w:rPr>
        <w:t>]</w:t>
      </w:r>
      <w:r>
        <w:rPr/>
        <w:t xml:space="preserve">Du siehst </w:t>
      </w:r>
      <w:r>
        <w:rPr>
          <w:b/>
          <w:color w:val="808080"/>
        </w:rPr>
        <w:t>[</w:t>
      </w:r>
      <w:r>
        <w:rPr/>
        <w:t>doch</w:t>
      </w:r>
      <w:r>
        <w:rPr>
          <w:b/>
          <w:color w:val="808080"/>
        </w:rPr>
        <w:t>]</w:t>
      </w:r>
      <w:r>
        <w:rPr/>
        <w:t xml:space="preserve">, ach!, du!, Mühsal und Leid.Untersuche </w:t>
      </w:r>
      <w:r>
        <w:rPr>
          <w:b/>
          <w:color w:val="808080"/>
        </w:rPr>
        <w:t>[</w:t>
      </w:r>
      <w:r>
        <w:rPr/>
        <w:t>es</w:t>
      </w:r>
      <w:r>
        <w:rPr>
          <w:b/>
          <w:color w:val="808080"/>
        </w:rPr>
        <w:t>]</w:t>
      </w:r>
      <w:r>
        <w:rPr/>
        <w:t xml:space="preserve">, um </w:t>
      </w:r>
      <w:r>
        <w:rPr>
          <w:color w:val="808080"/>
        </w:rPr>
        <w:t>(indem, so dass)</w:t>
      </w:r>
      <w:r>
        <w:rPr/>
        <w:t xml:space="preserve"> zu geben </w:t>
      </w:r>
      <w:r>
        <w:rPr>
          <w:color w:val="808080"/>
        </w:rPr>
        <w:t>(man gibt, gegeben wird)</w:t>
      </w:r>
      <w:r>
        <w:rPr/>
        <w:t xml:space="preserve"> </w:t>
      </w:r>
      <w:r>
        <w:rPr>
          <w:b/>
          <w:color w:val="808080"/>
        </w:rPr>
        <w:t>[</w:t>
      </w:r>
      <w:r>
        <w:rPr/>
        <w:t xml:space="preserve">es </w:t>
      </w:r>
      <w:r>
        <w:rPr>
          <w:color w:val="808080"/>
        </w:rPr>
        <w:t>(ihn)</w:t>
      </w:r>
      <w:r>
        <w:rPr>
          <w:b/>
          <w:color w:val="808080"/>
        </w:rPr>
        <w:t>]</w:t>
      </w:r>
      <w:r>
        <w:rPr/>
        <w:t xml:space="preserve"> in deine </w:t>
      </w:r>
      <w:r>
        <w:rPr>
          <w:color w:val="808080"/>
        </w:rPr>
        <w:t>(mit deiner, aus deiner)</w:t>
      </w:r>
      <w:r>
        <w:rPr/>
        <w:t xml:space="preserve"> Hand.</w:t>
      </w:r>
      <w:r>
        <w:rPr>
          <w:rStyle w:val="Funotenanker"/>
        </w:rPr>
        <w:footnoteReference w:customMarkFollows="1" w:id="658"/>
        <w:t>ad</w:t>
      </w:r>
      <w:r>
        <w:rPr/>
        <w:t xml:space="preserve"> </w:t>
        <w:br/>
        <w:t xml:space="preserve">Auf dich kann sich verlassen </w:t>
      </w:r>
      <w:r>
        <w:rPr>
          <w:color w:val="808080"/>
        </w:rPr>
        <w:t>(wird sich verlassen, wird sich/es dir überlassen)</w:t>
      </w:r>
      <w:r>
        <w:rPr/>
        <w:t xml:space="preserve"> der Verfolgte,</w:t>
      </w:r>
      <w:r>
        <w:rPr>
          <w:b/>
          <w:color w:val="808080"/>
        </w:rPr>
        <w:t>[</w:t>
      </w:r>
      <w:r>
        <w:rPr/>
        <w:t>Weil</w:t>
      </w:r>
      <w:r>
        <w:rPr>
          <w:b/>
          <w:color w:val="808080"/>
        </w:rPr>
        <w:t>]</w:t>
      </w:r>
      <w:r>
        <w:rPr/>
        <w:t xml:space="preserve"> der Helfer der Waise du bist.</w:t>
      </w:r>
      <w:r>
        <w:rPr>
          <w:rStyle w:val="Funotenanker"/>
        </w:rPr>
        <w:footnoteReference w:customMarkFollows="1" w:id="659"/>
        <w:t>ae</w:t>
      </w:r>
      <w:r>
        <w:rPr/>
        <w:t xml:space="preserve"> </w:t>
        <w:br/>
        <w:t xml:space="preserve">{{field-off:bible}} </w:t>
        <w:br/>
        <w:t>[[@BibleTOBIBLE:Ps 10:15]]</w:t>
      </w:r>
      <w:r>
        <w:rPr>
          <w:b/>
        </w:rPr>
        <w:t>15</w:t>
      </w:r>
      <w:r>
        <w:rPr/>
        <w:t xml:space="preserve"> {{field-on:bible}} </w:t>
        <w:br/>
      </w:r>
      <w:r>
        <w:rPr>
          <w:b/>
          <w:color w:val="808080"/>
        </w:rPr>
        <w:t>[</w:t>
      </w:r>
      <w:r>
        <w:rPr/>
        <w:t>'''U'''</w:t>
      </w:r>
      <w:r>
        <w:rPr>
          <w:b/>
          <w:color w:val="808080"/>
        </w:rPr>
        <w:t>]</w:t>
      </w:r>
      <w:r>
        <w:rPr/>
        <w:t xml:space="preserve"> Zerbrich den Arm des Schlechten und des Bösen!Suche</w:t>
      </w:r>
      <w:r>
        <w:rPr>
          <w:rStyle w:val="Funotenanker"/>
        </w:rPr>
        <w:footnoteReference w:customMarkFollows="1" w:id="660"/>
        <w:t>af</w:t>
      </w:r>
      <w:r>
        <w:rPr/>
        <w:t xml:space="preserve"> sein</w:t>
      </w:r>
      <w:r>
        <w:rPr>
          <w:rStyle w:val="Funotenanker"/>
        </w:rPr>
        <w:footnoteReference w:customMarkFollows="1" w:id="661"/>
        <w:t>ag</w:t>
      </w:r>
      <w:r>
        <w:rPr/>
        <w:t xml:space="preserve"> Böses </w:t>
      </w:r>
      <w:r>
        <w:rPr>
          <w:color w:val="808080"/>
        </w:rPr>
        <w:t>(Unrecht)</w:t>
      </w:r>
      <w:r>
        <w:rPr/>
        <w:t xml:space="preserve">, </w:t>
      </w:r>
      <w:r>
        <w:rPr>
          <w:b/>
          <w:color w:val="808080"/>
        </w:rPr>
        <w:t>[</w:t>
      </w:r>
      <w:r>
        <w:rPr/>
        <w:t xml:space="preserve">bis </w:t>
      </w:r>
      <w:r>
        <w:rPr>
          <w:color w:val="808080"/>
        </w:rPr>
        <w:t>(so dass)</w:t>
      </w:r>
      <w:r>
        <w:rPr>
          <w:b/>
          <w:color w:val="808080"/>
        </w:rPr>
        <w:t>]</w:t>
      </w:r>
      <w:r>
        <w:rPr/>
        <w:t xml:space="preserve"> du </w:t>
      </w:r>
      <w:r>
        <w:rPr>
          <w:b/>
          <w:color w:val="808080"/>
        </w:rPr>
        <w:t>[</w:t>
      </w:r>
      <w:r>
        <w:rPr/>
        <w:t xml:space="preserve">ihn </w:t>
      </w:r>
      <w:r>
        <w:rPr>
          <w:color w:val="808080"/>
        </w:rPr>
        <w:t>(es)</w:t>
      </w:r>
      <w:r>
        <w:rPr>
          <w:b/>
          <w:color w:val="808080"/>
        </w:rPr>
        <w:t>]</w:t>
      </w:r>
      <w:r>
        <w:rPr/>
        <w:t xml:space="preserve"> nicht mehr findest </w:t>
      </w:r>
      <w:r>
        <w:rPr>
          <w:color w:val="808080"/>
        </w:rPr>
        <w:t>(Sucht man sein Böses, sei es nicht mehr zu finden! Wenn er nach seinem Bösen greift, soll er es nicht finden)</w:t>
      </w:r>
      <w:r>
        <w:rPr/>
        <w:t>!</w:t>
      </w:r>
      <w:r>
        <w:rPr>
          <w:rStyle w:val="Funotenanker"/>
        </w:rPr>
        <w:footnoteReference w:customMarkFollows="1" w:id="662"/>
        <w:t>ah</w:t>
      </w:r>
      <w:r>
        <w:rPr/>
        <w:t xml:space="preserve"> </w:t>
        <w:br/>
        <w:t xml:space="preserve">{{field-off:bible}} </w:t>
        <w:br/>
        <w:t>[[@BibleTOBIBLE:Ps 10:16]]</w:t>
      </w:r>
      <w:r>
        <w:rPr>
          <w:b/>
        </w:rPr>
        <w:t>16</w:t>
      </w:r>
      <w:r>
        <w:rPr/>
        <w:t xml:space="preserve"> {{field-on:bible}} </w:t>
        <w:br/>
      </w:r>
      <w:r>
        <w:rPr>
          <w:b/>
          <w:color w:val="808080"/>
        </w:rPr>
        <w:t>[</w:t>
      </w:r>
      <w:r>
        <w:rPr/>
        <w:t>Weil</w:t>
      </w:r>
      <w:r>
        <w:rPr>
          <w:b/>
          <w:color w:val="808080"/>
        </w:rPr>
        <w:t>]</w:t>
      </w:r>
      <w:r>
        <w:rPr/>
        <w:t xml:space="preserve"> </w:t>
      </w:r>
      <w:r>
        <w:rPr>
          <w:smallCaps/>
          <w:color w:val="FF0000"/>
        </w:rPr>
        <w:t>JHWH</w:t>
      </w:r>
      <w:r>
        <w:rPr/>
        <w:t xml:space="preserve"> König auf immer und </w:t>
      </w:r>
      <w:r>
        <w:rPr>
          <w:b/>
          <w:color w:val="808080"/>
        </w:rPr>
        <w:t>[</w:t>
      </w:r>
      <w:r>
        <w:rPr/>
        <w:t>für alle</w:t>
      </w:r>
      <w:r>
        <w:rPr>
          <w:b/>
          <w:color w:val="808080"/>
        </w:rPr>
        <w:t>]</w:t>
      </w:r>
      <w:r>
        <w:rPr/>
        <w:t xml:space="preserve"> Zeit </w:t>
      </w:r>
      <w:r>
        <w:rPr>
          <w:b/>
          <w:color w:val="808080"/>
        </w:rPr>
        <w:t>[</w:t>
      </w:r>
      <w:r>
        <w:rPr/>
        <w:t>ist</w:t>
      </w:r>
      <w:r>
        <w:rPr>
          <w:b/>
          <w:color w:val="808080"/>
        </w:rPr>
        <w:t>]</w:t>
      </w:r>
      <w:r>
        <w:rPr/>
        <w:t>,Verderben Nationen</w:t>
      </w:r>
      <w:r>
        <w:rPr>
          <w:rStyle w:val="Funotenanker"/>
        </w:rPr>
        <w:footnoteReference w:customMarkFollows="1" w:id="663"/>
        <w:t>ai</w:t>
      </w:r>
      <w:r>
        <w:rPr/>
        <w:t xml:space="preserve"> aus seinem Land </w:t>
      </w:r>
      <w:r>
        <w:rPr>
          <w:color w:val="808080"/>
        </w:rPr>
        <w:t>(seiner Erde)</w:t>
      </w:r>
      <w:r>
        <w:rPr/>
        <w:t>.</w:t>
        <w:br/>
        <w:t xml:space="preserve">{{field-off:bible}} </w:t>
        <w:br/>
        <w:t>[[@BibleTOBIBLE:Ps 10:17]]</w:t>
      </w:r>
      <w:r>
        <w:rPr>
          <w:b/>
        </w:rPr>
        <w:t>17</w:t>
      </w:r>
      <w:r>
        <w:rPr/>
        <w:t xml:space="preserve"> {{field-on:bible}} </w:t>
        <w:br/>
      </w:r>
      <w:r>
        <w:rPr>
          <w:b/>
          <w:color w:val="808080"/>
        </w:rPr>
        <w:t>[</w:t>
      </w:r>
      <w:r>
        <w:rPr/>
        <w:t>'''V'''</w:t>
      </w:r>
      <w:r>
        <w:rPr>
          <w:b/>
          <w:color w:val="808080"/>
        </w:rPr>
        <w:t>]</w:t>
      </w:r>
      <w:r>
        <w:rPr/>
        <w:t xml:space="preserve"> Du hörst das Verlangen der Elenden, </w:t>
      </w:r>
      <w:r>
        <w:rPr>
          <w:smallCaps/>
          <w:color w:val="FF0000"/>
        </w:rPr>
        <w:t>JHWH</w:t>
      </w:r>
      <w:r>
        <w:rPr/>
        <w:t xml:space="preserve">.Auf die Ausrichtung ihres Herzens </w:t>
      </w:r>
      <w:r>
        <w:rPr>
          <w:color w:val="808080"/>
        </w:rPr>
        <w:t>(richte ihr Herz aus, richte ihr Herz auf?)</w:t>
      </w:r>
      <w:r>
        <w:rPr/>
        <w:t xml:space="preserve"> </w:t>
      </w:r>
      <w:r>
        <w:rPr>
          <w:rStyle w:val="Funotenanker"/>
        </w:rPr>
        <w:footnoteReference w:customMarkFollows="1" w:id="664"/>
        <w:t>aj</w:t>
      </w:r>
      <w:r>
        <w:rPr/>
        <w:t xml:space="preserve"> lass </w:t>
      </w:r>
      <w:r>
        <w:rPr>
          <w:color w:val="808080"/>
        </w:rPr>
        <w:t>(du wirst, es soll/wird)</w:t>
      </w:r>
      <w:r>
        <w:rPr/>
        <w:t xml:space="preserve"> horchen dein Ohr,</w:t>
        <w:br/>
        <w:t xml:space="preserve">{{field-off:bible}} </w:t>
        <w:br/>
        <w:t>[[@BibleTOBIBLE:Ps 10:18]]</w:t>
      </w:r>
      <w:r>
        <w:rPr>
          <w:b/>
        </w:rPr>
        <w:t>18</w:t>
      </w:r>
      <w:r>
        <w:rPr/>
        <w:t xml:space="preserve"> {{field-on:bible}} </w:t>
        <w:br/>
        <w:t xml:space="preserve">um Recht zu schaffen </w:t>
      </w:r>
      <w:r>
        <w:rPr>
          <w:color w:val="808080"/>
        </w:rPr>
        <w:t>(indem du Recht schaffst)</w:t>
      </w:r>
      <w:r>
        <w:rPr/>
        <w:t xml:space="preserve"> der Waise und dem Unterdrückten:Es soll nicht weiterhin so weitergehen, dass ein Menschlein aus Erde</w:t>
      </w:r>
      <w:r>
        <w:rPr>
          <w:rStyle w:val="Funotenanker"/>
        </w:rPr>
        <w:footnoteReference w:customMarkFollows="1" w:id="665"/>
        <w:t>ak</w:t>
      </w:r>
      <w:r>
        <w:rPr/>
        <w:t xml:space="preserve"> Schrecken verbreitet </w:t>
      </w:r>
      <w:r>
        <w:rPr>
          <w:color w:val="808080"/>
        </w:rPr>
        <w:t>(Menschlein aus dem Land herausgeschreckt werden)</w:t>
      </w:r>
      <w:r>
        <w:rPr/>
        <w:t>.</w:t>
        <w:br/>
        <w:t xml:space="preserve">{{field-off:bible}} </w:t>
      </w:r>
    </w:p>
    <w:p>
      <w:pPr>
        <w:pStyle w:val="Berschrift3"/>
        <w:rPr/>
      </w:pPr>
      <w:r>
        <w:rPr/>
        <w:t>[[@BibleTOBIBLE:Ps 11]]Kapitel 11</w:t>
      </w:r>
    </w:p>
    <w:p>
      <w:pPr>
        <w:pStyle w:val="Textkrper"/>
        <w:rPr/>
      </w:pPr>
      <w:r>
        <w:rPr/>
        <w:br/>
        <w:t>[[@BibleTOBIBLE:Ps 11:1]]</w:t>
      </w:r>
      <w:r>
        <w:rPr>
          <w:b/>
        </w:rPr>
        <w:t>1</w:t>
      </w:r>
      <w:r>
        <w:rPr/>
        <w:t xml:space="preserve"> {{field-on:bible}} </w:t>
      </w:r>
      <w:r>
        <w:rPr>
          <w:rStyle w:val="Funotenanker"/>
        </w:rPr>
        <w:footnoteReference w:customMarkFollows="1" w:id="666"/>
        <w:t>Status</w:t>
      </w:r>
      <w:r>
        <w:rPr/>
        <w:t xml:space="preserve"> ''Für den Chorleiter </w:t>
      </w:r>
      <w:r>
        <w:rPr>
          <w:color w:val="808080"/>
        </w:rPr>
        <w:t xml:space="preserve">(Dirigenten, Singenden, Musizierenden; </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w:t>
      </w:r>
      <w:r>
        <w:rPr/>
        <w:t>''.</w:t>
      </w:r>
      <w:r>
        <w:rPr>
          <w:rStyle w:val="Funotenanker"/>
        </w:rPr>
        <w:footnoteReference w:customMarkFollows="1" w:id="667"/>
        <w:t>a</w:t>
      </w:r>
      <w:r>
        <w:rPr/>
        <w:t xml:space="preserve"> ''Ein Psalm </w:t>
      </w:r>
      <w:r>
        <w:rPr>
          <w:color w:val="808080"/>
        </w:rPr>
        <w:t>(begleitetes Lied)</w:t>
      </w:r>
      <w:r>
        <w:rPr/>
        <w:t xml:space="preserve"> von </w:t>
      </w:r>
      <w:r>
        <w:rPr>
          <w:color w:val="808080"/>
        </w:rPr>
        <w:t>(für, über, nach Art von)</w:t>
      </w:r>
      <w:r>
        <w:rPr/>
        <w:t xml:space="preserve"> David.'' </w:t>
        <w:br/>
        <w:t xml:space="preserve">Auf </w:t>
      </w:r>
      <w:r>
        <w:rPr>
          <w:smallCaps/>
          <w:color w:val="FF0000"/>
        </w:rPr>
        <w:t>JHWH</w:t>
      </w:r>
      <w:r>
        <w:rPr/>
        <w:t xml:space="preserve"> vertraue ich </w:t>
      </w:r>
      <w:r>
        <w:rPr>
          <w:color w:val="808080"/>
        </w:rPr>
        <w:t xml:space="preserve">(zu </w:t>
      </w:r>
      <w:r>
        <w:rPr>
          <w:smallCaps/>
          <w:color w:val="FF0000"/>
        </w:rPr>
        <w:t>JHWH</w:t>
      </w:r>
      <w:r>
        <w:rPr>
          <w:color w:val="808080"/>
        </w:rPr>
        <w:t xml:space="preserve"> fliehe ich/bin ich geflohen)</w:t>
      </w:r>
      <w:r>
        <w:rPr/>
        <w:t xml:space="preserve">.Wie </w:t>
      </w:r>
      <w:r>
        <w:rPr>
          <w:b/>
          <w:color w:val="808080"/>
        </w:rPr>
        <w:t>[</w:t>
      </w:r>
      <w:r>
        <w:rPr/>
        <w:t>könnt</w:t>
      </w:r>
      <w:r>
        <w:rPr>
          <w:b/>
          <w:color w:val="808080"/>
        </w:rPr>
        <w:t>]</w:t>
      </w:r>
      <w:r>
        <w:rPr/>
        <w:t xml:space="preserve"> ihr</w:t>
      </w:r>
      <w:r>
        <w:rPr>
          <w:rStyle w:val="Funotenanker"/>
        </w:rPr>
        <w:footnoteReference w:customMarkFollows="1" w:id="668"/>
        <w:t>b</w:t>
      </w:r>
      <w:r>
        <w:rPr/>
        <w:t xml:space="preserve"> </w:t>
      </w:r>
      <w:r>
        <w:rPr>
          <w:b/>
          <w:color w:val="808080"/>
        </w:rPr>
        <w:t>[</w:t>
      </w:r>
      <w:r>
        <w:rPr/>
        <w:t>da</w:t>
      </w:r>
      <w:r>
        <w:rPr>
          <w:b/>
          <w:color w:val="808080"/>
        </w:rPr>
        <w:t>]</w:t>
      </w:r>
      <w:r>
        <w:rPr/>
        <w:t xml:space="preserve"> zu mir </w:t>
      </w:r>
      <w:r>
        <w:rPr>
          <w:color w:val="808080"/>
        </w:rPr>
        <w:t>(zu meiner Seele)</w:t>
      </w:r>
      <w:r>
        <w:rPr/>
        <w:t xml:space="preserve"> </w:t>
      </w:r>
      <w:r>
        <w:rPr>
          <w:rStyle w:val="Funotenanker"/>
        </w:rPr>
        <w:footnoteReference w:customMarkFollows="1" w:id="669"/>
        <w:t>c</w:t>
      </w:r>
      <w:r>
        <w:rPr/>
        <w:t xml:space="preserve"> sagen:</w:t>
      </w:r>
      <w:r>
        <w:rPr>
          <w:rStyle w:val="Funotenanker"/>
        </w:rPr>
        <w:footnoteReference w:customMarkFollows="1" w:id="670"/>
        <w:t>d</w:t>
      </w:r>
      <w:r>
        <w:rPr/>
        <w:t xml:space="preserve"> </w:t>
        <w:br/>
        <w:t>„Flieht auf euren Berg</w:t>
      </w:r>
      <w:r>
        <w:rPr>
          <w:rStyle w:val="Funotenanker"/>
        </w:rPr>
        <w:footnoteReference w:customMarkFollows="1" w:id="671"/>
        <w:t>e</w:t>
      </w:r>
      <w:r>
        <w:rPr/>
        <w:t xml:space="preserve"> </w:t>
      </w:r>
      <w:r>
        <w:rPr>
          <w:b/>
          <w:color w:val="808080"/>
        </w:rPr>
        <w:t>[</w:t>
      </w:r>
      <w:r>
        <w:rPr/>
        <w:t>wie</w:t>
      </w:r>
      <w:r>
        <w:rPr>
          <w:b/>
          <w:color w:val="808080"/>
        </w:rPr>
        <w:t>]</w:t>
      </w:r>
      <w:r>
        <w:rPr/>
        <w:t xml:space="preserve"> ein Vogel!</w:t>
      </w:r>
      <w:r>
        <w:rPr>
          <w:rStyle w:val="Funotenanker"/>
        </w:rPr>
        <w:footnoteReference w:customMarkFollows="1" w:id="672"/>
        <w:t>f</w:t>
      </w:r>
      <w:r>
        <w:rPr/>
        <w:t xml:space="preserve"> </w:t>
      </w:r>
      <w:r>
        <w:rPr>
          <w:color w:val="808080"/>
        </w:rPr>
        <w:t>(</w:t>
      </w:r>
      <w:r>
        <w:rPr>
          <w:b/>
          <w:color w:val="808080"/>
        </w:rPr>
        <w:t>[</w:t>
      </w:r>
      <w:r>
        <w:rPr>
          <w:color w:val="808080"/>
        </w:rPr>
        <w:t>wie</w:t>
      </w:r>
      <w:r>
        <w:rPr>
          <w:b/>
          <w:color w:val="808080"/>
        </w:rPr>
        <w:t>]</w:t>
      </w:r>
      <w:r>
        <w:rPr>
          <w:color w:val="808080"/>
        </w:rPr>
        <w:t xml:space="preserve"> Vögel; flieh auf euren Berg, Vogel!, flieh/flieht ins Gebirge wie ein Vogel/wie Vögel!)</w:t>
      </w:r>
      <w:r>
        <w:rPr/>
        <w:t xml:space="preserve"> </w:t>
      </w:r>
      <w:r>
        <w:rPr>
          <w:rStyle w:val="Funotenanker"/>
        </w:rPr>
        <w:footnoteReference w:customMarkFollows="1" w:id="673"/>
        <w:t>g</w:t>
      </w:r>
      <w:r>
        <w:rPr/>
        <w:t xml:space="preserve"> </w:t>
        <w:br/>
        <w:t xml:space="preserve">{{field-off:bible}} </w:t>
        <w:br/>
        <w:t>[[@BibleTOBIBLE:Ps 11:2]]</w:t>
      </w:r>
      <w:r>
        <w:rPr>
          <w:b/>
        </w:rPr>
        <w:t>2</w:t>
      </w:r>
      <w:r>
        <w:rPr/>
        <w:t xml:space="preserve"> {{field-on:bible}} </w:t>
        <w:br/>
        <w:t>Denn siehe,</w:t>
      </w:r>
      <w:r>
        <w:rPr>
          <w:rStyle w:val="Funotenanker"/>
        </w:rPr>
        <w:footnoteReference w:customMarkFollows="1" w:id="674"/>
        <w:t>h</w:t>
      </w:r>
      <w:r>
        <w:rPr/>
        <w:t xml:space="preserve"> die Bösen wollen den Bogen spannen,</w:t>
        <w:br/>
        <w:t>Sie wollen den Pfeil auf die Sehne legen</w:t>
      </w:r>
      <w:r>
        <w:rPr>
          <w:rStyle w:val="Funotenanker"/>
        </w:rPr>
        <w:footnoteReference w:customMarkFollows="1" w:id="675"/>
        <w:t>i</w:t>
      </w:r>
      <w:r>
        <w:rPr/>
        <w:t>Um im Dunkel</w:t>
      </w:r>
      <w:r>
        <w:rPr>
          <w:rStyle w:val="Funotenanker"/>
        </w:rPr>
        <w:footnoteReference w:customMarkFollows="1" w:id="676"/>
        <w:t>j</w:t>
      </w:r>
      <w:r>
        <w:rPr/>
        <w:t xml:space="preserve"> auf die zu schießen, die aufrechten Herzens sind.</w:t>
        <w:br/>
        <w:t xml:space="preserve">{{field-off:bible}} </w:t>
        <w:br/>
        <w:t>[[@BibleTOBIBLE:Ps 11:3]]</w:t>
      </w:r>
      <w:r>
        <w:rPr>
          <w:b/>
        </w:rPr>
        <w:t>3</w:t>
      </w:r>
      <w:r>
        <w:rPr/>
        <w:t xml:space="preserve"> {{field-on:bible}} </w:t>
        <w:br/>
        <w:t xml:space="preserve">Ja, </w:t>
      </w:r>
      <w:r>
        <w:rPr>
          <w:color w:val="808080"/>
        </w:rPr>
        <w:t>(denn)</w:t>
      </w:r>
      <w:r>
        <w:rPr/>
        <w:t xml:space="preserve"> </w:t>
      </w:r>
      <w:r>
        <w:rPr>
          <w:b/>
          <w:color w:val="808080"/>
        </w:rPr>
        <w:t>[</w:t>
      </w:r>
      <w:r>
        <w:rPr/>
        <w:t>selbst</w:t>
      </w:r>
      <w:r>
        <w:rPr>
          <w:b/>
          <w:color w:val="808080"/>
        </w:rPr>
        <w:t>]</w:t>
      </w:r>
      <w:r>
        <w:rPr/>
        <w:t xml:space="preserve"> die Fundamente</w:t>
      </w:r>
      <w:r>
        <w:rPr>
          <w:rStyle w:val="Funotenanker"/>
        </w:rPr>
        <w:footnoteReference w:customMarkFollows="1" w:id="677"/>
        <w:t>k</w:t>
      </w:r>
      <w:r>
        <w:rPr/>
        <w:t xml:space="preserve"> sollen </w:t>
      </w:r>
      <w:r>
        <w:rPr>
          <w:color w:val="808080"/>
        </w:rPr>
        <w:t>(werden)</w:t>
      </w:r>
      <w:r>
        <w:rPr/>
        <w:t xml:space="preserve"> eingerissen werden - Was </w:t>
      </w:r>
      <w:r>
        <w:rPr>
          <w:b/>
          <w:color w:val="808080"/>
        </w:rPr>
        <w:t>[</w:t>
      </w:r>
      <w:r>
        <w:rPr/>
        <w:t>also</w:t>
      </w:r>
      <w:r>
        <w:rPr>
          <w:b/>
          <w:color w:val="808080"/>
        </w:rPr>
        <w:t>]</w:t>
      </w:r>
      <w:r>
        <w:rPr/>
        <w:t xml:space="preserve"> tut der Gerechte?“</w:t>
      </w:r>
      <w:r>
        <w:rPr>
          <w:rStyle w:val="Funotenanker"/>
        </w:rPr>
        <w:footnoteReference w:customMarkFollows="1" w:id="678"/>
        <w:t>l</w:t>
      </w:r>
      <w:r>
        <w:rPr/>
        <w:t xml:space="preserve"> </w:t>
        <w:br/>
        <w:br/>
        <w:t xml:space="preserve">{{field-off:bible}} </w:t>
        <w:br/>
        <w:t>[[@BibleTOBIBLE:Ps 11:4]]</w:t>
      </w:r>
      <w:r>
        <w:rPr>
          <w:b/>
        </w:rPr>
        <w:t>4</w:t>
      </w:r>
      <w:r>
        <w:rPr/>
        <w:t xml:space="preserve"> {{field-on:bible}} </w:t>
        <w:br/>
      </w:r>
      <w:r>
        <w:rPr>
          <w:smallCaps/>
          <w:color w:val="FF0000"/>
        </w:rPr>
        <w:t>JHWH</w:t>
      </w:r>
      <w:r>
        <w:rPr/>
        <w:t xml:space="preserve">, </w:t>
      </w:r>
      <w:r>
        <w:rPr>
          <w:b/>
          <w:color w:val="808080"/>
        </w:rPr>
        <w:t>[</w:t>
      </w:r>
      <w:r>
        <w:rPr/>
        <w:t>der</w:t>
      </w:r>
      <w:r>
        <w:rPr>
          <w:b/>
          <w:color w:val="808080"/>
        </w:rPr>
        <w:t>]</w:t>
      </w:r>
      <w:r>
        <w:rPr/>
        <w:t xml:space="preserve"> in seinem heiligen Tempel </w:t>
      </w:r>
      <w:r>
        <w:rPr>
          <w:color w:val="808080"/>
        </w:rPr>
        <w:t>(Palast)</w:t>
      </w:r>
      <w:r>
        <w:rPr/>
        <w:t xml:space="preserve"> </w:t>
      </w:r>
      <w:r>
        <w:rPr>
          <w:b/>
          <w:color w:val="808080"/>
        </w:rPr>
        <w:t>[</w:t>
      </w:r>
      <w:r>
        <w:rPr/>
        <w:t>ist</w:t>
      </w:r>
      <w:r>
        <w:rPr>
          <w:b/>
          <w:color w:val="808080"/>
        </w:rPr>
        <w:t>]</w:t>
      </w:r>
      <w:r>
        <w:rPr/>
        <w:t xml:space="preserve">, </w:t>
      </w:r>
      <w:r>
        <w:rPr>
          <w:color w:val="808080"/>
        </w:rPr>
        <w:t>(</w:t>
      </w:r>
      <w:r>
        <w:rPr>
          <w:smallCaps/>
          <w:color w:val="FF0000"/>
        </w:rPr>
        <w:t>JHWH</w:t>
      </w:r>
      <w:r>
        <w:rPr>
          <w:color w:val="808080"/>
        </w:rPr>
        <w:t xml:space="preserve"> ist in seinem heiligen Tempel; ist JHWH in seinem heiligen Tempel?)</w:t>
      </w:r>
      <w:r>
        <w:rPr/>
        <w:t xml:space="preserve"> </w:t>
      </w:r>
      <w:r>
        <w:rPr>
          <w:smallCaps/>
          <w:color w:val="FF0000"/>
        </w:rPr>
        <w:t>JHWH</w:t>
      </w:r>
      <w:r>
        <w:rPr/>
        <w:t xml:space="preserve">, </w:t>
      </w:r>
      <w:r>
        <w:rPr>
          <w:b/>
          <w:color w:val="808080"/>
        </w:rPr>
        <w:t>[</w:t>
      </w:r>
      <w:r>
        <w:rPr/>
        <w:t>der</w:t>
      </w:r>
      <w:r>
        <w:rPr>
          <w:b/>
          <w:color w:val="808080"/>
        </w:rPr>
        <w:t>]</w:t>
      </w:r>
      <w:r>
        <w:rPr/>
        <w:t xml:space="preserve"> im Himmel seinen Thron </w:t>
      </w:r>
      <w:r>
        <w:rPr>
          <w:b/>
          <w:color w:val="808080"/>
        </w:rPr>
        <w:t>[</w:t>
      </w:r>
      <w:r>
        <w:rPr/>
        <w:t>hat</w:t>
      </w:r>
      <w:r>
        <w:rPr>
          <w:b/>
          <w:color w:val="808080"/>
        </w:rPr>
        <w:t>]</w:t>
      </w:r>
      <w:r>
        <w:rPr/>
        <w:t xml:space="preserve"> </w:t>
      </w:r>
      <w:r>
        <w:rPr>
          <w:color w:val="808080"/>
        </w:rPr>
        <w:t>(</w:t>
      </w:r>
      <w:r>
        <w:rPr>
          <w:smallCaps/>
          <w:color w:val="FF0000"/>
        </w:rPr>
        <w:t>JHWH</w:t>
      </w:r>
      <w:r>
        <w:rPr>
          <w:color w:val="808080"/>
        </w:rPr>
        <w:t>s Thron ist im Himmel; ist JHWHs Thron im Himmel?)</w:t>
      </w:r>
      <w:r>
        <w:rPr/>
        <w:t xml:space="preserve"> -</w:t>
      </w:r>
      <w:r>
        <w:rPr>
          <w:rStyle w:val="Funotenanker"/>
        </w:rPr>
        <w:footnoteReference w:customMarkFollows="1" w:id="679"/>
        <w:t>m</w:t>
      </w:r>
      <w:r>
        <w:rPr/>
        <w:t xml:space="preserve"> </w:t>
        <w:br/>
        <w:t>Seine Augen blicken,</w:t>
      </w:r>
      <w:r>
        <w:rPr>
          <w:rStyle w:val="Funotenanker"/>
        </w:rPr>
        <w:footnoteReference w:customMarkFollows="1" w:id="680"/>
        <w:t>n</w:t>
      </w:r>
      <w:r>
        <w:rPr/>
        <w:t>Seine Augen</w:t>
      </w:r>
      <w:r>
        <w:rPr>
          <w:rStyle w:val="Funotenanker"/>
        </w:rPr>
        <w:footnoteReference w:customMarkFollows="1" w:id="681"/>
        <w:t>o</w:t>
      </w:r>
      <w:r>
        <w:rPr/>
        <w:t xml:space="preserve"> prüfen die Menschensöhne.</w:t>
      </w:r>
      <w:r>
        <w:rPr>
          <w:rStyle w:val="Funotenanker"/>
        </w:rPr>
        <w:footnoteReference w:customMarkFollows="1" w:id="682"/>
        <w:t>p</w:t>
      </w:r>
      <w:r>
        <w:rPr/>
        <w:t xml:space="preserve"> </w:t>
        <w:br/>
        <w:t xml:space="preserve">{{field-off:bible}} </w:t>
        <w:br/>
        <w:t>[[@BibleTOBIBLE:Ps 11:5]]</w:t>
      </w:r>
      <w:r>
        <w:rPr>
          <w:b/>
        </w:rPr>
        <w:t>5</w:t>
      </w:r>
      <w:r>
        <w:rPr/>
        <w:t xml:space="preserve"> {{field-on:bible}} </w:t>
        <w:br/>
      </w:r>
      <w:r>
        <w:rPr>
          <w:smallCaps/>
          <w:color w:val="FF0000"/>
        </w:rPr>
        <w:t>JHWH</w:t>
      </w:r>
      <w:r>
        <w:rPr/>
        <w:t xml:space="preserve">, der Gerechte, prüft. </w:t>
      </w:r>
      <w:r>
        <w:rPr>
          <w:color w:val="808080"/>
        </w:rPr>
        <w:t xml:space="preserve">(JHWH </w:t>
      </w:r>
      <w:r>
        <w:rPr>
          <w:b/>
          <w:color w:val="808080"/>
        </w:rPr>
        <w:t>[</w:t>
      </w:r>
      <w:r>
        <w:rPr>
          <w:color w:val="808080"/>
        </w:rPr>
        <w:t>ist</w:t>
      </w:r>
      <w:r>
        <w:rPr>
          <w:b/>
          <w:color w:val="808080"/>
        </w:rPr>
        <w:t>]</w:t>
      </w:r>
      <w:r>
        <w:rPr>
          <w:color w:val="808080"/>
        </w:rPr>
        <w:t xml:space="preserve"> gerecht. Er prüft.)</w:t>
      </w:r>
      <w:r>
        <w:rPr/>
        <w:t xml:space="preserve"> - Und den Bösen und den Gewalt Liebenden hasst er </w:t>
      </w:r>
      <w:r>
        <w:rPr>
          <w:color w:val="808080"/>
        </w:rPr>
        <w:t>(hasst seine Seele)</w:t>
      </w:r>
      <w:r>
        <w:rPr/>
        <w:t>.</w:t>
      </w:r>
      <w:r>
        <w:rPr>
          <w:rStyle w:val="Funotenanker"/>
        </w:rPr>
        <w:footnoteReference w:customMarkFollows="1" w:id="683"/>
        <w:t>q</w:t>
      </w:r>
      <w:r>
        <w:rPr/>
        <w:t xml:space="preserve"> </w:t>
        <w:br/>
        <w:t xml:space="preserve">{{field-off:bible}} </w:t>
        <w:br/>
        <w:t>[[@BibleTOBIBLE:Ps 11:6]]</w:t>
      </w:r>
      <w:r>
        <w:rPr>
          <w:b/>
        </w:rPr>
        <w:t>6</w:t>
      </w:r>
      <w:r>
        <w:rPr/>
        <w:t xml:space="preserve"> {{field-on:bible}} </w:t>
        <w:br/>
        <w:t xml:space="preserve">Er wird </w:t>
      </w:r>
      <w:r>
        <w:rPr>
          <w:color w:val="808080"/>
        </w:rPr>
        <w:t>(soll)</w:t>
      </w:r>
      <w:r>
        <w:rPr/>
        <w:t xml:space="preserve"> </w:t>
      </w:r>
      <w:r>
        <w:rPr>
          <w:rStyle w:val="Funotenanker"/>
        </w:rPr>
        <w:footnoteReference w:customMarkFollows="1" w:id="684"/>
        <w:t>r</w:t>
      </w:r>
      <w:r>
        <w:rPr/>
        <w:t xml:space="preserve"> regnen lassen auf </w:t>
      </w:r>
      <w:r>
        <w:rPr>
          <w:b/>
          <w:color w:val="808080"/>
        </w:rPr>
        <w:t>[</w:t>
      </w:r>
      <w:r>
        <w:rPr/>
        <w:t>die</w:t>
      </w:r>
      <w:r>
        <w:rPr>
          <w:b/>
          <w:color w:val="808080"/>
        </w:rPr>
        <w:t>]</w:t>
      </w:r>
      <w:r>
        <w:rPr/>
        <w:t xml:space="preserve"> Bösen Schlingen </w:t>
      </w:r>
      <w:r>
        <w:rPr>
          <w:color w:val="808080"/>
        </w:rPr>
        <w:t>(Kohle?)</w:t>
      </w:r>
      <w:r>
        <w:rPr/>
        <w:t>:</w:t>
      </w:r>
      <w:r>
        <w:rPr>
          <w:rStyle w:val="Funotenanker"/>
        </w:rPr>
        <w:footnoteReference w:customMarkFollows="1" w:id="685"/>
        <w:t>s</w:t>
      </w:r>
      <w:r>
        <w:rPr/>
        <w:t>Feuer, Schwefel</w:t>
      </w:r>
      <w:r>
        <w:rPr>
          <w:rStyle w:val="Funotenanker"/>
        </w:rPr>
        <w:footnoteReference w:customMarkFollows="1" w:id="686"/>
        <w:t>t</w:t>
      </w:r>
      <w:r>
        <w:rPr/>
        <w:t xml:space="preserve"> und gewaltiger </w:t>
      </w:r>
      <w:r>
        <w:rPr>
          <w:color w:val="808080"/>
        </w:rPr>
        <w:t>(glühender)</w:t>
      </w:r>
      <w:r>
        <w:rPr/>
        <w:t xml:space="preserve"> Wind </w:t>
      </w:r>
      <w:r>
        <w:rPr>
          <w:b/>
          <w:color w:val="808080"/>
        </w:rPr>
        <w:t>[</w:t>
      </w:r>
      <w:r>
        <w:rPr/>
        <w:t>ist</w:t>
      </w:r>
      <w:r>
        <w:rPr>
          <w:b/>
          <w:color w:val="808080"/>
        </w:rPr>
        <w:t>]</w:t>
      </w:r>
      <w:r>
        <w:rPr/>
        <w:t xml:space="preserve"> der Anteil ihres Bechers.</w:t>
      </w:r>
      <w:r>
        <w:rPr>
          <w:rStyle w:val="Funotenanker"/>
        </w:rPr>
        <w:footnoteReference w:customMarkFollows="1" w:id="687"/>
        <w:t>u</w:t>
      </w:r>
      <w:r>
        <w:rPr/>
        <w:t xml:space="preserve"> </w:t>
        <w:br/>
        <w:t xml:space="preserve">{{field-off:bible}} </w:t>
        <w:br/>
        <w:t>[[@BibleTOBIBLE:Ps 11:7]]</w:t>
      </w:r>
      <w:r>
        <w:rPr>
          <w:b/>
        </w:rPr>
        <w:t>7</w:t>
      </w:r>
      <w:r>
        <w:rPr/>
        <w:t xml:space="preserve"> {{field-on:bible}} </w:t>
        <w:br/>
        <w:t xml:space="preserve">Weil </w:t>
      </w:r>
      <w:r>
        <w:rPr>
          <w:smallCaps/>
          <w:color w:val="FF0000"/>
        </w:rPr>
        <w:t>JHWH</w:t>
      </w:r>
      <w:r>
        <w:rPr/>
        <w:t xml:space="preserve"> gerecht </w:t>
      </w:r>
      <w:r>
        <w:rPr>
          <w:color w:val="808080"/>
        </w:rPr>
        <w:t>(der Gerechte)</w:t>
      </w:r>
      <w:r>
        <w:rPr/>
        <w:t xml:space="preserve"> ist </w:t>
      </w:r>
      <w:r>
        <w:rPr>
          <w:color w:val="808080"/>
        </w:rPr>
        <w:t xml:space="preserve">(denn </w:t>
      </w:r>
      <w:r>
        <w:rPr>
          <w:smallCaps/>
          <w:color w:val="FF0000"/>
        </w:rPr>
        <w:t>JHWH</w:t>
      </w:r>
      <w:r>
        <w:rPr>
          <w:color w:val="808080"/>
        </w:rPr>
        <w:t xml:space="preserve"> ist gerecht.)</w:t>
      </w:r>
      <w:r>
        <w:rPr/>
        <w:t xml:space="preserve">, Gerechtigkeit liebt </w:t>
      </w:r>
      <w:r>
        <w:rPr>
          <w:color w:val="808080"/>
        </w:rPr>
        <w:t>(liebt er Gerechtigkeit.)</w:t>
      </w:r>
      <w:r>
        <w:rPr/>
        <w:t>,Wird</w:t>
      </w:r>
      <w:r>
        <w:rPr>
          <w:rStyle w:val="Funotenanker"/>
        </w:rPr>
        <w:footnoteReference w:customMarkFollows="1" w:id="688"/>
        <w:t>v</w:t>
      </w:r>
      <w:r>
        <w:rPr/>
        <w:t xml:space="preserve"> ein Aufrechter sein Gesicht sehen </w:t>
      </w:r>
      <w:r>
        <w:rPr>
          <w:color w:val="808080"/>
        </w:rPr>
        <w:t>(wird sein Gesicht auf einen Aufrechten sehen?)</w:t>
      </w:r>
      <w:r>
        <w:rPr/>
        <w:t>.</w:t>
      </w:r>
      <w:r>
        <w:rPr>
          <w:rStyle w:val="Funotenanker"/>
        </w:rPr>
        <w:footnoteReference w:customMarkFollows="1" w:id="689"/>
        <w:t>w</w:t>
      </w:r>
      <w:r>
        <w:rPr/>
        <w:t xml:space="preserve"> </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r>
      <w:r>
        <w:rPr>
          <w:rStyle w:val="Funotenanker"/>
        </w:rPr>
        <w:footnoteReference w:customMarkFollows="1" w:id="690"/>
        <w:t>Status</w:t>
      </w:r>
      <w:r>
        <w:rPr/>
        <w:t xml:space="preserve"> Für den den Chorleiter </w:t>
      </w:r>
      <w:r>
        <w:rPr>
          <w:color w:val="808080"/>
        </w:rPr>
        <w:t>(Dirigenten, Singenden, Musizierenden)</w:t>
      </w:r>
      <w:r>
        <w:rPr/>
        <w:t>.</w:t>
      </w:r>
      <w:r>
        <w:rPr>
          <w:rStyle w:val="Funotenanker"/>
        </w:rPr>
        <w:footnoteReference w:customMarkFollows="1" w:id="691"/>
        <w:t>a</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13:2]]</w:t>
      </w:r>
      <w:r>
        <w:rPr>
          <w:b/>
        </w:rPr>
        <w:t>2</w:t>
      </w:r>
      <w:r>
        <w:rPr/>
        <w:t xml:space="preserve"> {{field-on:bible}} </w:t>
        <w:br/>
        <w:t xml:space="preserve">Bis wann </w:t>
      </w:r>
      <w:r>
        <w:rPr>
          <w:color w:val="808080"/>
        </w:rPr>
        <w:t>(wie lange)</w:t>
      </w:r>
      <w:r>
        <w:rPr/>
        <w:t xml:space="preserve"> </w:t>
      </w:r>
      <w:r>
        <w:rPr>
          <w:rStyle w:val="Funotenanker"/>
        </w:rPr>
        <w:footnoteReference w:customMarkFollows="1" w:id="692"/>
        <w:t>b</w:t>
      </w:r>
      <w:r>
        <w:rPr/>
        <w:t xml:space="preserve">, </w:t>
      </w:r>
      <w:r>
        <w:rPr>
          <w:smallCaps/>
          <w:color w:val="FF0000"/>
        </w:rPr>
        <w:t>JHWH</w:t>
      </w:r>
      <w:r>
        <w:rPr/>
        <w:t xml:space="preserve">, wirst </w:t>
      </w:r>
      <w:r>
        <w:rPr>
          <w:color w:val="808080"/>
        </w:rPr>
        <w:t>(willst)</w:t>
      </w:r>
      <w:r>
        <w:rPr/>
        <w:t xml:space="preserve"> du mich </w:t>
      </w:r>
      <w:r>
        <w:rPr>
          <w:b/>
          <w:color w:val="808080"/>
        </w:rPr>
        <w:t>[</w:t>
      </w:r>
      <w:r>
        <w:rPr/>
        <w:t>so</w:t>
      </w:r>
      <w:r>
        <w:rPr>
          <w:b/>
          <w:color w:val="808080"/>
        </w:rPr>
        <w:t>]</w:t>
      </w:r>
      <w:r>
        <w:rPr/>
        <w:t xml:space="preserve"> gänzlich </w:t>
      </w:r>
      <w:r>
        <w:rPr>
          <w:color w:val="808080"/>
        </w:rPr>
        <w:t>(für immer, fortwährend)</w:t>
      </w:r>
      <w:r>
        <w:rPr/>
        <w:t xml:space="preserve"> </w:t>
      </w:r>
      <w:r>
        <w:rPr>
          <w:rStyle w:val="Funotenanker"/>
        </w:rPr>
        <w:footnoteReference w:customMarkFollows="1" w:id="693"/>
        <w:t>c</w:t>
      </w:r>
      <w:r>
        <w:rPr/>
        <w:t xml:space="preserve"> vergessen</w:t>
      </w:r>
      <w:r>
        <w:rPr>
          <w:rStyle w:val="Funotenanker"/>
        </w:rPr>
        <w:footnoteReference w:customMarkFollows="1" w:id="694"/>
        <w:t>d</w:t>
      </w:r>
      <w:r>
        <w:rPr/>
        <w:t xml:space="preserve">? Bis wann </w:t>
      </w:r>
      <w:r>
        <w:rPr>
          <w:color w:val="808080"/>
        </w:rPr>
        <w:t>(Wie lange)</w:t>
      </w:r>
      <w:r>
        <w:rPr/>
        <w:t xml:space="preserve"> wirst </w:t>
      </w:r>
      <w:r>
        <w:rPr>
          <w:color w:val="808080"/>
        </w:rPr>
        <w:t>(willst)</w:t>
      </w:r>
      <w:r>
        <w:rPr/>
        <w:t xml:space="preserve"> du dein Gesicht vor mir verbergen</w:t>
      </w:r>
      <w:r>
        <w:rPr>
          <w:rStyle w:val="Funotenanker"/>
        </w:rPr>
        <w:footnoteReference w:customMarkFollows="1" w:id="695"/>
        <w:t>e</w:t>
      </w:r>
      <w:r>
        <w:rPr/>
        <w:t>?</w:t>
        <w:br/>
        <w:t xml:space="preserve">{{field-off:bible}} </w:t>
        <w:br/>
        <w:t>[[@BibleTOBIBLE:Ps 13:3]]</w:t>
      </w:r>
      <w:r>
        <w:rPr>
          <w:b/>
        </w:rPr>
        <w:t>3</w:t>
      </w:r>
      <w:r>
        <w:rPr/>
        <w:t xml:space="preserve"> {{field-on:bible}} </w:t>
        <w:br/>
        <w:t xml:space="preserve">Bis wann </w:t>
      </w:r>
      <w:r>
        <w:rPr>
          <w:color w:val="808080"/>
        </w:rPr>
        <w:t>(Wie lange)</w:t>
      </w:r>
      <w:r>
        <w:rPr/>
        <w:t xml:space="preserve"> muss </w:t>
      </w:r>
      <w:r>
        <w:rPr>
          <w:color w:val="808080"/>
        </w:rPr>
        <w:t>(werde)</w:t>
      </w:r>
      <w:r>
        <w:rPr/>
        <w:t xml:space="preserve"> ich Pläne </w:t>
      </w:r>
      <w:r>
        <w:rPr>
          <w:color w:val="808080"/>
        </w:rPr>
        <w:t>(Auflehnung?, Schmerzen?, Kummer?, Sorgen?)</w:t>
      </w:r>
      <w:r>
        <w:rPr/>
        <w:t xml:space="preserve"> </w:t>
      </w:r>
      <w:r>
        <w:rPr>
          <w:rStyle w:val="Funotenanker"/>
        </w:rPr>
        <w:footnoteReference w:customMarkFollows="1" w:id="696"/>
        <w:t>f</w:t>
      </w:r>
      <w:r>
        <w:rPr/>
        <w:t xml:space="preserve"> in meine Seele</w:t>
      </w:r>
      <w:r>
        <w:rPr>
          <w:rStyle w:val="Funotenanker"/>
        </w:rPr>
        <w:footnoteReference w:customMarkFollows="1" w:id="697"/>
        <w:t>g</w:t>
      </w:r>
      <w:r>
        <w:rPr/>
        <w:t xml:space="preserve"> legen, Wobei </w:t>
      </w:r>
      <w:r>
        <w:rPr>
          <w:color w:val="808080"/>
        </w:rPr>
        <w:t xml:space="preserve">([Bis wann (wie lange)] </w:t>
      </w:r>
      <w:r>
        <w:rPr>
          <w:b/>
          <w:color w:val="808080"/>
        </w:rPr>
        <w:t>[</w:t>
      </w:r>
      <w:r>
        <w:rPr>
          <w:color w:val="808080"/>
        </w:rPr>
        <w:t>wird sein/muss ich legen</w:t>
      </w:r>
      <w:r>
        <w:rPr>
          <w:b/>
          <w:color w:val="808080"/>
        </w:rPr>
        <w:t>]</w:t>
      </w:r>
      <w:r>
        <w:rPr>
          <w:color w:val="808080"/>
        </w:rPr>
        <w:t>)</w:t>
      </w:r>
      <w:r>
        <w:rPr/>
        <w:t xml:space="preserve"> </w:t>
      </w:r>
      <w:r>
        <w:rPr>
          <w:rStyle w:val="Funotenanker"/>
        </w:rPr>
        <w:footnoteReference w:customMarkFollows="1" w:id="698"/>
        <w:t>h</w:t>
      </w:r>
      <w:r>
        <w:rPr/>
        <w:t xml:space="preserve"> Kummer in meinem Herzen </w:t>
      </w:r>
      <w:r>
        <w:rPr>
          <w:b/>
          <w:color w:val="808080"/>
        </w:rPr>
        <w:t>[</w:t>
      </w:r>
      <w:r>
        <w:rPr/>
        <w:t>ist</w:t>
      </w:r>
      <w:r>
        <w:rPr>
          <w:b/>
          <w:color w:val="808080"/>
        </w:rPr>
        <w:t>]</w:t>
      </w:r>
      <w:r>
        <w:rPr/>
        <w:t xml:space="preserve"> </w:t>
      </w:r>
      <w:r>
        <w:rPr>
          <w:b/>
          <w:color w:val="808080"/>
        </w:rPr>
        <w:t>[</w:t>
      </w:r>
      <w:r>
        <w:rPr/>
        <w:t>sogar</w:t>
      </w:r>
      <w:r>
        <w:rPr>
          <w:b/>
          <w:color w:val="808080"/>
        </w:rPr>
        <w:t>]</w:t>
      </w:r>
      <w:r>
        <w:rPr/>
        <w:t xml:space="preserve"> am Tag </w:t>
      </w:r>
      <w:r>
        <w:rPr>
          <w:color w:val="808080"/>
        </w:rPr>
        <w:t xml:space="preserve">(täglich?, den ganzen Tag?, Tag </w:t>
      </w:r>
      <w:r>
        <w:rPr>
          <w:b/>
          <w:color w:val="808080"/>
        </w:rPr>
        <w:t>[</w:t>
      </w:r>
      <w:r>
        <w:rPr>
          <w:color w:val="808080"/>
        </w:rPr>
        <w:t>und Nacht</w:t>
      </w:r>
      <w:r>
        <w:rPr>
          <w:b/>
          <w:color w:val="808080"/>
        </w:rPr>
        <w:t>]</w:t>
      </w:r>
      <w:r>
        <w:rPr>
          <w:color w:val="808080"/>
        </w:rPr>
        <w:t xml:space="preserve">? </w:t>
      </w:r>
      <w:r>
        <w:rPr>
          <w:strike/>
          <w:color w:val="808080"/>
        </w:rPr>
        <w:t>{am Tag}</w:t>
      </w:r>
      <w:r>
        <w:rPr>
          <w:color w:val="808080"/>
        </w:rPr>
        <w:t>?)</w:t>
      </w:r>
      <w:r>
        <w:rPr/>
        <w:t xml:space="preserve"> </w:t>
      </w:r>
      <w:r>
        <w:rPr>
          <w:rStyle w:val="Funotenanker"/>
        </w:rPr>
        <w:footnoteReference w:customMarkFollows="1" w:id="699"/>
        <w:t>i</w:t>
      </w:r>
      <w:r>
        <w:rPr/>
        <w:t>?</w:t>
        <w:br/>
        <w:t xml:space="preserve">Bis wann </w:t>
      </w:r>
      <w:r>
        <w:rPr>
          <w:color w:val="808080"/>
        </w:rPr>
        <w:t>(Wie lange)</w:t>
      </w:r>
      <w:r>
        <w:rPr/>
        <w:t xml:space="preserve"> wird </w:t>
      </w:r>
      <w:r>
        <w:rPr>
          <w:color w:val="808080"/>
        </w:rPr>
        <w:t>(darf)</w:t>
      </w:r>
      <w:r>
        <w:rPr/>
        <w:t xml:space="preserve"> mein Feind </w:t>
      </w:r>
      <w:r>
        <w:rPr>
          <w:color w:val="808080"/>
        </w:rPr>
        <w:t>(meine Feinde)</w:t>
      </w:r>
      <w:r>
        <w:rPr/>
        <w:t xml:space="preserve"> </w:t>
      </w:r>
      <w:r>
        <w:rPr>
          <w:rStyle w:val="Funotenanker"/>
        </w:rPr>
        <w:footnoteReference w:customMarkFollows="1" w:id="700"/>
        <w:t>j</w:t>
      </w:r>
      <w:r>
        <w:rPr/>
        <w:t xml:space="preserve"> mir überlegen sein </w:t>
      </w:r>
      <w:r>
        <w:rPr>
          <w:color w:val="808080"/>
        </w:rPr>
        <w:t>(über mich erhoben sein, über mich erhaben sein, über mich triumphieren)</w:t>
      </w:r>
      <w:r>
        <w:rPr/>
        <w:t xml:space="preserve"> </w:t>
      </w:r>
      <w:r>
        <w:rPr>
          <w:rStyle w:val="Funotenanker"/>
        </w:rPr>
        <w:footnoteReference w:customMarkFollows="1" w:id="701"/>
        <w:t>k</w:t>
      </w:r>
      <w:r>
        <w:rPr/>
        <w:t>?</w:t>
        <w:br/>
        <w:br/>
        <w:t xml:space="preserve">{{field-off:bible}} </w:t>
        <w:br/>
        <w:t>[[@BibleTOBIBLE:Ps 13:4]]</w:t>
      </w:r>
      <w:r>
        <w:rPr>
          <w:b/>
        </w:rPr>
        <w:t>4</w:t>
      </w:r>
      <w:r>
        <w:rPr/>
        <w:t xml:space="preserve"> {{field-on:bible}} </w:t>
        <w:br/>
        <w:t xml:space="preserve">Schau </w:t>
      </w:r>
      <w:r>
        <w:rPr>
          <w:color w:val="808080"/>
        </w:rPr>
        <w:t>(</w:t>
      </w:r>
      <w:r>
        <w:rPr>
          <w:b/>
          <w:color w:val="808080"/>
        </w:rPr>
        <w:t>[</w:t>
      </w:r>
      <w:r>
        <w:rPr>
          <w:color w:val="808080"/>
        </w:rPr>
        <w:t>auf mich</w:t>
      </w:r>
      <w:r>
        <w:rPr>
          <w:b/>
          <w:color w:val="808080"/>
        </w:rPr>
        <w:t>]</w:t>
      </w:r>
      <w:r>
        <w:rPr>
          <w:color w:val="808080"/>
        </w:rPr>
        <w:t>)</w:t>
      </w:r>
      <w:r>
        <w:rPr/>
        <w:t>!</w:t>
      </w:r>
      <w:r>
        <w:rPr>
          <w:rStyle w:val="Funotenanker"/>
        </w:rPr>
        <w:footnoteReference w:customMarkFollows="1" w:id="702"/>
        <w:t>l</w:t>
      </w:r>
      <w:r>
        <w:rPr/>
        <w:t xml:space="preserve">, antworte mir, </w:t>
      </w:r>
      <w:r>
        <w:rPr>
          <w:smallCaps/>
          <w:color w:val="FF0000"/>
        </w:rPr>
        <w:t>JHWH</w:t>
      </w:r>
      <w:r>
        <w:rPr/>
        <w:t>!</w:t>
      </w:r>
      <w:r>
        <w:rPr>
          <w:rStyle w:val="Funotenanker"/>
        </w:rPr>
        <w:footnoteReference w:customMarkFollows="1" w:id="703"/>
        <w:t>m</w:t>
      </w:r>
      <w:r>
        <w:rPr/>
        <w:t xml:space="preserve"> Mein Gott, lass meine Augen leuchten,</w:t>
        <w:br/>
        <w:t xml:space="preserve">Damit ich nicht zum Tod entschlafe </w:t>
      </w:r>
      <w:r>
        <w:rPr>
          <w:color w:val="808080"/>
        </w:rPr>
        <w:t xml:space="preserve">(im Tod schlafe, tot schlafe, den </w:t>
      </w:r>
      <w:r>
        <w:rPr>
          <w:b/>
          <w:color w:val="808080"/>
        </w:rPr>
        <w:t>[</w:t>
      </w:r>
      <w:r>
        <w:rPr>
          <w:color w:val="808080"/>
        </w:rPr>
        <w:t>Schlaf des</w:t>
      </w:r>
      <w:r>
        <w:rPr>
          <w:b/>
          <w:color w:val="808080"/>
        </w:rPr>
        <w:t>]</w:t>
      </w:r>
      <w:r>
        <w:rPr>
          <w:color w:val="808080"/>
        </w:rPr>
        <w:t xml:space="preserve"> Tod</w:t>
      </w:r>
      <w:r>
        <w:rPr>
          <w:b/>
          <w:color w:val="808080"/>
        </w:rPr>
        <w:t>[</w:t>
      </w:r>
      <w:r>
        <w:rPr>
          <w:color w:val="808080"/>
        </w:rPr>
        <w:t>es</w:t>
      </w:r>
      <w:r>
        <w:rPr>
          <w:b/>
          <w:color w:val="808080"/>
        </w:rPr>
        <w:t>]</w:t>
      </w:r>
      <w:r>
        <w:rPr>
          <w:color w:val="808080"/>
        </w:rPr>
        <w:t xml:space="preserve"> schlafe)</w:t>
      </w:r>
      <w:r>
        <w:rPr/>
        <w:t>!</w:t>
      </w:r>
      <w:r>
        <w:rPr>
          <w:rStyle w:val="Funotenanker"/>
        </w:rPr>
        <w:footnoteReference w:customMarkFollows="1" w:id="704"/>
        <w:t>n</w:t>
      </w:r>
      <w:r>
        <w:rPr/>
        <w:t xml:space="preserve"> </w:t>
        <w:br/>
        <w:t xml:space="preserve">{{field-off:bible}} </w:t>
        <w:br/>
        <w:t>[[@BibleTOBIBLE:Ps 13:5]]</w:t>
      </w:r>
      <w:r>
        <w:rPr>
          <w:b/>
        </w:rPr>
        <w:t>5</w:t>
      </w:r>
      <w:r>
        <w:rPr/>
        <w:t xml:space="preserve"> {{field-on:bible}} </w:t>
        <w:br/>
        <w:t xml:space="preserve">Damit mein Feind </w:t>
      </w:r>
      <w:r>
        <w:rPr>
          <w:color w:val="808080"/>
        </w:rPr>
        <w:t>(meine Feinde)</w:t>
      </w:r>
      <w:r>
        <w:rPr/>
        <w:t xml:space="preserve"> nicht sagen kann: „Ich habe ihn übermocht </w:t>
      </w:r>
      <w:r>
        <w:rPr>
          <w:color w:val="808080"/>
        </w:rPr>
        <w:t>(Ich habe ihn ausgetilgt?, Ich habe es geschafft?)</w:t>
      </w:r>
      <w:r>
        <w:rPr/>
        <w:t xml:space="preserve"> </w:t>
      </w:r>
      <w:r>
        <w:rPr>
          <w:rStyle w:val="Funotenanker"/>
        </w:rPr>
        <w:footnoteReference w:customMarkFollows="1" w:id="705"/>
        <w:t>o</w:t>
      </w:r>
      <w:r>
        <w:rPr/>
        <w:t>!“</w:t>
        <w:br/>
        <w:br/>
        <w:t xml:space="preserve">Mögen auch meine Bedränger jubeln </w:t>
      </w:r>
      <w:r>
        <w:rPr>
          <w:color w:val="808080"/>
        </w:rPr>
        <w:t>(Meine Bedränger jubeln)</w:t>
      </w:r>
      <w:r>
        <w:rPr/>
        <w:t xml:space="preserve">, weil </w:t>
      </w:r>
      <w:r>
        <w:rPr>
          <w:color w:val="808080"/>
        </w:rPr>
        <w:t>(wenn, dass)</w:t>
      </w:r>
      <w:r>
        <w:rPr/>
        <w:t xml:space="preserve"> ich wanke </w:t>
      </w:r>
      <w:r>
        <w:rPr>
          <w:color w:val="808080"/>
        </w:rPr>
        <w:t>(wanken werde)</w:t>
      </w:r>
      <w:r>
        <w:rPr/>
        <w:t xml:space="preserve"> </w:t>
      </w:r>
      <w:r>
        <w:rPr>
          <w:rStyle w:val="Funotenanker"/>
        </w:rPr>
        <w:footnoteReference w:customMarkFollows="1" w:id="706"/>
        <w:t>p</w:t>
      </w:r>
      <w:r>
        <w:rPr/>
        <w:t xml:space="preserve"> - </w:t>
        <w:br/>
        <w:t xml:space="preserve">{{field-off:bible}} </w:t>
        <w:br/>
        <w:t>[[@BibleTOBIBLE:Ps 13:6]]</w:t>
      </w:r>
      <w:r>
        <w:rPr>
          <w:b/>
        </w:rPr>
        <w:t>6</w:t>
      </w:r>
      <w:r>
        <w:rPr/>
        <w:t xml:space="preserve"> {{field-on:bible}} </w:t>
        <w:br/>
        <w:t xml:space="preserve">vertraue ich dagegen </w:t>
      </w:r>
      <w:r>
        <w:rPr>
          <w:color w:val="808080"/>
        </w:rPr>
        <w:t>(Ich dagegen vertraue)</w:t>
      </w:r>
      <w:r>
        <w:rPr/>
        <w:t xml:space="preserve"> </w:t>
      </w:r>
      <w:r>
        <w:rPr>
          <w:rStyle w:val="Funotenanker"/>
        </w:rPr>
        <w:footnoteReference w:customMarkFollows="1" w:id="707"/>
        <w:t>q</w:t>
      </w:r>
      <w:r>
        <w:rPr/>
        <w:t xml:space="preserve"> auf deine Gnade </w:t>
      </w:r>
      <w:r>
        <w:rPr>
          <w:color w:val="808080"/>
        </w:rPr>
        <w:t>(Güte)</w:t>
      </w:r>
      <w:r>
        <w:rPr/>
        <w:t>:</w:t>
        <w:br/>
        <w:t xml:space="preserve">Mein Herz </w:t>
      </w:r>
      <w:r>
        <w:rPr>
          <w:color w:val="808080"/>
        </w:rPr>
        <w:t>(Ich)</w:t>
      </w:r>
      <w:r>
        <w:rPr/>
        <w:t xml:space="preserve"> </w:t>
      </w:r>
      <w:r>
        <w:rPr>
          <w:rStyle w:val="Funotenanker"/>
        </w:rPr>
        <w:footnoteReference w:customMarkFollows="1" w:id="708"/>
        <w:t>r</w:t>
      </w:r>
      <w:r>
        <w:rPr/>
        <w:t xml:space="preserve"> soll </w:t>
      </w:r>
      <w:r>
        <w:rPr>
          <w:b/>
          <w:color w:val="808080"/>
        </w:rPr>
        <w:t>[</w:t>
      </w:r>
      <w:r>
        <w:rPr/>
        <w:t>dereinst</w:t>
      </w:r>
      <w:r>
        <w:rPr>
          <w:b/>
          <w:color w:val="808080"/>
        </w:rPr>
        <w:t>]</w:t>
      </w:r>
      <w:r>
        <w:rPr/>
        <w:t xml:space="preserve"> jubeln über deine Hilfe, Ich will </w:t>
      </w:r>
      <w:r>
        <w:rPr>
          <w:smallCaps/>
          <w:color w:val="FF0000"/>
        </w:rPr>
        <w:t>JHWH</w:t>
      </w:r>
      <w:r>
        <w:rPr/>
        <w:t xml:space="preserve"> </w:t>
      </w:r>
      <w:r>
        <w:rPr>
          <w:color w:val="808080"/>
        </w:rPr>
        <w:t>(dich)</w:t>
      </w:r>
      <w:r>
        <w:rPr/>
        <w:t xml:space="preserve"> </w:t>
      </w:r>
      <w:r>
        <w:rPr>
          <w:rStyle w:val="Funotenanker"/>
        </w:rPr>
        <w:footnoteReference w:customMarkFollows="1" w:id="709"/>
        <w:t>s</w:t>
      </w:r>
      <w:r>
        <w:rPr/>
        <w:t xml:space="preserve"> </w:t>
      </w:r>
      <w:r>
        <w:rPr>
          <w:b/>
          <w:color w:val="808080"/>
        </w:rPr>
        <w:t>[</w:t>
      </w:r>
      <w:r>
        <w:rPr/>
        <w:t>dereinst</w:t>
      </w:r>
      <w:r>
        <w:rPr>
          <w:b/>
          <w:color w:val="808080"/>
        </w:rPr>
        <w:t>]</w:t>
      </w:r>
      <w:r>
        <w:rPr/>
        <w:t xml:space="preserve"> besingen: </w:t>
      </w:r>
      <w:r>
        <w:rPr>
          <w:strike/>
          <w:color w:val="808080"/>
        </w:rPr>
        <w:t>{denn}</w:t>
      </w:r>
      <w:r>
        <w:rPr/>
        <w:t xml:space="preserve"> </w:t>
      </w:r>
      <w:r>
        <w:rPr>
          <w:color w:val="808080"/>
        </w:rPr>
        <w:t>(denn, ja!, sobald)</w:t>
      </w:r>
      <w:r>
        <w:rPr/>
        <w:t xml:space="preserve"> „Er hat </w:t>
      </w:r>
      <w:r>
        <w:rPr>
          <w:color w:val="808080"/>
        </w:rPr>
        <w:t>(Du hast)</w:t>
      </w:r>
      <w:r>
        <w:rPr/>
        <w:t xml:space="preserve"> an mir </w:t>
      </w:r>
      <w:r>
        <w:rPr>
          <w:b/>
          <w:color w:val="808080"/>
        </w:rPr>
        <w:t>[</w:t>
      </w:r>
      <w:r>
        <w:rPr/>
        <w:t>Gutes</w:t>
      </w:r>
      <w:r>
        <w:rPr>
          <w:b/>
          <w:color w:val="808080"/>
        </w:rPr>
        <w:t>]</w:t>
      </w:r>
      <w:r>
        <w:rPr/>
        <w:t xml:space="preserve"> getan!“</w:t>
        <w:br/>
        <w:t xml:space="preserve">{{field-off:bible}} </w:t>
      </w:r>
    </w:p>
    <w:p>
      <w:pPr>
        <w:pStyle w:val="Berschrift3"/>
        <w:rPr/>
      </w:pPr>
      <w:r>
        <w:rPr/>
        <w:t>[[@BibleTOBIBLE:Ps 19]]Kapitel 19</w:t>
      </w:r>
    </w:p>
    <w:p>
      <w:pPr>
        <w:pStyle w:val="Textkrper"/>
        <w:rPr/>
      </w:pPr>
      <w:r>
        <w:rPr/>
        <w:br/>
        <w:t>[[@BibleTOBIBLE:Ps 19:1]]</w:t>
      </w:r>
      <w:r>
        <w:rPr>
          <w:b/>
        </w:rPr>
        <w:t>1</w:t>
      </w:r>
      <w:r>
        <w:rPr/>
        <w:t xml:space="preserve"> {{field-on:bible}} </w:t>
      </w:r>
      <w:r>
        <w:rPr>
          <w:rStyle w:val="Funotenanker"/>
        </w:rPr>
        <w:footnoteReference w:customMarkFollows="1" w:id="710"/>
        <w:t>Status</w:t>
      </w:r>
      <w:r>
        <w:rPr/>
        <w:t xml:space="preserve"> Für den Chorleiter </w:t>
      </w:r>
      <w:r>
        <w:rPr>
          <w:color w:val="808080"/>
        </w:rPr>
        <w:t>(Dirigenten, Singenden, Musizierenden)</w:t>
      </w:r>
      <w:r>
        <w:rPr/>
        <w:t>.</w:t>
      </w:r>
      <w:r>
        <w:rPr>
          <w:rStyle w:val="Funotenanker"/>
        </w:rPr>
        <w:footnoteReference w:customMarkFollows="1" w:id="711"/>
        <w:t>a</w:t>
      </w:r>
      <w:r>
        <w:rPr/>
        <w:t xml:space="preserve"> Ein Psalm </w:t>
      </w:r>
      <w:r>
        <w:rPr>
          <w:color w:val="808080"/>
        </w:rPr>
        <w:t>(begleitetes Lied)</w:t>
      </w:r>
      <w:r>
        <w:rPr/>
        <w:t xml:space="preserve"> von </w:t>
      </w:r>
      <w:r>
        <w:rPr>
          <w:color w:val="808080"/>
        </w:rPr>
        <w:t>(für, über, nach Art von)</w:t>
      </w:r>
      <w:r>
        <w:rPr/>
        <w:t xml:space="preserve"> David.{{field-off:bible}} </w:t>
        <w:br/>
        <w:t>[[@BibleTOBIBLE:Ps 19:2]]</w:t>
      </w:r>
      <w:r>
        <w:rPr>
          <w:b/>
        </w:rPr>
        <w:t>2</w:t>
      </w:r>
      <w:r>
        <w:rPr/>
        <w:t xml:space="preserve"> {{field-on:bible}}Der Himmel verkündet</w:t>
      </w:r>
      <w:r>
        <w:rPr>
          <w:rStyle w:val="Funotenanker"/>
        </w:rPr>
        <w:footnoteReference w:customMarkFollows="1" w:id="712"/>
        <w:t>b</w:t>
      </w:r>
      <w:r>
        <w:rPr/>
        <w:t xml:space="preserve"> </w:t>
      </w:r>
      <w:r>
        <w:rPr>
          <w:color w:val="808080"/>
        </w:rPr>
        <w:t>(Die Himmel verkünden)</w:t>
      </w:r>
      <w:r>
        <w:rPr/>
        <w:t xml:space="preserve"> </w:t>
      </w:r>
      <w:r>
        <w:rPr>
          <w:rStyle w:val="Funotenanker"/>
        </w:rPr>
        <w:footnoteReference w:customMarkFollows="1" w:id="713"/>
        <w:t>c</w:t>
      </w:r>
      <w:r>
        <w:rPr/>
        <w:t xml:space="preserve"> die Herrlichkeit </w:t>
      </w:r>
      <w:r>
        <w:rPr>
          <w:color w:val="808080"/>
        </w:rPr>
        <w:t>(Lichtglanz, Glorie)</w:t>
      </w:r>
      <w:r>
        <w:rPr/>
        <w:t xml:space="preserve"> </w:t>
      </w:r>
      <w:r>
        <w:rPr>
          <w:rStyle w:val="Funotenanker"/>
        </w:rPr>
        <w:footnoteReference w:customMarkFollows="1" w:id="714"/>
        <w:t>d</w:t>
      </w:r>
      <w:r>
        <w:rPr/>
        <w:t xml:space="preserve"> Gottes„ und das Walten </w:t>
      </w:r>
      <w:r>
        <w:rPr>
          <w:color w:val="808080"/>
        </w:rPr>
        <w:t>(Werk)</w:t>
      </w:r>
      <w:r>
        <w:rPr/>
        <w:t xml:space="preserve"> </w:t>
      </w:r>
      <w:r>
        <w:rPr>
          <w:rStyle w:val="Funotenanker"/>
        </w:rPr>
        <w:footnoteReference w:customMarkFollows="1" w:id="715"/>
        <w:t>e</w:t>
      </w:r>
      <w:r>
        <w:rPr/>
        <w:t xml:space="preserve"> seiner Hände </w:t>
      </w:r>
      <w:r>
        <w:rPr>
          <w:color w:val="808080"/>
        </w:rPr>
        <w:t>(sein Walten)</w:t>
      </w:r>
      <w:r>
        <w:rPr/>
        <w:t xml:space="preserve"> </w:t>
      </w:r>
      <w:r>
        <w:rPr>
          <w:rStyle w:val="Funotenanker"/>
        </w:rPr>
        <w:footnoteReference w:customMarkFollows="1" w:id="716"/>
        <w:t>f</w:t>
      </w:r>
      <w:r>
        <w:rPr/>
        <w:t xml:space="preserve"> macht kund das Firmament </w:t>
      </w:r>
      <w:r>
        <w:rPr>
          <w:color w:val="808080"/>
        </w:rPr>
        <w:t>(Himmelsgewölbe)</w:t>
      </w:r>
      <w:r>
        <w:rPr/>
        <w:t xml:space="preserve"> </w:t>
      </w:r>
      <w:r>
        <w:rPr>
          <w:rStyle w:val="Funotenanker"/>
        </w:rPr>
        <w:footnoteReference w:customMarkFollows="1" w:id="717"/>
        <w:t>g</w:t>
      </w:r>
      <w:r>
        <w:rPr/>
        <w:t xml:space="preserve">:“{{field-off:bible}} </w:t>
        <w:br/>
        <w:t>[[@BibleTOBIBLE:Ps 19:3]]</w:t>
      </w:r>
      <w:r>
        <w:rPr>
          <w:b/>
        </w:rPr>
        <w:t>3</w:t>
      </w:r>
      <w:r>
        <w:rPr/>
        <w:t xml:space="preserve"> {{field-on:bible}}Tag für Tag äußert es </w:t>
      </w:r>
      <w:r>
        <w:rPr>
          <w:color w:val="808080"/>
        </w:rPr>
        <w:t>(strahlt es hervor, sprudelt es hervor?)</w:t>
      </w:r>
      <w:r>
        <w:rPr/>
        <w:t xml:space="preserve"> </w:t>
      </w:r>
      <w:r>
        <w:rPr>
          <w:rStyle w:val="Funotenanker"/>
        </w:rPr>
        <w:footnoteReference w:customMarkFollows="1" w:id="718"/>
        <w:t>h</w:t>
      </w:r>
      <w:r>
        <w:rPr/>
        <w:t xml:space="preserve"> Rede </w:t>
      </w:r>
      <w:r>
        <w:rPr>
          <w:color w:val="808080"/>
        </w:rPr>
        <w:t xml:space="preserve">(Ein Tag äußert gegenüber </w:t>
      </w:r>
      <w:r>
        <w:rPr>
          <w:b/>
          <w:color w:val="808080"/>
        </w:rPr>
        <w:t>[</w:t>
      </w:r>
      <w:r>
        <w:rPr>
          <w:color w:val="808080"/>
        </w:rPr>
        <w:t>dem nächsten</w:t>
      </w:r>
      <w:r>
        <w:rPr>
          <w:b/>
          <w:color w:val="808080"/>
        </w:rPr>
        <w:t>]</w:t>
      </w:r>
      <w:r>
        <w:rPr>
          <w:color w:val="808080"/>
        </w:rPr>
        <w:t xml:space="preserve"> Tag Rede, Tag für Tag äußert man?)</w:t>
      </w:r>
      <w:r>
        <w:rPr/>
        <w:t xml:space="preserve"> </w:t>
      </w:r>
      <w:r>
        <w:rPr>
          <w:rStyle w:val="Funotenanker"/>
        </w:rPr>
        <w:footnoteReference w:customMarkFollows="1" w:id="719"/>
        <w:t>i</w:t>
      </w:r>
      <w:r>
        <w:rPr/>
        <w:t xml:space="preserve">,„ Nacht für Nacht lehrt es Kenntnis </w:t>
      </w:r>
      <w:r>
        <w:rPr>
          <w:color w:val="808080"/>
        </w:rPr>
        <w:t xml:space="preserve">(Wissen, Weisheit; eine Nacht lehrt </w:t>
      </w:r>
      <w:r>
        <w:rPr>
          <w:b/>
          <w:color w:val="808080"/>
        </w:rPr>
        <w:t>[</w:t>
      </w:r>
      <w:r>
        <w:rPr>
          <w:color w:val="808080"/>
        </w:rPr>
        <w:t>der nächsten</w:t>
      </w:r>
      <w:r>
        <w:rPr>
          <w:b/>
          <w:color w:val="808080"/>
        </w:rPr>
        <w:t>]</w:t>
      </w:r>
      <w:r>
        <w:rPr>
          <w:color w:val="808080"/>
        </w:rPr>
        <w:t xml:space="preserve"> Nacht Kenntnis, Nacht für Nacht lehrt man Kenntnis?</w:t>
      </w:r>
      <w:r>
        <w:rPr/>
        <w:t xml:space="preserve"> </w:t>
      </w:r>
      <w:r>
        <w:rPr>
          <w:rStyle w:val="Funotenanker"/>
        </w:rPr>
        <w:footnoteReference w:customMarkFollows="1" w:id="720"/>
        <w:t>j</w:t>
      </w:r>
      <w:r>
        <w:rPr/>
        <w:t xml:space="preserve"> </w:t>
      </w:r>
      <w:r>
        <w:rPr>
          <w:color w:val="808080"/>
        </w:rPr>
        <w:t>)</w:t>
      </w:r>
      <w:r>
        <w:rPr/>
        <w:t xml:space="preserve">.“{{field-off:bible}} </w:t>
        <w:br/>
        <w:t>[[@BibleTOBIBLE:Ps 19:4]]</w:t>
      </w:r>
      <w:r>
        <w:rPr>
          <w:b/>
        </w:rPr>
        <w:t>4</w:t>
      </w:r>
      <w:r>
        <w:rPr/>
        <w:t xml:space="preserve"> {{field-on:bible}}Nicht </w:t>
      </w:r>
      <w:r>
        <w:rPr>
          <w:b/>
          <w:color w:val="808080"/>
        </w:rPr>
        <w:t>[</w:t>
      </w:r>
      <w:r>
        <w:rPr/>
        <w:t>ist es eine</w:t>
      </w:r>
      <w:r>
        <w:rPr>
          <w:b/>
          <w:color w:val="808080"/>
        </w:rPr>
        <w:t>]</w:t>
      </w:r>
      <w:r>
        <w:rPr/>
        <w:t xml:space="preserve"> Rede </w:t>
      </w:r>
      <w:r>
        <w:rPr>
          <w:b/>
          <w:color w:val="808080"/>
        </w:rPr>
        <w:t>[</w:t>
      </w:r>
      <w:r>
        <w:rPr/>
        <w:t>und</w:t>
      </w:r>
      <w:r>
        <w:rPr>
          <w:b/>
          <w:color w:val="808080"/>
        </w:rPr>
        <w:t>]</w:t>
      </w:r>
      <w:r>
        <w:rPr/>
        <w:t xml:space="preserve"> nicht </w:t>
      </w:r>
      <w:r>
        <w:rPr>
          <w:b/>
          <w:color w:val="808080"/>
        </w:rPr>
        <w:t>[</w:t>
      </w:r>
      <w:r>
        <w:rPr/>
        <w:t>sind es</w:t>
      </w:r>
      <w:r>
        <w:rPr>
          <w:b/>
          <w:color w:val="808080"/>
        </w:rPr>
        <w:t>]</w:t>
      </w:r>
      <w:r>
        <w:rPr/>
        <w:t xml:space="preserve"> Worte,„ </w:t>
      </w:r>
      <w:r>
        <w:rPr>
          <w:b/>
          <w:color w:val="808080"/>
        </w:rPr>
        <w:t>[</w:t>
      </w:r>
      <w:r>
        <w:rPr/>
        <w:t>deren</w:t>
      </w:r>
      <w:r>
        <w:rPr>
          <w:b/>
          <w:color w:val="808080"/>
        </w:rPr>
        <w:t>]</w:t>
      </w:r>
      <w:r>
        <w:rPr/>
        <w:t xml:space="preserve"> Klang nicht gehört würde:</w:t>
      </w:r>
      <w:r>
        <w:rPr>
          <w:rStyle w:val="Funotenanker"/>
        </w:rPr>
        <w:footnoteReference w:customMarkFollows="1" w:id="721"/>
        <w:t>k</w:t>
      </w:r>
      <w:r>
        <w:rPr/>
        <w:t xml:space="preserve"> “{{field-off:bible}} </w:t>
        <w:br/>
        <w:t>[[@BibleTOBIBLE:Ps 19:5]]</w:t>
      </w:r>
      <w:r>
        <w:rPr>
          <w:b/>
        </w:rPr>
        <w:t>5</w:t>
      </w:r>
      <w:r>
        <w:rPr/>
        <w:t xml:space="preserve"> {{field-on:bible}}Ihr Klang </w:t>
      </w:r>
      <w:r>
        <w:rPr>
          <w:color w:val="808080"/>
        </w:rPr>
        <w:t>(Ihre Schnur?, Ihr Ruf?)</w:t>
      </w:r>
      <w:r>
        <w:rPr/>
        <w:t xml:space="preserve"> </w:t>
      </w:r>
      <w:r>
        <w:rPr>
          <w:rStyle w:val="Funotenanker"/>
        </w:rPr>
        <w:footnoteReference w:customMarkFollows="1" w:id="722"/>
        <w:t>l</w:t>
      </w:r>
      <w:r>
        <w:rPr/>
        <w:t xml:space="preserve"> geht aus über die ganze Erde„ und bis ans Ende der Welt </w:t>
      </w:r>
      <w:r>
        <w:rPr>
          <w:b/>
          <w:color w:val="808080"/>
        </w:rPr>
        <w:t>[</w:t>
      </w:r>
      <w:r>
        <w:rPr/>
        <w:t>geht aus</w:t>
      </w:r>
      <w:r>
        <w:rPr>
          <w:b/>
          <w:color w:val="808080"/>
        </w:rPr>
        <w:t>]</w:t>
      </w:r>
      <w:r>
        <w:rPr/>
        <w:t xml:space="preserve"> </w:t>
      </w:r>
      <w:r>
        <w:rPr>
          <w:rStyle w:val="Funotenanker"/>
        </w:rPr>
        <w:footnoteReference w:customMarkFollows="1" w:id="723"/>
        <w:t>m</w:t>
      </w:r>
      <w:r>
        <w:rPr/>
        <w:t xml:space="preserve"> ihr Reden.“Der Sonne </w:t>
      </w:r>
      <w:r>
        <w:rPr>
          <w:color w:val="808080"/>
        </w:rPr>
        <w:t>(dem Sonnenball)</w:t>
      </w:r>
      <w:r>
        <w:rPr/>
        <w:t xml:space="preserve"> </w:t>
      </w:r>
      <w:r>
        <w:rPr>
          <w:rStyle w:val="Funotenanker"/>
        </w:rPr>
        <w:footnoteReference w:customMarkFollows="1" w:id="724"/>
        <w:t>n</w:t>
      </w:r>
      <w:r>
        <w:rPr/>
        <w:t xml:space="preserve"> hat er gebaut </w:t>
      </w:r>
      <w:r>
        <w:rPr>
          <w:color w:val="808080"/>
        </w:rPr>
        <w:t>(</w:t>
      </w:r>
      <w:r>
        <w:rPr>
          <w:b/>
          <w:color w:val="808080"/>
        </w:rPr>
        <w:t>[</w:t>
      </w:r>
      <w:r>
        <w:rPr>
          <w:color w:val="808080"/>
        </w:rPr>
        <w:t>ist (gehört)</w:t>
      </w:r>
      <w:r>
        <w:rPr>
          <w:b/>
          <w:color w:val="808080"/>
        </w:rPr>
        <w:t>]</w:t>
      </w:r>
      <w:r>
        <w:rPr>
          <w:color w:val="808080"/>
        </w:rPr>
        <w:t xml:space="preserve"> dort)</w:t>
      </w:r>
      <w:r>
        <w:rPr/>
        <w:t xml:space="preserve"> </w:t>
      </w:r>
      <w:r>
        <w:rPr>
          <w:rStyle w:val="Funotenanker"/>
        </w:rPr>
        <w:footnoteReference w:customMarkFollows="1" w:id="725"/>
        <w:t>o</w:t>
      </w:r>
      <w:r>
        <w:rPr/>
        <w:t xml:space="preserve"> ein Zelt aus </w:t>
      </w:r>
      <w:r>
        <w:rPr>
          <w:color w:val="808080"/>
        </w:rPr>
        <w:t>(an)</w:t>
      </w:r>
      <w:r>
        <w:rPr/>
        <w:t xml:space="preserve"> ihm</w:t>
      </w:r>
      <w:r>
        <w:rPr>
          <w:rStyle w:val="Funotenanker"/>
        </w:rPr>
        <w:footnoteReference w:customMarkFollows="1" w:id="726"/>
        <w:t>p</w:t>
      </w:r>
      <w:r>
        <w:rPr/>
        <w:t xml:space="preserve">.{{field-off:bible}} </w:t>
        <w:br/>
        <w:t>[[@BibleTOBIBLE:Ps 19:6]]</w:t>
      </w:r>
      <w:r>
        <w:rPr>
          <w:b/>
        </w:rPr>
        <w:t>6</w:t>
      </w:r>
      <w:r>
        <w:rPr/>
        <w:t xml:space="preserve"> {{field-on:bible}}Und sie </w:t>
      </w:r>
      <w:r>
        <w:rPr>
          <w:b/>
          <w:color w:val="808080"/>
        </w:rPr>
        <w:t>[</w:t>
      </w:r>
      <w:r>
        <w:rPr/>
        <w:t>ist</w:t>
      </w:r>
      <w:r>
        <w:rPr>
          <w:b/>
          <w:color w:val="808080"/>
        </w:rPr>
        <w:t>]</w:t>
      </w:r>
      <w:r>
        <w:rPr/>
        <w:t xml:space="preserve"> wie ein Bräutigam, </w:t>
      </w:r>
      <w:r>
        <w:rPr>
          <w:b/>
          <w:color w:val="808080"/>
        </w:rPr>
        <w:t>[</w:t>
      </w:r>
      <w:r>
        <w:rPr/>
        <w:t>der</w:t>
      </w:r>
      <w:r>
        <w:rPr>
          <w:b/>
          <w:color w:val="808080"/>
        </w:rPr>
        <w:t>]</w:t>
      </w:r>
      <w:r>
        <w:rPr/>
        <w:t xml:space="preserve"> ausgeht</w:t>
      </w:r>
      <w:r>
        <w:rPr>
          <w:rStyle w:val="Funotenanker"/>
        </w:rPr>
        <w:footnoteReference w:customMarkFollows="1" w:id="727"/>
        <w:t>q</w:t>
      </w:r>
      <w:r>
        <w:rPr/>
        <w:t xml:space="preserve"> aus seinem Brautzelt </w:t>
      </w:r>
      <w:r>
        <w:rPr>
          <w:color w:val="808080"/>
        </w:rPr>
        <w:t>(Zelt)</w:t>
      </w:r>
      <w:r>
        <w:rPr/>
        <w:t xml:space="preserve"> </w:t>
      </w:r>
      <w:r>
        <w:rPr>
          <w:rStyle w:val="Funotenanker"/>
        </w:rPr>
        <w:footnoteReference w:customMarkFollows="1" w:id="728"/>
        <w:t>r</w:t>
      </w:r>
      <w:r>
        <w:rPr/>
        <w:t xml:space="preserve">,„ sie freut sich wie ein Held </w:t>
      </w:r>
      <w:r>
        <w:rPr>
          <w:b/>
          <w:color w:val="808080"/>
        </w:rPr>
        <w:t>[</w:t>
      </w:r>
      <w:r>
        <w:rPr/>
        <w:t xml:space="preserve">darüber </w:t>
      </w:r>
      <w:r>
        <w:rPr>
          <w:color w:val="808080"/>
        </w:rPr>
        <w:t>(sich darüber freut)</w:t>
      </w:r>
      <w:r>
        <w:rPr>
          <w:b/>
          <w:color w:val="808080"/>
        </w:rPr>
        <w:t>]</w:t>
      </w:r>
      <w:r>
        <w:rPr/>
        <w:t>,</w:t>
      </w:r>
      <w:r>
        <w:rPr>
          <w:rStyle w:val="Funotenanker"/>
        </w:rPr>
        <w:footnoteReference w:customMarkFollows="1" w:id="729"/>
        <w:t>s</w:t>
      </w:r>
      <w:r>
        <w:rPr/>
        <w:t xml:space="preserve"> die Bahn zu durchlaufen.“{{field-off:bible}} </w:t>
        <w:br/>
        <w:t>[[@BibleTOBIBLE:Ps 19:7]]</w:t>
      </w:r>
      <w:r>
        <w:rPr>
          <w:b/>
        </w:rPr>
        <w:t>7</w:t>
      </w:r>
      <w:r>
        <w:rPr/>
        <w:t xml:space="preserve"> {{field-on:bible}}Am </w:t>
      </w:r>
      <w:r>
        <w:rPr>
          <w:b/>
          <w:color w:val="808080"/>
        </w:rPr>
        <w:t>[</w:t>
      </w:r>
      <w:r>
        <w:rPr/>
        <w:t>einen</w:t>
      </w:r>
      <w:r>
        <w:rPr>
          <w:b/>
          <w:color w:val="808080"/>
        </w:rPr>
        <w:t>]</w:t>
      </w:r>
      <w:r>
        <w:rPr/>
        <w:t xml:space="preserve"> Ende</w:t>
      </w:r>
      <w:r>
        <w:rPr>
          <w:rStyle w:val="Funotenanker"/>
        </w:rPr>
        <w:footnoteReference w:customMarkFollows="1" w:id="730"/>
        <w:t>t</w:t>
      </w:r>
      <w:r>
        <w:rPr/>
        <w:t xml:space="preserve"> des Himmels </w:t>
      </w:r>
      <w:r>
        <w:rPr>
          <w:color w:val="808080"/>
        </w:rPr>
        <w:t>(der Himmel</w:t>
      </w:r>
      <w:r>
        <w:rPr/>
        <w:t xml:space="preserve"> </w:t>
      </w:r>
      <w:r>
        <w:rPr>
          <w:rStyle w:val="Funotenanker"/>
        </w:rPr>
        <w:footnoteReference w:customMarkFollows="1" w:id="731"/>
        <w:t>u</w:t>
      </w:r>
      <w:r>
        <w:rPr/>
        <w:t xml:space="preserve"> </w:t>
      </w:r>
      <w:r>
        <w:rPr>
          <w:color w:val="808080"/>
        </w:rPr>
        <w:t>)</w:t>
      </w:r>
      <w:r>
        <w:rPr/>
        <w:t xml:space="preserve"> </w:t>
      </w:r>
      <w:r>
        <w:rPr>
          <w:b/>
          <w:color w:val="808080"/>
        </w:rPr>
        <w:t>[</w:t>
      </w:r>
      <w:r>
        <w:rPr/>
        <w:t>ist</w:t>
      </w:r>
      <w:r>
        <w:rPr>
          <w:b/>
          <w:color w:val="808080"/>
        </w:rPr>
        <w:t>]</w:t>
      </w:r>
      <w:r>
        <w:rPr/>
        <w:t xml:space="preserve"> ihr Ausgang„ und ihr Abgang </w:t>
      </w:r>
      <w:r>
        <w:rPr>
          <w:b/>
          <w:color w:val="808080"/>
        </w:rPr>
        <w:t>[</w:t>
      </w:r>
      <w:r>
        <w:rPr/>
        <w:t>ist</w:t>
      </w:r>
      <w:r>
        <w:rPr>
          <w:b/>
          <w:color w:val="808080"/>
        </w:rPr>
        <w:t>]</w:t>
      </w:r>
      <w:r>
        <w:rPr/>
        <w:t xml:space="preserve"> am </w:t>
      </w:r>
      <w:r>
        <w:rPr>
          <w:color w:val="808080"/>
        </w:rPr>
        <w:t xml:space="preserve">(ihr Wendekreis </w:t>
      </w:r>
      <w:r>
        <w:rPr>
          <w:b/>
          <w:color w:val="808080"/>
        </w:rPr>
        <w:t>[</w:t>
      </w:r>
      <w:r>
        <w:rPr>
          <w:color w:val="808080"/>
        </w:rPr>
        <w:t>ist (reicht)</w:t>
      </w:r>
      <w:r>
        <w:rPr>
          <w:b/>
          <w:color w:val="808080"/>
        </w:rPr>
        <w:t>]</w:t>
      </w:r>
      <w:r>
        <w:rPr>
          <w:color w:val="808080"/>
        </w:rPr>
        <w:t xml:space="preserve"> bis zum)</w:t>
      </w:r>
      <w:r>
        <w:rPr/>
        <w:t xml:space="preserve"> </w:t>
      </w:r>
      <w:r>
        <w:rPr>
          <w:b/>
          <w:color w:val="808080"/>
        </w:rPr>
        <w:t>[</w:t>
      </w:r>
      <w:r>
        <w:rPr/>
        <w:t>anderen</w:t>
      </w:r>
      <w:r>
        <w:rPr>
          <w:b/>
          <w:color w:val="808080"/>
        </w:rPr>
        <w:t>]</w:t>
      </w:r>
      <w:r>
        <w:rPr/>
        <w:t xml:space="preserve"> Ende, nichts ist vor ihrer Glut </w:t>
      </w:r>
      <w:r>
        <w:rPr>
          <w:color w:val="808080"/>
        </w:rPr>
        <w:t>(Hitze, seiner Sonne)</w:t>
      </w:r>
      <w:r>
        <w:rPr/>
        <w:t xml:space="preserve"> </w:t>
      </w:r>
      <w:r>
        <w:rPr>
          <w:rStyle w:val="Funotenanker"/>
        </w:rPr>
        <w:footnoteReference w:customMarkFollows="1" w:id="732"/>
        <w:t>v</w:t>
      </w:r>
      <w:r>
        <w:rPr/>
        <w:t xml:space="preserve"> verborgen.“{{field-off:bible}} </w:t>
        <w:br/>
        <w:t>[[@BibleTOBIBLE:Ps 19:8]]</w:t>
      </w:r>
      <w:r>
        <w:rPr>
          <w:b/>
        </w:rPr>
        <w:t>8</w:t>
      </w:r>
      <w:r>
        <w:rPr/>
        <w:t xml:space="preserve"> {{field-on:bible}}Das Gesetz</w:t>
      </w:r>
      <w:r>
        <w:rPr>
          <w:rStyle w:val="Funotenanker"/>
        </w:rPr>
        <w:footnoteReference w:customMarkFollows="1" w:id="733"/>
        <w:t>w</w:t>
      </w:r>
      <w:r>
        <w:rPr/>
        <w:t xml:space="preserve"> </w:t>
      </w:r>
      <w:r>
        <w:rPr>
          <w:smallCaps/>
          <w:color w:val="FF0000"/>
        </w:rPr>
        <w:t>JHWH</w:t>
      </w:r>
      <w:r>
        <w:rPr/>
        <w:t xml:space="preserve">s </w:t>
      </w:r>
      <w:r>
        <w:rPr>
          <w:b/>
          <w:color w:val="808080"/>
        </w:rPr>
        <w:t>[</w:t>
      </w:r>
      <w:r>
        <w:rPr/>
        <w:t>ist</w:t>
      </w:r>
      <w:r>
        <w:rPr>
          <w:b/>
          <w:color w:val="808080"/>
        </w:rPr>
        <w:t>]</w:t>
      </w:r>
      <w:r>
        <w:rPr/>
        <w:t xml:space="preserve"> vollkommen </w:t>
      </w:r>
      <w:r>
        <w:rPr>
          <w:color w:val="808080"/>
        </w:rPr>
        <w:t>(makellos)</w:t>
      </w:r>
      <w:r>
        <w:rPr/>
        <w:t xml:space="preserve"> -</w:t>
      </w:r>
      <w:r>
        <w:rPr>
          <w:rStyle w:val="Funotenanker"/>
        </w:rPr>
        <w:footnoteReference w:customMarkFollows="1" w:id="734"/>
        <w:t>x</w:t>
      </w:r>
      <w:r>
        <w:rPr/>
        <w:t xml:space="preserve"> bringt zurück Lebenskraft </w:t>
      </w:r>
      <w:r>
        <w:rPr>
          <w:color w:val="808080"/>
        </w:rPr>
        <w:t xml:space="preserve">(gibt neue Lebenskraft, bekehrt </w:t>
      </w:r>
      <w:r>
        <w:rPr>
          <w:strike/>
          <w:color w:val="808080"/>
        </w:rPr>
        <w:t>{die Seele}</w:t>
      </w:r>
      <w:r>
        <w:rPr>
          <w:color w:val="808080"/>
        </w:rPr>
        <w:t>)</w:t>
      </w:r>
      <w:r>
        <w:rPr/>
        <w:t xml:space="preserve"> </w:t>
      </w:r>
      <w:r>
        <w:rPr>
          <w:rStyle w:val="Funotenanker"/>
        </w:rPr>
        <w:footnoteReference w:customMarkFollows="1" w:id="735"/>
        <w:t>y</w:t>
      </w:r>
      <w:r>
        <w:rPr/>
        <w:t xml:space="preserve">; Die Satzung </w:t>
      </w:r>
      <w:r>
        <w:rPr>
          <w:smallCaps/>
          <w:color w:val="FF0000"/>
        </w:rPr>
        <w:t>JHWH</w:t>
      </w:r>
      <w:r>
        <w:rPr/>
        <w:t xml:space="preserve">s </w:t>
      </w:r>
      <w:r>
        <w:rPr>
          <w:b/>
          <w:color w:val="808080"/>
        </w:rPr>
        <w:t>[</w:t>
      </w:r>
      <w:r>
        <w:rPr/>
        <w:t>ist</w:t>
      </w:r>
      <w:r>
        <w:rPr>
          <w:b/>
          <w:color w:val="808080"/>
        </w:rPr>
        <w:t>]</w:t>
      </w:r>
      <w:r>
        <w:rPr/>
        <w:t xml:space="preserve"> zuverlässig </w:t>
      </w:r>
      <w:r>
        <w:rPr>
          <w:color w:val="808080"/>
        </w:rPr>
        <w:t>(glaubwürdig)</w:t>
      </w:r>
      <w:r>
        <w:rPr/>
        <w:t xml:space="preserve"> - macht den Einfältigen weise.{{field-off:bible}} </w:t>
        <w:br/>
        <w:t>[[@BibleTOBIBLE:Ps 19:9]]</w:t>
      </w:r>
      <w:r>
        <w:rPr>
          <w:b/>
        </w:rPr>
        <w:t>9</w:t>
      </w:r>
      <w:r>
        <w:rPr/>
        <w:t xml:space="preserve"> {{field-on:bible}}Die Weisungen </w:t>
      </w:r>
      <w:r>
        <w:rPr>
          <w:smallCaps/>
          <w:color w:val="FF0000"/>
        </w:rPr>
        <w:t>JHWH</w:t>
      </w:r>
      <w:r>
        <w:rPr/>
        <w:t xml:space="preserve">s </w:t>
      </w:r>
      <w:r>
        <w:rPr>
          <w:b/>
          <w:color w:val="808080"/>
        </w:rPr>
        <w:t>[</w:t>
      </w:r>
      <w:r>
        <w:rPr/>
        <w:t>sind</w:t>
      </w:r>
      <w:r>
        <w:rPr>
          <w:b/>
          <w:color w:val="808080"/>
        </w:rPr>
        <w:t>]</w:t>
      </w:r>
      <w:r>
        <w:rPr/>
        <w:t xml:space="preserve"> richtig </w:t>
      </w:r>
      <w:r>
        <w:rPr>
          <w:color w:val="808080"/>
        </w:rPr>
        <w:t>(die richtigen, angenehm)</w:t>
      </w:r>
      <w:r>
        <w:rPr/>
        <w:t xml:space="preserve"> - erfreuen das Herz </w:t>
      </w:r>
      <w:r>
        <w:rPr>
          <w:color w:val="808080"/>
        </w:rPr>
        <w:t xml:space="preserve">(erfreuen </w:t>
      </w:r>
      <w:r>
        <w:rPr>
          <w:strike/>
          <w:color w:val="808080"/>
        </w:rPr>
        <w:t>{das Herz}</w:t>
      </w:r>
      <w:r>
        <w:rPr>
          <w:color w:val="808080"/>
        </w:rPr>
        <w:t>, erhellen den Geist)</w:t>
      </w:r>
      <w:r>
        <w:rPr/>
        <w:t xml:space="preserve"> </w:t>
      </w:r>
      <w:r>
        <w:rPr>
          <w:rStyle w:val="Funotenanker"/>
        </w:rPr>
        <w:footnoteReference w:customMarkFollows="1" w:id="736"/>
        <w:t>z</w:t>
      </w:r>
      <w:r>
        <w:rPr/>
        <w:t xml:space="preserve">, Das Gebot </w:t>
      </w:r>
      <w:r>
        <w:rPr>
          <w:smallCaps/>
          <w:color w:val="FF0000"/>
        </w:rPr>
        <w:t>JHWH</w:t>
      </w:r>
      <w:r>
        <w:rPr/>
        <w:t xml:space="preserve">s </w:t>
      </w:r>
      <w:r>
        <w:rPr>
          <w:b/>
          <w:color w:val="808080"/>
        </w:rPr>
        <w:t>[</w:t>
      </w:r>
      <w:r>
        <w:rPr/>
        <w:t>ist</w:t>
      </w:r>
      <w:r>
        <w:rPr>
          <w:b/>
          <w:color w:val="808080"/>
        </w:rPr>
        <w:t>]</w:t>
      </w:r>
      <w:r>
        <w:rPr/>
        <w:t xml:space="preserve"> lauter </w:t>
      </w:r>
      <w:r>
        <w:rPr>
          <w:color w:val="808080"/>
        </w:rPr>
        <w:t>(licht)</w:t>
      </w:r>
      <w:r>
        <w:rPr/>
        <w:t xml:space="preserve"> </w:t>
      </w:r>
      <w:r>
        <w:rPr>
          <w:rStyle w:val="Funotenanker"/>
        </w:rPr>
        <w:footnoteReference w:customMarkFollows="1" w:id="737"/>
        <w:t>aa</w:t>
      </w:r>
      <w:r>
        <w:rPr/>
        <w:t xml:space="preserve"> - macht die Augen hell</w:t>
      </w:r>
      <w:r>
        <w:rPr>
          <w:rStyle w:val="Funotenanker"/>
        </w:rPr>
        <w:footnoteReference w:customMarkFollows="1" w:id="738"/>
        <w:t>ab</w:t>
      </w:r>
      <w:r>
        <w:rPr/>
        <w:t xml:space="preserve">.{{field-off:bible}} </w:t>
        <w:br/>
        <w:t>[[@BibleTOBIBLE:Ps 19:10]]</w:t>
      </w:r>
      <w:r>
        <w:rPr>
          <w:b/>
        </w:rPr>
        <w:t>10</w:t>
      </w:r>
      <w:r>
        <w:rPr/>
        <w:t xml:space="preserve"> {{field-on:bible}}Das Wort </w:t>
      </w:r>
      <w:r>
        <w:rPr>
          <w:smallCaps/>
          <w:color w:val="FF0000"/>
        </w:rPr>
        <w:t>JHWH</w:t>
      </w:r>
      <w:r>
        <w:rPr/>
        <w:t xml:space="preserve">s </w:t>
      </w:r>
      <w:r>
        <w:rPr>
          <w:color w:val="808080"/>
        </w:rPr>
        <w:t xml:space="preserve">(die Furcht vor </w:t>
      </w:r>
      <w:r>
        <w:rPr>
          <w:smallCaps/>
          <w:color w:val="FF0000"/>
        </w:rPr>
        <w:t>JHWH</w:t>
      </w:r>
      <w:r>
        <w:rPr>
          <w:color w:val="808080"/>
        </w:rPr>
        <w:t>, die JHWH-Religion?)</w:t>
      </w:r>
      <w:r>
        <w:rPr/>
        <w:t xml:space="preserve"> </w:t>
      </w:r>
      <w:r>
        <w:rPr>
          <w:rStyle w:val="Funotenanker"/>
        </w:rPr>
        <w:footnoteReference w:customMarkFollows="1" w:id="739"/>
        <w:t>ac</w:t>
      </w:r>
      <w:r>
        <w:rPr/>
        <w:t xml:space="preserve"> </w:t>
      </w:r>
      <w:r>
        <w:rPr>
          <w:b/>
          <w:color w:val="808080"/>
        </w:rPr>
        <w:t>[</w:t>
      </w:r>
      <w:r>
        <w:rPr/>
        <w:t>ist</w:t>
      </w:r>
      <w:r>
        <w:rPr>
          <w:b/>
          <w:color w:val="808080"/>
        </w:rPr>
        <w:t>]</w:t>
      </w:r>
      <w:r>
        <w:rPr/>
        <w:t xml:space="preserve"> rein </w:t>
      </w:r>
      <w:r>
        <w:rPr>
          <w:color w:val="808080"/>
        </w:rPr>
        <w:t>(leuchtend)</w:t>
      </w:r>
      <w:r>
        <w:rPr/>
        <w:t xml:space="preserve"> </w:t>
      </w:r>
      <w:r>
        <w:rPr>
          <w:rStyle w:val="Funotenanker"/>
        </w:rPr>
        <w:footnoteReference w:customMarkFollows="1" w:id="740"/>
        <w:t>ad</w:t>
      </w:r>
      <w:r>
        <w:rPr/>
        <w:t xml:space="preserve"> - besteht in Ewigkeit, Die Rechtssätze </w:t>
      </w:r>
      <w:r>
        <w:rPr>
          <w:smallCaps/>
          <w:color w:val="FF0000"/>
        </w:rPr>
        <w:t>JHWH</w:t>
      </w:r>
      <w:r>
        <w:rPr/>
        <w:t xml:space="preserve">s </w:t>
      </w:r>
      <w:r>
        <w:rPr>
          <w:b/>
          <w:color w:val="808080"/>
        </w:rPr>
        <w:t>[</w:t>
      </w:r>
      <w:r>
        <w:rPr/>
        <w:t>sind</w:t>
      </w:r>
      <w:r>
        <w:rPr>
          <w:b/>
          <w:color w:val="808080"/>
        </w:rPr>
        <w:t>]</w:t>
      </w:r>
      <w:r>
        <w:rPr/>
        <w:t xml:space="preserve"> Wahrheit </w:t>
      </w:r>
      <w:r>
        <w:rPr>
          <w:color w:val="808080"/>
        </w:rPr>
        <w:t>(wahr, die wahren)</w:t>
      </w:r>
      <w:r>
        <w:rPr/>
        <w:t xml:space="preserve"> </w:t>
      </w:r>
      <w:r>
        <w:rPr>
          <w:rStyle w:val="Funotenanker"/>
        </w:rPr>
        <w:footnoteReference w:customMarkFollows="1" w:id="741"/>
        <w:t>ae</w:t>
      </w:r>
      <w:r>
        <w:rPr/>
        <w:t xml:space="preserve"> - sind gerecht </w:t>
      </w:r>
      <w:r>
        <w:rPr>
          <w:color w:val="808080"/>
        </w:rPr>
        <w:t>(im Recht, die rechten)</w:t>
      </w:r>
      <w:r>
        <w:rPr/>
        <w:t xml:space="preserve"> allesamt </w:t>
      </w:r>
      <w:r>
        <w:rPr>
          <w:color w:val="808080"/>
        </w:rPr>
        <w:t>(und noch dazu sind sie gerecht)</w:t>
      </w:r>
      <w:r>
        <w:rPr/>
        <w:t xml:space="preserve">.{{field-off:bible}} </w:t>
        <w:br/>
        <w:t>[[@BibleTOBIBLE:Ps 19:11]]</w:t>
      </w:r>
      <w:r>
        <w:rPr>
          <w:b/>
        </w:rPr>
        <w:t>11</w:t>
      </w:r>
      <w:r>
        <w:rPr/>
        <w:t xml:space="preserve"> {{field-on:bible}} </w:t>
      </w:r>
      <w:r>
        <w:rPr>
          <w:b/>
          <w:color w:val="808080"/>
        </w:rPr>
        <w:t>[</w:t>
      </w:r>
      <w:r>
        <w:rPr/>
        <w:t>Durch</w:t>
      </w:r>
      <w:r>
        <w:rPr>
          <w:b/>
          <w:color w:val="808080"/>
        </w:rPr>
        <w:t>]</w:t>
      </w:r>
      <w:r>
        <w:rPr/>
        <w:t xml:space="preserve"> </w:t>
      </w:r>
      <w:r>
        <w:rPr>
          <w:rStyle w:val="Funotenanker"/>
        </w:rPr>
        <w:footnoteReference w:customMarkFollows="1" w:id="742"/>
        <w:t>af</w:t>
      </w:r>
      <w:r>
        <w:rPr/>
        <w:t xml:space="preserve"> sie, die begehrenswerter sind als Gold,„ ja, als </w:t>
      </w:r>
      <w:r>
        <w:rPr>
          <w:color w:val="808080"/>
        </w:rPr>
        <w:t>(und als)</w:t>
      </w:r>
      <w:r>
        <w:rPr/>
        <w:t xml:space="preserve"> reichlich Reingold,“und süßer als Honig„ ja, </w:t>
      </w:r>
      <w:r>
        <w:rPr>
          <w:color w:val="808080"/>
        </w:rPr>
        <w:t>(und)</w:t>
      </w:r>
      <w:r>
        <w:rPr/>
        <w:t xml:space="preserve"> </w:t>
      </w:r>
      <w:r>
        <w:rPr>
          <w:b/>
          <w:color w:val="808080"/>
        </w:rPr>
        <w:t>[</w:t>
      </w:r>
      <w:r>
        <w:rPr/>
        <w:t>als</w:t>
      </w:r>
      <w:r>
        <w:rPr>
          <w:b/>
          <w:color w:val="808080"/>
        </w:rPr>
        <w:t>]</w:t>
      </w:r>
      <w:r>
        <w:rPr/>
        <w:t xml:space="preserve"> Honig des Honigs</w:t>
      </w:r>
      <w:r>
        <w:rPr>
          <w:rStyle w:val="Funotenanker"/>
        </w:rPr>
        <w:footnoteReference w:customMarkFollows="1" w:id="743"/>
        <w:t>ag</w:t>
      </w:r>
      <w:r>
        <w:rPr/>
        <w:t xml:space="preserve">,“{{field-off:bible}} </w:t>
        <w:br/>
        <w:t>[[@BibleTOBIBLE:Ps 19:12]]</w:t>
      </w:r>
      <w:r>
        <w:rPr>
          <w:b/>
        </w:rPr>
        <w:t>12</w:t>
      </w:r>
      <w:r>
        <w:rPr/>
        <w:t xml:space="preserve"> {{field-on:bible}}wird auch</w:t>
      </w:r>
      <w:r>
        <w:rPr>
          <w:rStyle w:val="Funotenanker"/>
        </w:rPr>
        <w:footnoteReference w:customMarkFollows="1" w:id="744"/>
        <w:t>ah</w:t>
      </w:r>
      <w:r>
        <w:rPr/>
        <w:t xml:space="preserve"> dein Sklave</w:t>
      </w:r>
      <w:r>
        <w:rPr>
          <w:rStyle w:val="Funotenanker"/>
        </w:rPr>
        <w:footnoteReference w:customMarkFollows="1" w:id="745"/>
        <w:t>ai</w:t>
      </w:r>
      <w:r>
        <w:rPr/>
        <w:t xml:space="preserve"> gewarnt </w:t>
      </w:r>
      <w:r>
        <w:rPr>
          <w:color w:val="808080"/>
        </w:rPr>
        <w:t>(erleuchtet)</w:t>
      </w:r>
      <w:r>
        <w:rPr/>
        <w:t xml:space="preserve"> </w:t>
      </w:r>
      <w:r>
        <w:rPr>
          <w:rStyle w:val="Funotenanker"/>
        </w:rPr>
        <w:footnoteReference w:customMarkFollows="1" w:id="746"/>
        <w:t>aj</w:t>
      </w:r>
      <w:r>
        <w:rPr/>
        <w:t xml:space="preserve"> </w:t>
      </w:r>
      <w:r>
        <w:rPr>
          <w:strike/>
          <w:color w:val="808080"/>
        </w:rPr>
        <w:t>{durch sie}</w:t>
      </w:r>
      <w:r>
        <w:rPr/>
        <w:t xml:space="preserve">.„ In ihrer Befolgung </w:t>
      </w:r>
      <w:r>
        <w:rPr>
          <w:b/>
          <w:color w:val="808080"/>
        </w:rPr>
        <w:t>[</w:t>
      </w:r>
      <w:r>
        <w:rPr/>
        <w:t xml:space="preserve">ist </w:t>
      </w:r>
      <w:r>
        <w:rPr>
          <w:color w:val="808080"/>
        </w:rPr>
        <w:t>(liegt)</w:t>
      </w:r>
      <w:r>
        <w:rPr>
          <w:b/>
          <w:color w:val="808080"/>
        </w:rPr>
        <w:t>]</w:t>
      </w:r>
      <w:r>
        <w:rPr/>
        <w:t xml:space="preserve"> reichlich Lohn</w:t>
      </w:r>
      <w:r>
        <w:rPr>
          <w:rStyle w:val="Funotenanker"/>
        </w:rPr>
        <w:footnoteReference w:customMarkFollows="1" w:id="747"/>
        <w:t>ak</w:t>
      </w:r>
      <w:r>
        <w:rPr/>
        <w:t xml:space="preserve">.“{{field-off:bible}} </w:t>
        <w:br/>
        <w:t>[[@BibleTOBIBLE:Ps 19:13]]</w:t>
      </w:r>
      <w:r>
        <w:rPr>
          <w:b/>
        </w:rPr>
        <w:t>13</w:t>
      </w:r>
      <w:r>
        <w:rPr/>
        <w:t xml:space="preserve"> {{field-on:bible}} </w:t>
      </w:r>
      <w:r>
        <w:rPr>
          <w:b/>
          <w:color w:val="808080"/>
        </w:rPr>
        <w:t>[</w:t>
      </w:r>
      <w:r>
        <w:rPr/>
        <w:t>Doch</w:t>
      </w:r>
      <w:r>
        <w:rPr>
          <w:b/>
          <w:color w:val="808080"/>
        </w:rPr>
        <w:t>]</w:t>
      </w:r>
      <w:r>
        <w:rPr/>
        <w:t xml:space="preserve"> </w:t>
      </w:r>
      <w:r>
        <w:rPr>
          <w:rStyle w:val="Funotenanker"/>
        </w:rPr>
        <w:footnoteReference w:customMarkFollows="1" w:id="748"/>
        <w:t>al</w:t>
      </w:r>
      <w:r>
        <w:rPr/>
        <w:t xml:space="preserve"> Versehen </w:t>
      </w:r>
      <w:r>
        <w:rPr>
          <w:color w:val="808080"/>
        </w:rPr>
        <w:t>(versehentliche Fehler)</w:t>
      </w:r>
      <w:r>
        <w:rPr/>
        <w:t xml:space="preserve"> </w:t>
      </w:r>
      <w:r>
        <w:rPr>
          <w:rStyle w:val="Funotenanker"/>
        </w:rPr>
        <w:footnoteReference w:customMarkFollows="1" w:id="749"/>
        <w:t>am</w:t>
      </w:r>
      <w:r>
        <w:rPr/>
        <w:t xml:space="preserve"> - wer bemerkt sie</w:t>
      </w:r>
      <w:r>
        <w:rPr>
          <w:rStyle w:val="Funotenanker"/>
        </w:rPr>
        <w:footnoteReference w:customMarkFollows="1" w:id="750"/>
        <w:t>an</w:t>
      </w:r>
      <w:r>
        <w:rPr/>
        <w:t xml:space="preserve">?„ Von den Verborgenen </w:t>
      </w:r>
      <w:r>
        <w:rPr>
          <w:color w:val="808080"/>
        </w:rPr>
        <w:t>(ungewollte Sünden)</w:t>
      </w:r>
      <w:r>
        <w:rPr/>
        <w:t xml:space="preserve"> </w:t>
      </w:r>
      <w:r>
        <w:rPr>
          <w:rStyle w:val="Funotenanker"/>
        </w:rPr>
        <w:footnoteReference w:customMarkFollows="1" w:id="751"/>
        <w:t>ao</w:t>
      </w:r>
      <w:r>
        <w:rPr/>
        <w:t xml:space="preserve"> mache mich rein;“{{field-off:bible}} </w:t>
        <w:br/>
        <w:t>[[@BibleTOBIBLE:Ps 19:14]]</w:t>
      </w:r>
      <w:r>
        <w:rPr>
          <w:b/>
        </w:rPr>
        <w:t>14</w:t>
      </w:r>
      <w:r>
        <w:rPr/>
        <w:t xml:space="preserve"> {{field-on:bible}}Auch von Vermessenheit </w:t>
      </w:r>
      <w:r>
        <w:rPr>
          <w:color w:val="808080"/>
        </w:rPr>
        <w:t>(vermessenen Menschen, willentlichen Sünden)</w:t>
      </w:r>
      <w:r>
        <w:rPr/>
        <w:t xml:space="preserve"> </w:t>
      </w:r>
      <w:r>
        <w:rPr>
          <w:rStyle w:val="Funotenanker"/>
        </w:rPr>
        <w:footnoteReference w:customMarkFollows="1" w:id="752"/>
        <w:t>ap</w:t>
      </w:r>
      <w:r>
        <w:rPr/>
        <w:t xml:space="preserve"> halte zurück deinen Sklaven,„ Lass sie mich nicht beherrschen!</w:t>
      </w:r>
      <w:r>
        <w:rPr>
          <w:rStyle w:val="Funotenanker"/>
        </w:rPr>
        <w:footnoteReference w:customMarkFollows="1" w:id="753"/>
        <w:t>aq</w:t>
      </w:r>
      <w:r>
        <w:rPr/>
        <w:t xml:space="preserve">“Dann werde ich vollkommen </w:t>
      </w:r>
      <w:r>
        <w:rPr>
          <w:color w:val="808080"/>
        </w:rPr>
        <w:t>(makellos)</w:t>
      </w:r>
      <w:r>
        <w:rPr/>
        <w:t xml:space="preserve"> sein„ Und rein sein von reichlich </w:t>
      </w:r>
      <w:r>
        <w:rPr>
          <w:b/>
          <w:color w:val="808080"/>
        </w:rPr>
        <w:t>[</w:t>
      </w:r>
      <w:r>
        <w:rPr/>
        <w:t>großem</w:t>
      </w:r>
      <w:r>
        <w:rPr>
          <w:b/>
          <w:color w:val="808080"/>
        </w:rPr>
        <w:t>]</w:t>
      </w:r>
      <w:r>
        <w:rPr/>
        <w:t xml:space="preserve"> Vergehen</w:t>
      </w:r>
      <w:r>
        <w:rPr>
          <w:rStyle w:val="Funotenanker"/>
        </w:rPr>
        <w:footnoteReference w:customMarkFollows="1" w:id="754"/>
        <w:t>ar</w:t>
      </w:r>
      <w:r>
        <w:rPr/>
        <w:t xml:space="preserve">.“{{field-off:bible}} </w:t>
        <w:br/>
        <w:t>[[@BibleTOBIBLE:Ps 19:15]]</w:t>
      </w:r>
      <w:r>
        <w:rPr>
          <w:b/>
        </w:rPr>
        <w:t>15</w:t>
      </w:r>
      <w:r>
        <w:rPr/>
        <w:t xml:space="preserve"> {{field-on:bible}}Es seien zum Gefallen die Reden meines Mundes </w:t>
      </w:r>
      <w:r>
        <w:rPr>
          <w:color w:val="808080"/>
        </w:rPr>
        <w:t>(mein Reden)</w:t>
      </w:r>
      <w:r>
        <w:rPr/>
        <w:t xml:space="preserve">„ Und das sich-Äußern meines Herzens </w:t>
      </w:r>
      <w:r>
        <w:rPr>
          <w:color w:val="808080"/>
        </w:rPr>
        <w:t>(meine Äußerungen)</w:t>
      </w:r>
      <w:r>
        <w:rPr/>
        <w:t xml:space="preserve"> vor deinem Gesicht </w:t>
      </w:r>
      <w:r>
        <w:rPr>
          <w:color w:val="808080"/>
        </w:rPr>
        <w:t>(vor dir)</w:t>
      </w:r>
      <w:r>
        <w:rPr/>
        <w:t xml:space="preserve"> </w:t>
      </w:r>
      <w:r>
        <w:rPr>
          <w:rStyle w:val="Funotenanker"/>
        </w:rPr>
        <w:footnoteReference w:customMarkFollows="1" w:id="755"/>
        <w:t>as</w:t>
      </w:r>
      <w:r>
        <w:rPr/>
        <w:t xml:space="preserve"> - </w:t>
      </w:r>
      <w:r>
        <w:rPr>
          <w:smallCaps/>
          <w:color w:val="FF0000"/>
        </w:rPr>
        <w:t>JHWH</w:t>
      </w:r>
      <w:r>
        <w:rPr/>
        <w:t xml:space="preserve">, mein Fels und mein Erlöser!“{{field-off:bible}} </w:t>
      </w:r>
    </w:p>
    <w:p>
      <w:pPr>
        <w:pStyle w:val="Berschrift3"/>
        <w:rPr/>
      </w:pPr>
      <w:r>
        <w:rPr/>
        <w:t>[[@BibleTOBIBLE:Ps 22]]Kapitel 22</w:t>
      </w:r>
    </w:p>
    <w:p>
      <w:pPr>
        <w:pStyle w:val="Textkrper"/>
        <w:rPr/>
      </w:pPr>
      <w:r>
        <w:rPr/>
        <w:br/>
        <w:t>[[@BibleTOBIBLE:Ps 22:1]]</w:t>
      </w:r>
      <w:r>
        <w:rPr>
          <w:b/>
        </w:rPr>
        <w:t>1</w:t>
      </w:r>
      <w:r>
        <w:rPr/>
        <w:t xml:space="preserve"> {{field-on:bible}} </w:t>
      </w:r>
      <w:r>
        <w:rPr>
          <w:rStyle w:val="Funotenanker"/>
        </w:rPr>
        <w:footnoteReference w:customMarkFollows="1" w:id="756"/>
        <w:t>Status</w:t>
      </w:r>
      <w:r>
        <w:rPr/>
        <w:t xml:space="preserve"> ''Für den Chorleiter </w:t>
      </w:r>
      <w:r>
        <w:rPr>
          <w:color w:val="808080"/>
        </w:rPr>
        <w:t>(Dirigenten, Singenden, Musizierenden)</w:t>
      </w:r>
      <w:r>
        <w:rPr/>
        <w:t>''.</w:t>
      </w:r>
      <w:r>
        <w:rPr>
          <w:rStyle w:val="Funotenanker"/>
        </w:rPr>
        <w:footnoteReference w:customMarkFollows="1" w:id="757"/>
        <w:t>a</w:t>
      </w:r>
      <w:r>
        <w:rPr/>
        <w:t xml:space="preserve"> ''Nach „Hirschkuh der Mörgenröte“ </w:t>
      </w:r>
      <w:r>
        <w:rPr>
          <w:color w:val="808080"/>
        </w:rPr>
        <w:t>(</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 xml:space="preserve"> „Hirschkuh der Morgenröte“)</w:t>
      </w:r>
      <w:r>
        <w:rPr/>
        <w:t>''</w:t>
      </w:r>
      <w:r>
        <w:rPr>
          <w:rStyle w:val="Funotenanker"/>
        </w:rPr>
        <w:footnoteReference w:customMarkFollows="1" w:id="758"/>
        <w:t>b</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22:2]]</w:t>
      </w:r>
      <w:r>
        <w:rPr>
          <w:b/>
        </w:rPr>
        <w:t>2</w:t>
      </w:r>
      <w:r>
        <w:rPr/>
        <w:t xml:space="preserve"> {{field-on:bible}} </w:t>
        <w:br/>
        <w:t xml:space="preserve">Mein Gott, mein Gott, warum hast du mich verlassen, </w:t>
      </w:r>
      <w:r>
        <w:rPr>
          <w:b/>
          <w:color w:val="808080"/>
        </w:rPr>
        <w:t>[</w:t>
      </w:r>
      <w:r>
        <w:rPr/>
        <w:t>Warum</w:t>
      </w:r>
      <w:r>
        <w:rPr>
          <w:b/>
          <w:color w:val="808080"/>
        </w:rPr>
        <w:t>]</w:t>
      </w:r>
      <w:r>
        <w:rPr/>
        <w:t xml:space="preserve"> </w:t>
      </w:r>
      <w:r>
        <w:rPr>
          <w:b/>
          <w:color w:val="808080"/>
        </w:rPr>
        <w:t>[</w:t>
      </w:r>
      <w:r>
        <w:rPr/>
        <w:t>bist du</w:t>
      </w:r>
      <w:r>
        <w:rPr>
          <w:b/>
          <w:color w:val="808080"/>
        </w:rPr>
        <w:t>]</w:t>
      </w:r>
      <w:r>
        <w:rPr/>
        <w:t xml:space="preserve"> fern von meiner Rettung </w:t>
      </w:r>
      <w:r>
        <w:rPr>
          <w:color w:val="808080"/>
        </w:rPr>
        <w:t>(von meinem Schreien)</w:t>
      </w:r>
      <w:r>
        <w:rPr/>
        <w:t>,</w:t>
      </w:r>
      <w:r>
        <w:rPr>
          <w:rStyle w:val="Funotenanker"/>
        </w:rPr>
        <w:footnoteReference w:customMarkFollows="1" w:id="759"/>
        <w:t>c</w:t>
      </w:r>
      <w:r>
        <w:rPr/>
        <w:t xml:space="preserve"> </w:t>
      </w:r>
      <w:r>
        <w:rPr>
          <w:b/>
          <w:color w:val="808080"/>
        </w:rPr>
        <w:t>[</w:t>
      </w:r>
      <w:r>
        <w:rPr/>
        <w:t>von den</w:t>
      </w:r>
      <w:r>
        <w:rPr>
          <w:b/>
          <w:color w:val="808080"/>
        </w:rPr>
        <w:t>]</w:t>
      </w:r>
      <w:r>
        <w:rPr/>
        <w:t xml:space="preserve"> den Worten meiner Klage </w:t>
      </w:r>
      <w:r>
        <w:rPr>
          <w:color w:val="808080"/>
        </w:rPr>
        <w:t xml:space="preserve">([warum] </w:t>
      </w:r>
      <w:r>
        <w:rPr>
          <w:b/>
          <w:color w:val="808080"/>
        </w:rPr>
        <w:t>[</w:t>
      </w:r>
      <w:r>
        <w:rPr>
          <w:color w:val="808080"/>
        </w:rPr>
        <w:t>sind</w:t>
      </w:r>
      <w:r>
        <w:rPr>
          <w:b/>
          <w:color w:val="808080"/>
        </w:rPr>
        <w:t>]</w:t>
      </w:r>
      <w:r>
        <w:rPr>
          <w:color w:val="808080"/>
        </w:rPr>
        <w:t xml:space="preserve"> die Worte meiner Klage fern von meiner Rettung; [warum] </w:t>
      </w:r>
      <w:r>
        <w:rPr>
          <w:b/>
          <w:color w:val="808080"/>
        </w:rPr>
        <w:t>[</w:t>
      </w:r>
      <w:r>
        <w:rPr>
          <w:color w:val="808080"/>
        </w:rPr>
        <w:t>bist du</w:t>
      </w:r>
      <w:r>
        <w:rPr>
          <w:b/>
          <w:color w:val="808080"/>
        </w:rPr>
        <w:t>]</w:t>
      </w:r>
      <w:r>
        <w:rPr>
          <w:color w:val="808080"/>
        </w:rPr>
        <w:t xml:space="preserve"> fern von meiner Rettung, [fern von] </w:t>
      </w:r>
      <w:r>
        <w:rPr>
          <w:b/>
          <w:color w:val="808080"/>
        </w:rPr>
        <w:t>[</w:t>
      </w:r>
      <w:r>
        <w:rPr>
          <w:color w:val="808080"/>
        </w:rPr>
        <w:t>meinen</w:t>
      </w:r>
      <w:r>
        <w:rPr>
          <w:b/>
          <w:color w:val="808080"/>
        </w:rPr>
        <w:t>]</w:t>
      </w:r>
      <w:r>
        <w:rPr>
          <w:color w:val="808080"/>
        </w:rPr>
        <w:t xml:space="preserve"> Worten, oh du meine Hilfe)</w:t>
      </w:r>
      <w:r>
        <w:rPr/>
        <w:t>?</w:t>
        <w:br/>
        <w:t xml:space="preserve">{{field-off:bible}} </w:t>
        <w:br/>
        <w:t>[[@BibleTOBIBLE:Ps 22:3]]</w:t>
      </w:r>
      <w:r>
        <w:rPr>
          <w:b/>
        </w:rPr>
        <w:t>3</w:t>
      </w:r>
      <w:r>
        <w:rPr/>
        <w:t xml:space="preserve"> {{field-on:bible}} </w:t>
        <w:br/>
        <w:t xml:space="preserve">Meine Gottheit, ich rufe Tag - doch du antwortest nicht </w:t>
      </w:r>
      <w:r>
        <w:rPr>
          <w:color w:val="808080"/>
        </w:rPr>
        <w:t>(erhörst mich nicht)</w:t>
      </w:r>
      <w:r>
        <w:rPr/>
        <w:t xml:space="preserve"> ,</w:t>
      </w:r>
      <w:r>
        <w:rPr>
          <w:rStyle w:val="Funotenanker"/>
        </w:rPr>
        <w:footnoteReference w:customMarkFollows="1" w:id="760"/>
        <w:t>d</w:t>
      </w:r>
      <w:r>
        <w:rPr/>
        <w:t xml:space="preserve"> Und Nacht - doch </w:t>
      </w:r>
      <w:r>
        <w:rPr>
          <w:b/>
          <w:color w:val="808080"/>
        </w:rPr>
        <w:t>[</w:t>
      </w:r>
      <w:r>
        <w:rPr/>
        <w:t>es gibt</w:t>
      </w:r>
      <w:r>
        <w:rPr>
          <w:b/>
          <w:color w:val="808080"/>
        </w:rPr>
        <w:t>]</w:t>
      </w:r>
      <w:r>
        <w:rPr/>
        <w:t xml:space="preserve"> nicht Ruhe für mich.</w:t>
      </w:r>
      <w:r>
        <w:rPr>
          <w:rStyle w:val="Funotenanker"/>
        </w:rPr>
        <w:footnoteReference w:customMarkFollows="1" w:id="761"/>
        <w:t>e</w:t>
      </w:r>
      <w:r>
        <w:rPr/>
        <w:t xml:space="preserve"> </w:t>
        <w:br/>
        <w:br/>
        <w:t xml:space="preserve">{{field-off:bible}} </w:t>
        <w:br/>
        <w:t>[[@BibleTOBIBLE:Ps 22:4]]</w:t>
      </w:r>
      <w:r>
        <w:rPr>
          <w:b/>
        </w:rPr>
        <w:t>4</w:t>
      </w:r>
      <w:r>
        <w:rPr/>
        <w:t xml:space="preserve"> {{field-on:bible}} </w:t>
        <w:br/>
      </w:r>
      <w:r>
        <w:rPr>
          <w:b/>
          <w:color w:val="808080"/>
        </w:rPr>
        <w:t>[</w:t>
      </w:r>
      <w:r>
        <w:rPr/>
        <w:t>Auf</w:t>
      </w:r>
      <w:r>
        <w:rPr>
          <w:b/>
          <w:color w:val="808080"/>
        </w:rPr>
        <w:t>]</w:t>
      </w:r>
      <w:r>
        <w:rPr/>
        <w:t xml:space="preserve"> </w:t>
      </w:r>
      <w:r>
        <w:rPr>
          <w:rStyle w:val="Funotenanker"/>
        </w:rPr>
        <w:footnoteReference w:customMarkFollows="1" w:id="762"/>
        <w:t>f</w:t>
      </w:r>
      <w:r>
        <w:rPr/>
        <w:t xml:space="preserve"> dich - den Heiligen,Der du thronst über den Lobgesängen Israels</w:t>
      </w:r>
      <w:r>
        <w:rPr>
          <w:rStyle w:val="Funotenanker"/>
        </w:rPr>
        <w:footnoteReference w:customMarkFollows="1" w:id="763"/>
        <w:t>g</w:t>
      </w:r>
      <w:r>
        <w:rPr/>
        <w:t xml:space="preserve"> </w:t>
      </w:r>
      <w:r>
        <w:rPr>
          <w:color w:val="808080"/>
        </w:rPr>
        <w:t>(Dabei thronst du doch als der Heilige / über den Lobgesängen Israels; Dabei bist du doch heilig/der Heilige, / thronst über den Lobgesängen Israels)</w:t>
      </w:r>
      <w:r>
        <w:rPr/>
        <w:t xml:space="preserve"> - </w:t>
        <w:br/>
        <w:t xml:space="preserve">{{field-off:bible}} </w:t>
        <w:br/>
        <w:t>[[@BibleTOBIBLE:Ps 22:5]]</w:t>
      </w:r>
      <w:r>
        <w:rPr>
          <w:b/>
        </w:rPr>
        <w:t>5</w:t>
      </w:r>
      <w:r>
        <w:rPr/>
        <w:t xml:space="preserve"> {{field-on:bible}} </w:t>
        <w:br/>
        <w:t xml:space="preserve">Auf dich vertrauten </w:t>
      </w:r>
      <w:r>
        <w:rPr>
          <w:b/>
          <w:color w:val="808080"/>
        </w:rPr>
        <w:t>[</w:t>
      </w:r>
      <w:r>
        <w:rPr/>
        <w:t>doch schon</w:t>
      </w:r>
      <w:r>
        <w:rPr>
          <w:b/>
          <w:color w:val="808080"/>
        </w:rPr>
        <w:t>]</w:t>
      </w:r>
      <w:r>
        <w:rPr/>
        <w:t xml:space="preserve"> unsere Vorfahren:</w:t>
        <w:br/>
        <w:t>Sie vertrauten - und du hast sie befreit.</w:t>
        <w:br/>
        <w:t xml:space="preserve">{{field-off:bible}} </w:t>
        <w:br/>
        <w:t>[[@BibleTOBIBLE:Ps 22:6]]</w:t>
      </w:r>
      <w:r>
        <w:rPr>
          <w:b/>
        </w:rPr>
        <w:t>6</w:t>
      </w:r>
      <w:r>
        <w:rPr/>
        <w:t xml:space="preserve"> {{field-on:bible}} </w:t>
        <w:br/>
        <w:t>Zu dir schrien sie - und wurden gerettet, Auf dich vertrauten sie - und wurden nicht zuschanden.</w:t>
        <w:br/>
        <w:br/>
        <w:t xml:space="preserve">{{field-off:bible}} </w:t>
        <w:br/>
        <w:t>[[@BibleTOBIBLE:Ps 22:7]]</w:t>
      </w:r>
      <w:r>
        <w:rPr>
          <w:b/>
        </w:rPr>
        <w:t>7</w:t>
      </w:r>
      <w:r>
        <w:rPr/>
        <w:t xml:space="preserve"> {{field-on:bible}} </w:t>
        <w:br/>
        <w:t>Ich aber bin ein Wurm und kein Mensch, Der Leute Spott und verachtet vom Volk.</w:t>
        <w:br/>
        <w:t xml:space="preserve">{{field-off:bible}} </w:t>
        <w:br/>
        <w:t>[[@BibleTOBIBLE:Ps 22:8]]</w:t>
      </w:r>
      <w:r>
        <w:rPr>
          <w:b/>
        </w:rPr>
        <w:t>8</w:t>
      </w:r>
      <w:r>
        <w:rPr/>
        <w:t xml:space="preserve"> {{field-on:bible}} </w:t>
        <w:br/>
        <w:t>Alle, die mich sehen, verhöhnen mich, Reißen die Lippe</w:t>
      </w:r>
      <w:r>
        <w:rPr>
          <w:b/>
          <w:color w:val="808080"/>
        </w:rPr>
        <w:t>[</w:t>
      </w:r>
      <w:r>
        <w:rPr/>
        <w:t>n</w:t>
      </w:r>
      <w:r>
        <w:rPr>
          <w:b/>
          <w:color w:val="808080"/>
        </w:rPr>
        <w:t>]</w:t>
      </w:r>
      <w:r>
        <w:rPr/>
        <w:t xml:space="preserve"> auf, schütteln den Kopf</w:t>
      </w:r>
      <w:r>
        <w:rPr>
          <w:rStyle w:val="Funotenanker"/>
        </w:rPr>
        <w:footnoteReference w:customMarkFollows="1" w:id="764"/>
        <w:t>h</w:t>
      </w:r>
      <w:r>
        <w:rPr/>
        <w:t xml:space="preserve"> </w:t>
      </w:r>
      <w:r>
        <w:rPr>
          <w:b/>
          <w:color w:val="808080"/>
        </w:rPr>
        <w:t>[</w:t>
      </w:r>
      <w:r>
        <w:rPr/>
        <w:t>und spotten:</w:t>
      </w:r>
      <w:r>
        <w:rPr>
          <w:b/>
          <w:color w:val="808080"/>
        </w:rPr>
        <w:t>]</w:t>
      </w:r>
      <w:r>
        <w:rPr/>
        <w:t xml:space="preserve"> </w:t>
      </w:r>
      <w:r>
        <w:rPr>
          <w:rStyle w:val="Funotenanker"/>
        </w:rPr>
        <w:footnoteReference w:customMarkFollows="1" w:id="765"/>
        <w:t>i</w:t>
      </w:r>
      <w:r>
        <w:rPr/>
        <w:t xml:space="preserve"> </w:t>
        <w:br/>
        <w:t xml:space="preserve">{{field-off:bible}} </w:t>
        <w:br/>
        <w:t>[[@BibleTOBIBLE:Ps 22:9]]</w:t>
      </w:r>
      <w:r>
        <w:rPr>
          <w:b/>
        </w:rPr>
        <w:t>9</w:t>
      </w:r>
      <w:r>
        <w:rPr/>
        <w:t xml:space="preserve"> {{field-on:bible}} </w:t>
        <w:br/>
        <w:t xml:space="preserve">„Wälze </w:t>
      </w:r>
      <w:r>
        <w:rPr>
          <w:color w:val="808080"/>
        </w:rPr>
        <w:t>(Er hat gewälzt)</w:t>
      </w:r>
      <w:r>
        <w:rPr/>
        <w:t xml:space="preserve"> </w:t>
      </w:r>
      <w:r>
        <w:rPr>
          <w:b/>
          <w:color w:val="808080"/>
        </w:rPr>
        <w:t>[</w:t>
      </w:r>
      <w:r>
        <w:rPr/>
        <w:t xml:space="preserve">es </w:t>
      </w:r>
      <w:r>
        <w:rPr>
          <w:color w:val="808080"/>
        </w:rPr>
        <w:t>(dich)</w:t>
      </w:r>
      <w:r>
        <w:rPr>
          <w:b/>
          <w:color w:val="808080"/>
        </w:rPr>
        <w:t>]</w:t>
      </w:r>
      <w:r>
        <w:rPr/>
        <w:t xml:space="preserve"> </w:t>
      </w:r>
      <w:r>
        <w:rPr>
          <w:rStyle w:val="Funotenanker"/>
        </w:rPr>
        <w:footnoteReference w:customMarkFollows="1" w:id="766"/>
        <w:t>j</w:t>
      </w:r>
      <w:r>
        <w:rPr/>
        <w:t xml:space="preserve"> auf </w:t>
      </w:r>
      <w:r>
        <w:rPr>
          <w:smallCaps/>
          <w:color w:val="FF0000"/>
        </w:rPr>
        <w:t>JHWH</w:t>
      </w:r>
      <w:r>
        <w:rPr/>
        <w:t xml:space="preserve">! Der wird </w:t>
      </w:r>
      <w:r>
        <w:rPr>
          <w:color w:val="808080"/>
        </w:rPr>
        <w:t>(soll)</w:t>
      </w:r>
      <w:r>
        <w:rPr/>
        <w:t xml:space="preserve"> ihn retten, Der wird </w:t>
      </w:r>
      <w:r>
        <w:rPr>
          <w:color w:val="808080"/>
        </w:rPr>
        <w:t>(soll)</w:t>
      </w:r>
      <w:r>
        <w:rPr/>
        <w:t xml:space="preserve"> ihn befreien - er hat ja Gefallen an ihm </w:t>
      </w:r>
      <w:r>
        <w:rPr>
          <w:color w:val="808080"/>
        </w:rPr>
        <w:t>(er ist ja so gläubig)</w:t>
      </w:r>
      <w:r>
        <w:rPr/>
        <w:t>!“</w:t>
      </w:r>
      <w:r>
        <w:rPr>
          <w:rStyle w:val="Funotenanker"/>
        </w:rPr>
        <w:footnoteReference w:customMarkFollows="1" w:id="767"/>
        <w:t>k</w:t>
      </w:r>
      <w:r>
        <w:rPr/>
        <w:t xml:space="preserve"> </w:t>
        <w:br/>
        <w:br/>
        <w:t xml:space="preserve">{{field-off:bible}} </w:t>
        <w:br/>
        <w:t>[[@BibleTOBIBLE:Ps 22:10]]</w:t>
      </w:r>
      <w:r>
        <w:rPr>
          <w:b/>
        </w:rPr>
        <w:t>10</w:t>
      </w:r>
      <w:r>
        <w:rPr/>
        <w:t xml:space="preserve"> {{field-on:bible}} </w:t>
        <w:br/>
        <w:t xml:space="preserve">Ach! </w:t>
      </w:r>
      <w:r>
        <w:rPr>
          <w:color w:val="808080"/>
        </w:rPr>
        <w:t>(So ists!, Denn)</w:t>
      </w:r>
      <w:r>
        <w:rPr/>
        <w:t xml:space="preserve"> Du </w:t>
      </w:r>
      <w:r>
        <w:rPr>
          <w:b/>
          <w:color w:val="808080"/>
        </w:rPr>
        <w:t>[</w:t>
      </w:r>
      <w:r>
        <w:rPr/>
        <w:t>warst</w:t>
      </w:r>
      <w:r>
        <w:rPr>
          <w:b/>
          <w:color w:val="808080"/>
        </w:rPr>
        <w:t>]</w:t>
      </w:r>
      <w:r>
        <w:rPr/>
        <w:t xml:space="preserve"> es </w:t>
      </w:r>
      <w:r>
        <w:rPr>
          <w:b/>
          <w:color w:val="808080"/>
        </w:rPr>
        <w:t>[</w:t>
      </w:r>
      <w:r>
        <w:rPr/>
        <w:t>doch</w:t>
      </w:r>
      <w:r>
        <w:rPr>
          <w:b/>
          <w:color w:val="808080"/>
        </w:rPr>
        <w:t>]</w:t>
      </w:r>
      <w:r>
        <w:rPr/>
        <w:t>, der mich aus dem Schoß hervorbrechen ließ,</w:t>
      </w:r>
      <w:r>
        <w:rPr>
          <w:rStyle w:val="Funotenanker"/>
        </w:rPr>
        <w:footnoteReference w:customMarkFollows="1" w:id="768"/>
        <w:t>l</w:t>
      </w:r>
      <w:r>
        <w:rPr/>
        <w:t xml:space="preserve">Der mir Vertrauen einflößte </w:t>
      </w:r>
      <w:r>
        <w:rPr>
          <w:color w:val="808080"/>
        </w:rPr>
        <w:t>(dem ich vertraute)</w:t>
      </w:r>
      <w:r>
        <w:rPr/>
        <w:t xml:space="preserve"> </w:t>
      </w:r>
      <w:r>
        <w:rPr>
          <w:rStyle w:val="Funotenanker"/>
        </w:rPr>
        <w:footnoteReference w:customMarkFollows="1" w:id="769"/>
        <w:t>m</w:t>
      </w:r>
      <w:r>
        <w:rPr/>
        <w:t xml:space="preserve"> </w:t>
      </w:r>
      <w:r>
        <w:rPr>
          <w:b/>
          <w:color w:val="808080"/>
        </w:rPr>
        <w:t>[</w:t>
      </w:r>
      <w:r>
        <w:rPr/>
        <w:t>schon</w:t>
      </w:r>
      <w:r>
        <w:rPr>
          <w:b/>
          <w:color w:val="808080"/>
        </w:rPr>
        <w:t>]</w:t>
      </w:r>
      <w:r>
        <w:rPr/>
        <w:t xml:space="preserve"> an der Brust meiner Mutter.</w:t>
        <w:br/>
        <w:t xml:space="preserve">{{field-off:bible}} </w:t>
        <w:br/>
        <w:t>[[@BibleTOBIBLE:Ps 22:11]]</w:t>
      </w:r>
      <w:r>
        <w:rPr>
          <w:b/>
        </w:rPr>
        <w:t>11</w:t>
      </w:r>
      <w:r>
        <w:rPr/>
        <w:t xml:space="preserve"> {{field-on:bible}} </w:t>
        <w:br/>
        <w:t xml:space="preserve">Auf dich bin ich geworfen </w:t>
      </w:r>
      <w:r>
        <w:rPr>
          <w:b/>
          <w:color w:val="808080"/>
        </w:rPr>
        <w:t>[</w:t>
      </w:r>
      <w:r>
        <w:rPr/>
        <w:t>schon</w:t>
      </w:r>
      <w:r>
        <w:rPr>
          <w:b/>
          <w:color w:val="808080"/>
        </w:rPr>
        <w:t>]</w:t>
      </w:r>
      <w:r>
        <w:rPr/>
        <w:t xml:space="preserve"> vom Mutterleib an,</w:t>
      </w:r>
      <w:r>
        <w:rPr>
          <w:rStyle w:val="Funotenanker"/>
        </w:rPr>
        <w:footnoteReference w:customMarkFollows="1" w:id="770"/>
        <w:t>n</w:t>
      </w:r>
      <w:r>
        <w:rPr/>
        <w:t xml:space="preserve"> </w:t>
      </w:r>
      <w:r>
        <w:rPr>
          <w:b/>
          <w:color w:val="808080"/>
        </w:rPr>
        <w:t>[</w:t>
      </w:r>
      <w:r>
        <w:rPr/>
        <w:t>Schon</w:t>
      </w:r>
      <w:r>
        <w:rPr>
          <w:b/>
          <w:color w:val="808080"/>
        </w:rPr>
        <w:t>]</w:t>
      </w:r>
      <w:r>
        <w:rPr/>
        <w:t xml:space="preserve"> von meiner Mutter Schoß an bist du mein Gott.</w:t>
        <w:br/>
        <w:br/>
        <w:t xml:space="preserve">{{field-off:bible}} </w:t>
        <w:br/>
        <w:t>[[@BibleTOBIBLE:Ps 22:12]]</w:t>
      </w:r>
      <w:r>
        <w:rPr>
          <w:b/>
        </w:rPr>
        <w:t>12</w:t>
      </w:r>
      <w:r>
        <w:rPr/>
        <w:t xml:space="preserve"> {{field-on:bible}} </w:t>
        <w:br/>
        <w:t xml:space="preserve">Sei nicht fern von mir, Denn die Enge </w:t>
      </w:r>
      <w:r>
        <w:rPr>
          <w:color w:val="808080"/>
        </w:rPr>
        <w:t>(Bedrängnis)</w:t>
      </w:r>
      <w:r>
        <w:rPr/>
        <w:t xml:space="preserve"> </w:t>
      </w:r>
      <w:r>
        <w:rPr>
          <w:b/>
          <w:color w:val="808080"/>
        </w:rPr>
        <w:t>[</w:t>
      </w:r>
      <w:r>
        <w:rPr/>
        <w:t>ist</w:t>
      </w:r>
      <w:r>
        <w:rPr>
          <w:b/>
          <w:color w:val="808080"/>
        </w:rPr>
        <w:t>]</w:t>
      </w:r>
      <w:r>
        <w:rPr/>
        <w:t xml:space="preserve"> nahe;</w:t>
      </w:r>
      <w:r>
        <w:rPr>
          <w:rStyle w:val="Funotenanker"/>
        </w:rPr>
        <w:footnoteReference w:customMarkFollows="1" w:id="771"/>
        <w:t>o</w:t>
      </w:r>
      <w:r>
        <w:rPr/>
        <w:t xml:space="preserve"> </w:t>
      </w:r>
      <w:r>
        <w:rPr>
          <w:b/>
          <w:color w:val="808080"/>
        </w:rPr>
        <w:t>[</w:t>
      </w:r>
      <w:r>
        <w:rPr/>
        <w:t>Denn</w:t>
      </w:r>
      <w:r>
        <w:rPr>
          <w:b/>
          <w:color w:val="808080"/>
        </w:rPr>
        <w:t>]</w:t>
      </w:r>
      <w:r>
        <w:rPr/>
        <w:t xml:space="preserve"> kein Beschützer ist da.</w:t>
        <w:br/>
        <w:t xml:space="preserve">{{field-off:bible}} </w:t>
        <w:br/>
        <w:t>[[@BibleTOBIBLE:Ps 22:13]]</w:t>
      </w:r>
      <w:r>
        <w:rPr>
          <w:b/>
        </w:rPr>
        <w:t>13</w:t>
      </w:r>
      <w:r>
        <w:rPr/>
        <w:t xml:space="preserve"> {{field-on:bible}} </w:t>
        <w:br/>
        <w:t xml:space="preserve">Es umgeben mich mächtige </w:t>
      </w:r>
      <w:r>
        <w:rPr>
          <w:color w:val="808080"/>
        </w:rPr>
        <w:t>(zahlreiche)</w:t>
      </w:r>
      <w:r>
        <w:rPr/>
        <w:t xml:space="preserve"> Stiere, Gewaltige Baschan</w:t>
      </w:r>
      <w:r>
        <w:rPr>
          <w:b/>
          <w:color w:val="808080"/>
        </w:rPr>
        <w:t>[</w:t>
      </w:r>
      <w:r>
        <w:rPr/>
        <w:t>stiere</w:t>
      </w:r>
      <w:r>
        <w:rPr>
          <w:b/>
          <w:color w:val="808080"/>
        </w:rPr>
        <w:t>]</w:t>
      </w:r>
      <w:r>
        <w:rPr/>
        <w:t xml:space="preserve"> </w:t>
      </w:r>
      <w:r>
        <w:rPr>
          <w:rStyle w:val="Funotenanker"/>
        </w:rPr>
        <w:footnoteReference w:customMarkFollows="1" w:id="772"/>
        <w:t>p</w:t>
      </w:r>
      <w:r>
        <w:rPr/>
        <w:t xml:space="preserve"> umringen mich.</w:t>
        <w:br/>
        <w:t xml:space="preserve">{{field-off:bible}} </w:t>
        <w:br/>
        <w:t>[[@BibleTOBIBLE:Ps 22:14]]</w:t>
      </w:r>
      <w:r>
        <w:rPr>
          <w:b/>
        </w:rPr>
        <w:t>14</w:t>
      </w:r>
      <w:r>
        <w:rPr/>
        <w:t xml:space="preserve"> {{field-on:bible}} </w:t>
        <w:br/>
        <w:t xml:space="preserve">Es sperren ihr Maul auf gegen michReißende, brüllende Löwen </w:t>
      </w:r>
      <w:r>
        <w:rPr>
          <w:color w:val="808080"/>
        </w:rPr>
        <w:t xml:space="preserve">(Sie sperren ihr Maul gegen mich auf / </w:t>
      </w:r>
      <w:r>
        <w:rPr>
          <w:b/>
          <w:color w:val="808080"/>
        </w:rPr>
        <w:t>[</w:t>
      </w:r>
      <w:r>
        <w:rPr>
          <w:color w:val="808080"/>
        </w:rPr>
        <w:t>wie</w:t>
      </w:r>
      <w:r>
        <w:rPr>
          <w:b/>
          <w:color w:val="808080"/>
        </w:rPr>
        <w:t>]</w:t>
      </w:r>
      <w:r>
        <w:rPr>
          <w:color w:val="808080"/>
        </w:rPr>
        <w:t xml:space="preserve"> ein reißender, brüllender Löwe)</w:t>
      </w:r>
      <w:r>
        <w:rPr/>
        <w:t>.</w:t>
      </w:r>
      <w:r>
        <w:rPr>
          <w:rStyle w:val="Funotenanker"/>
        </w:rPr>
        <w:footnoteReference w:customMarkFollows="1" w:id="773"/>
        <w:t>q</w:t>
      </w:r>
      <w:r>
        <w:rPr/>
        <w:t xml:space="preserve"> </w:t>
        <w:br/>
        <w:br/>
        <w:t xml:space="preserve">{{field-off:bible}} </w:t>
        <w:br/>
        <w:t>[[@BibleTOBIBLE:Ps 22:15]]</w:t>
      </w:r>
      <w:r>
        <w:rPr>
          <w:b/>
        </w:rPr>
        <w:t>15</w:t>
      </w:r>
      <w:r>
        <w:rPr/>
        <w:t xml:space="preserve"> {{field-on:bible}} </w:t>
        <w:br/>
        <w:t xml:space="preserve">Wie Wasser bin ich ausgeschüttet,Und es sind gelöst all meine Gebeine. </w:t>
        <w:br/>
        <w:t xml:space="preserve">Es ist mein Herz wie </w:t>
      </w:r>
      <w:r>
        <w:rPr>
          <w:strike/>
          <w:color w:val="808080"/>
        </w:rPr>
        <w:t>{das}</w:t>
      </w:r>
      <w:r>
        <w:rPr/>
        <w:t xml:space="preserve"> </w:t>
      </w:r>
      <w:r>
        <w:rPr>
          <w:rStyle w:val="Funotenanker"/>
        </w:rPr>
        <w:footnoteReference w:customMarkFollows="1" w:id="774"/>
        <w:t>r</w:t>
      </w:r>
      <w:r>
        <w:rPr/>
        <w:t xml:space="preserve"> Wachs -Es zerschmilzt in meiner Brust.</w:t>
      </w:r>
      <w:r>
        <w:rPr>
          <w:rStyle w:val="Funotenanker"/>
        </w:rPr>
        <w:footnoteReference w:customMarkFollows="1" w:id="775"/>
        <w:t>s</w:t>
      </w:r>
      <w:r>
        <w:rPr/>
        <w:t xml:space="preserve"> </w:t>
        <w:br/>
        <w:t xml:space="preserve">{{field-off:bible}} </w:t>
        <w:br/>
        <w:t>[[@BibleTOBIBLE:Ps 22:16]]</w:t>
      </w:r>
      <w:r>
        <w:rPr>
          <w:b/>
        </w:rPr>
        <w:t>16</w:t>
      </w:r>
      <w:r>
        <w:rPr/>
        <w:t xml:space="preserve"> {{field-on:bible}} </w:t>
        <w:br/>
        <w:t xml:space="preserve">Trocken wie eine </w:t>
      </w:r>
      <w:r>
        <w:rPr>
          <w:b/>
          <w:color w:val="808080"/>
        </w:rPr>
        <w:t>[</w:t>
      </w:r>
      <w:r>
        <w:rPr/>
        <w:t>Ton</w:t>
      </w:r>
      <w:r>
        <w:rPr>
          <w:b/>
          <w:color w:val="808080"/>
        </w:rPr>
        <w:t>]</w:t>
      </w:r>
      <w:r>
        <w:rPr/>
        <w:t xml:space="preserve">scherbe ist meine Kraft </w:t>
      </w:r>
      <w:r>
        <w:rPr>
          <w:color w:val="808080"/>
        </w:rPr>
        <w:t>(Kehle)</w:t>
      </w:r>
      <w:r>
        <w:rPr/>
        <w:t>,</w:t>
      </w:r>
      <w:r>
        <w:rPr>
          <w:rStyle w:val="Funotenanker"/>
        </w:rPr>
        <w:footnoteReference w:customMarkFollows="1" w:id="776"/>
        <w:t>t</w:t>
      </w:r>
      <w:r>
        <w:rPr/>
        <w:t xml:space="preserve"> Meine Zunge klebt mir am Gaumen.</w:t>
      </w:r>
      <w:r>
        <w:rPr>
          <w:rStyle w:val="Funotenanker"/>
        </w:rPr>
        <w:footnoteReference w:customMarkFollows="1" w:id="777"/>
        <w:t>u</w:t>
      </w:r>
      <w:r>
        <w:rPr/>
        <w:t xml:space="preserve"> </w:t>
        <w:br/>
      </w:r>
      <w:r>
        <w:rPr>
          <w:b/>
          <w:color w:val="808080"/>
        </w:rPr>
        <w:t>[</w:t>
      </w:r>
      <w:r>
        <w:rPr/>
        <w:t>Bald</w:t>
      </w:r>
      <w:r>
        <w:rPr>
          <w:b/>
          <w:color w:val="808080"/>
        </w:rPr>
        <w:t>]</w:t>
      </w:r>
      <w:r>
        <w:rPr/>
        <w:t xml:space="preserve"> wirst du mich in den Staub des Todes legen</w:t>
      </w:r>
      <w:r>
        <w:rPr>
          <w:rStyle w:val="Funotenanker"/>
        </w:rPr>
        <w:footnoteReference w:customMarkFollows="1" w:id="778"/>
        <w:t>v</w:t>
      </w:r>
      <w:r>
        <w:rPr/>
        <w:t xml:space="preserve"> können </w:t>
      </w:r>
      <w:r>
        <w:rPr>
          <w:color w:val="808080"/>
        </w:rPr>
        <w:t>(Willst du mich in den Staub des Todes legen?)</w:t>
      </w:r>
      <w:r>
        <w:rPr/>
        <w:t>.</w:t>
        <w:br/>
        <w:br/>
        <w:t xml:space="preserve">{{field-off:bible}} </w:t>
        <w:br/>
        <w:t>[[@BibleTOBIBLE:Ps 22:17]]</w:t>
      </w:r>
      <w:r>
        <w:rPr>
          <w:b/>
        </w:rPr>
        <w:t>17</w:t>
      </w:r>
      <w:r>
        <w:rPr/>
        <w:t xml:space="preserve"> {{field-on:bible}} </w:t>
        <w:br/>
        <w:t xml:space="preserve">Ach!, Es umgeben mich Hunde, Eine Rotte von Übeltätern umzingelt </w:t>
      </w:r>
      <w:r>
        <w:rPr>
          <w:color w:val="808080"/>
        </w:rPr>
        <w:t>(umkreist)</w:t>
      </w:r>
      <w:r>
        <w:rPr/>
        <w:t xml:space="preserve"> mich. </w:t>
        <w:br/>
        <w:t xml:space="preserve">Aufgegraben sind </w:t>
      </w:r>
      <w:r>
        <w:rPr>
          <w:color w:val="808080"/>
        </w:rPr>
        <w:t xml:space="preserve">([wie] {der} </w:t>
      </w:r>
      <w:r>
        <w:rPr>
          <w:b/>
          <w:color w:val="808080"/>
        </w:rPr>
        <w:t>[</w:t>
      </w:r>
      <w:r>
        <w:rPr>
          <w:color w:val="808080"/>
        </w:rPr>
        <w:t>ein</w:t>
      </w:r>
      <w:r>
        <w:rPr>
          <w:b/>
          <w:color w:val="808080"/>
        </w:rPr>
        <w:t>]</w:t>
      </w:r>
      <w:r>
        <w:rPr>
          <w:color w:val="808080"/>
        </w:rPr>
        <w:t xml:space="preserve"> Löwe, gebunden sind)</w:t>
      </w:r>
      <w:r>
        <w:rPr/>
        <w:t xml:space="preserve"> </w:t>
      </w:r>
      <w:r>
        <w:rPr>
          <w:rStyle w:val="Funotenanker"/>
        </w:rPr>
        <w:footnoteReference w:customMarkFollows="1" w:id="779"/>
        <w:t>w</w:t>
      </w:r>
      <w:r>
        <w:rPr/>
        <w:t xml:space="preserve"> meine Hände und Füße.</w:t>
        <w:br/>
        <w:t xml:space="preserve">{{field-off:bible}} </w:t>
        <w:br/>
        <w:t>[[@BibleTOBIBLE:Ps 22:18]]</w:t>
      </w:r>
      <w:r>
        <w:rPr>
          <w:b/>
        </w:rPr>
        <w:t>18</w:t>
      </w:r>
      <w:r>
        <w:rPr/>
        <w:t xml:space="preserve"> {{field-on:bible}} </w:t>
        <w:br/>
        <w:t>Zählen kann ich all meine Knochen.</w:t>
      </w:r>
      <w:r>
        <w:rPr>
          <w:rStyle w:val="Funotenanker"/>
        </w:rPr>
        <w:footnoteReference w:customMarkFollows="1" w:id="780"/>
        <w:t>x</w:t>
      </w:r>
      <w:r>
        <w:rPr/>
        <w:t xml:space="preserve"> </w:t>
        <w:br/>
        <w:t>Und sie wollen sich weiden, sich an mir ergötzen,</w:t>
        <w:br/>
        <w:t xml:space="preserve">{{field-off:bible}} </w:t>
        <w:br/>
        <w:t>[[@BibleTOBIBLE:Ps 22:19]]</w:t>
      </w:r>
      <w:r>
        <w:rPr>
          <w:b/>
        </w:rPr>
        <w:t>19</w:t>
      </w:r>
      <w:r>
        <w:rPr/>
        <w:t xml:space="preserve"> {{field-on:bible}} </w:t>
        <w:br/>
        <w:t>Sie wollen meine Kleider unter sich aufteilenUnd das Los um mein Gewand werfen!</w:t>
      </w:r>
      <w:r>
        <w:rPr>
          <w:rStyle w:val="Funotenanker"/>
        </w:rPr>
        <w:footnoteReference w:customMarkFollows="1" w:id="781"/>
        <w:t>y</w:t>
      </w:r>
      <w:r>
        <w:rPr/>
        <w:t xml:space="preserve"> </w:t>
        <w:br/>
        <w:br/>
        <w:t xml:space="preserve">{{field-off:bible}} </w:t>
        <w:br/>
        <w:t>[[@BibleTOBIBLE:Ps 22:20]]</w:t>
      </w:r>
      <w:r>
        <w:rPr>
          <w:b/>
        </w:rPr>
        <w:t>20</w:t>
      </w:r>
      <w:r>
        <w:rPr/>
        <w:t xml:space="preserve"> {{field-on:bible}} </w:t>
        <w:br/>
        <w:t xml:space="preserve">Aber du, </w:t>
      </w:r>
      <w:r>
        <w:rPr>
          <w:smallCaps/>
          <w:color w:val="FF0000"/>
        </w:rPr>
        <w:t>JHWH</w:t>
      </w:r>
      <w:r>
        <w:rPr/>
        <w:t>, sei nicht fern,</w:t>
      </w:r>
      <w:r>
        <w:rPr>
          <w:rStyle w:val="Funotenanker"/>
        </w:rPr>
        <w:footnoteReference w:customMarkFollows="1" w:id="782"/>
        <w:t>z</w:t>
      </w:r>
      <w:r>
        <w:rPr/>
        <w:t>Meine Hilfe, eile zu meiner Hilfe!</w:t>
      </w:r>
      <w:r>
        <w:rPr>
          <w:rStyle w:val="Funotenanker"/>
        </w:rPr>
        <w:footnoteReference w:customMarkFollows="1" w:id="783"/>
        <w:t>aa</w:t>
      </w:r>
      <w:r>
        <w:rPr/>
        <w:t xml:space="preserve"> </w:t>
        <w:br/>
        <w:t xml:space="preserve">{{field-off:bible}} </w:t>
        <w:br/>
        <w:t>[[@BibleTOBIBLE:Ps 22:21]]</w:t>
      </w:r>
      <w:r>
        <w:rPr>
          <w:b/>
        </w:rPr>
        <w:t>21</w:t>
      </w:r>
      <w:r>
        <w:rPr/>
        <w:t xml:space="preserve"> {{field-on:bible}} </w:t>
        <w:br/>
        <w:t>Bewahre vor dem Schwert mein Leben, Vor der Gewalt der Hunde</w:t>
      </w:r>
      <w:r>
        <w:rPr>
          <w:rStyle w:val="Funotenanker"/>
        </w:rPr>
        <w:footnoteReference w:customMarkFollows="1" w:id="784"/>
        <w:t>ab</w:t>
      </w:r>
      <w:r>
        <w:rPr/>
        <w:t xml:space="preserve"> mein Einziges!</w:t>
      </w:r>
      <w:r>
        <w:rPr>
          <w:rStyle w:val="Funotenanker"/>
        </w:rPr>
        <w:footnoteReference w:customMarkFollows="1" w:id="785"/>
        <w:t>ac</w:t>
      </w:r>
      <w:r>
        <w:rPr/>
        <w:t xml:space="preserve"> </w:t>
        <w:br/>
        <w:t xml:space="preserve">{{field-off:bible}} </w:t>
        <w:br/>
        <w:t>[[@BibleTOBIBLE:Ps 22:22]]</w:t>
      </w:r>
      <w:r>
        <w:rPr>
          <w:b/>
        </w:rPr>
        <w:t>22</w:t>
      </w:r>
      <w:r>
        <w:rPr/>
        <w:t xml:space="preserve"> {{field-on:bible}} </w:t>
        <w:br/>
        <w:t>Rette mich aus dem Rachen der Löwen,</w:t>
      </w:r>
      <w:r>
        <w:rPr>
          <w:rStyle w:val="Funotenanker"/>
        </w:rPr>
        <w:footnoteReference w:customMarkFollows="1" w:id="786"/>
        <w:t>ad</w:t>
      </w:r>
      <w:r>
        <w:rPr/>
        <w:t xml:space="preserve"> Vor den Hörnern der Wildstiere mein Elendes </w:t>
      </w:r>
      <w:r>
        <w:rPr>
          <w:color w:val="808080"/>
        </w:rPr>
        <w:t>(erhöre mich, du erhörst mich/hast mich erhört)</w:t>
      </w:r>
      <w:r>
        <w:rPr/>
        <w:t>.</w:t>
      </w:r>
      <w:r>
        <w:rPr>
          <w:rStyle w:val="Funotenanker"/>
        </w:rPr>
        <w:footnoteReference w:customMarkFollows="1" w:id="787"/>
        <w:t>ae</w:t>
      </w:r>
      <w:r>
        <w:rPr/>
        <w:t xml:space="preserve"> </w:t>
        <w:br/>
        <w:br/>
        <w:t xml:space="preserve">{{field-off:bible}} </w:t>
        <w:br/>
        <w:t>[[@BibleTOBIBLE:Ps 22:23]]</w:t>
      </w:r>
      <w:r>
        <w:rPr>
          <w:b/>
        </w:rPr>
        <w:t>23</w:t>
      </w:r>
      <w:r>
        <w:rPr/>
        <w:t xml:space="preserve"> {{field-on:bible}} </w:t>
        <w:br/>
        <w:t>Ich will deinen Namen</w:t>
      </w:r>
      <w:r>
        <w:rPr>
          <w:rStyle w:val="Funotenanker"/>
        </w:rPr>
        <w:footnoteReference w:customMarkFollows="1" w:id="788"/>
        <w:t>af</w:t>
      </w:r>
      <w:r>
        <w:rPr/>
        <w:t xml:space="preserve"> meinen Brüdern verkünden, In der Kultgemeinde will ich dich preisen:</w:t>
      </w:r>
      <w:r>
        <w:rPr>
          <w:rStyle w:val="Funotenanker"/>
        </w:rPr>
        <w:footnoteReference w:customMarkFollows="1" w:id="789"/>
        <w:t>ag</w:t>
      </w:r>
      <w:r>
        <w:rPr/>
        <w:t xml:space="preserve"> </w:t>
        <w:br/>
        <w:t xml:space="preserve">{{field-off:bible}} </w:t>
        <w:br/>
        <w:t>[[@BibleTOBIBLE:Ps 22:24]]</w:t>
      </w:r>
      <w:r>
        <w:rPr>
          <w:b/>
        </w:rPr>
        <w:t>24</w:t>
      </w:r>
      <w:r>
        <w:rPr/>
        <w:t xml:space="preserve"> {{field-on:bible}} </w:t>
        <w:br/>
        <w:t xml:space="preserve">„Die ihr </w:t>
      </w:r>
      <w:r>
        <w:rPr>
          <w:smallCaps/>
          <w:color w:val="FF0000"/>
        </w:rPr>
        <w:t>JHWH</w:t>
      </w:r>
      <w:r>
        <w:rPr/>
        <w:t xml:space="preserve"> fürchtet </w:t>
      </w:r>
      <w:r>
        <w:rPr>
          <w:color w:val="808080"/>
        </w:rPr>
        <w:t>(verehrt)</w:t>
      </w:r>
      <w:r>
        <w:rPr/>
        <w:t>, preist ihn, Alle Nachkommen Jakobs,</w:t>
      </w:r>
      <w:r>
        <w:rPr>
          <w:rStyle w:val="Funotenanker"/>
        </w:rPr>
        <w:footnoteReference w:customMarkFollows="1" w:id="790"/>
        <w:t>ah</w:t>
      </w:r>
      <w:r>
        <w:rPr/>
        <w:t xml:space="preserve"> ehret ihn, Erschauert</w:t>
      </w:r>
      <w:r>
        <w:rPr>
          <w:rStyle w:val="Funotenanker"/>
        </w:rPr>
        <w:footnoteReference w:customMarkFollows="1" w:id="791"/>
        <w:t>ai</w:t>
      </w:r>
      <w:r>
        <w:rPr/>
        <w:t xml:space="preserve"> vor ihm, alle Nachkommen Israels,</w:t>
        <w:br/>
        <w:t xml:space="preserve">{{field-off:bible}} </w:t>
        <w:br/>
        <w:t>[[@BibleTOBIBLE:Ps 22:25]]</w:t>
      </w:r>
      <w:r>
        <w:rPr>
          <w:b/>
        </w:rPr>
        <w:t>25</w:t>
      </w:r>
      <w:r>
        <w:rPr/>
        <w:t xml:space="preserve"> {{field-on:bible}} </w:t>
        <w:br/>
        <w:t>Denn er hat nicht verachtet und nicht verabscheut das Elend des Elenden,</w:t>
      </w:r>
      <w:r>
        <w:rPr>
          <w:rStyle w:val="Funotenanker"/>
        </w:rPr>
        <w:footnoteReference w:customMarkFollows="1" w:id="792"/>
        <w:t>aj</w:t>
      </w:r>
      <w:r>
        <w:rPr/>
        <w:t>Er hat nicht sein Gesicht vor ihm verborgen,</w:t>
      </w:r>
      <w:r>
        <w:rPr>
          <w:rStyle w:val="Funotenanker"/>
        </w:rPr>
        <w:footnoteReference w:customMarkFollows="1" w:id="793"/>
        <w:t>ak</w:t>
      </w:r>
      <w:r>
        <w:rPr/>
        <w:t>Und als er zu ihm schrie, erhörte er ihn!“</w:t>
        <w:br/>
        <w:br/>
        <w:t xml:space="preserve">{{field-off:bible}} </w:t>
        <w:br/>
        <w:t>[[@BibleTOBIBLE:Ps 22:26]]</w:t>
      </w:r>
      <w:r>
        <w:rPr>
          <w:b/>
        </w:rPr>
        <w:t>26</w:t>
      </w:r>
      <w:r>
        <w:rPr/>
        <w:t xml:space="preserve"> {{field-on:bible}} </w:t>
        <w:br/>
        <w:t xml:space="preserve">Von dir </w:t>
      </w:r>
      <w:r>
        <w:rPr>
          <w:b/>
          <w:color w:val="808080"/>
        </w:rPr>
        <w:t>[</w:t>
      </w:r>
      <w:r>
        <w:rPr/>
        <w:t>wird sein</w:t>
      </w:r>
      <w:r>
        <w:rPr>
          <w:b/>
          <w:color w:val="808080"/>
        </w:rPr>
        <w:t>]</w:t>
      </w:r>
      <w:r>
        <w:rPr/>
        <w:t xml:space="preserve"> mein Lobgesang in großer Kultgemeinde,</w:t>
      </w:r>
      <w:r>
        <w:rPr>
          <w:rStyle w:val="Funotenanker"/>
        </w:rPr>
        <w:footnoteReference w:customMarkFollows="1" w:id="794"/>
        <w:t>al</w:t>
      </w:r>
      <w:r>
        <w:rPr/>
        <w:t xml:space="preserve"> Meine Gelübde werde ich vor denen erfüllen, die ihn fürchten </w:t>
      </w:r>
      <w:r>
        <w:rPr>
          <w:color w:val="808080"/>
        </w:rPr>
        <w:t>(verehren)</w:t>
      </w:r>
      <w:r>
        <w:rPr/>
        <w:t>:</w:t>
      </w:r>
      <w:r>
        <w:rPr>
          <w:rStyle w:val="Funotenanker"/>
        </w:rPr>
        <w:footnoteReference w:customMarkFollows="1" w:id="795"/>
        <w:t>am</w:t>
      </w:r>
      <w:r>
        <w:rPr/>
        <w:t xml:space="preserve"> </w:t>
        <w:br/>
        <w:t xml:space="preserve">{{field-off:bible}} </w:t>
        <w:br/>
        <w:t>[[@BibleTOBIBLE:Ps 22:27]]</w:t>
      </w:r>
      <w:r>
        <w:rPr>
          <w:b/>
        </w:rPr>
        <w:t>27</w:t>
      </w:r>
      <w:r>
        <w:rPr/>
        <w:t xml:space="preserve"> {{field-on:bible}} </w:t>
        <w:br/>
        <w:t>„Die Elenden</w:t>
      </w:r>
      <w:r>
        <w:rPr>
          <w:rStyle w:val="Funotenanker"/>
        </w:rPr>
        <w:footnoteReference w:customMarkFollows="1" w:id="796"/>
        <w:t>an</w:t>
      </w:r>
      <w:r>
        <w:rPr/>
        <w:t xml:space="preserve"> sollen essen und satt werden </w:t>
      </w:r>
      <w:r>
        <w:rPr>
          <w:color w:val="808080"/>
        </w:rPr>
        <w:t>(sollen sich satt essen)</w:t>
      </w:r>
      <w:r>
        <w:rPr/>
        <w:t xml:space="preserve">,Es sollen </w:t>
      </w:r>
      <w:r>
        <w:rPr>
          <w:smallCaps/>
          <w:color w:val="FF0000"/>
        </w:rPr>
        <w:t>JHWH</w:t>
      </w:r>
      <w:r>
        <w:rPr/>
        <w:t xml:space="preserve"> feiern, die ihn verehren.</w:t>
      </w:r>
      <w:r>
        <w:rPr>
          <w:rStyle w:val="Funotenanker"/>
        </w:rPr>
        <w:footnoteReference w:customMarkFollows="1" w:id="797"/>
        <w:t>ao</w:t>
      </w:r>
      <w:r>
        <w:rPr/>
        <w:t xml:space="preserve"> </w:t>
        <w:br/>
        <w:t>Aufleben soll euer Herz für immer!“</w:t>
      </w:r>
      <w:r>
        <w:rPr>
          <w:rStyle w:val="Funotenanker"/>
        </w:rPr>
        <w:footnoteReference w:customMarkFollows="1" w:id="798"/>
        <w:t>ap</w:t>
      </w:r>
      <w:r>
        <w:rPr/>
        <w:t xml:space="preserve"> </w:t>
        <w:br/>
        <w:br/>
        <w:t xml:space="preserve">{{field-off:bible}} </w:t>
        <w:br/>
        <w:t>[[@BibleTOBIBLE:Ps 22:28]]</w:t>
      </w:r>
      <w:r>
        <w:rPr>
          <w:b/>
        </w:rPr>
        <w:t>28</w:t>
      </w:r>
      <w:r>
        <w:rPr/>
        <w:t xml:space="preserve"> {{field-on:bible}} </w:t>
        <w:br/>
        <w:t xml:space="preserve">Es werden </w:t>
      </w:r>
      <w:r>
        <w:rPr>
          <w:color w:val="808080"/>
        </w:rPr>
        <w:t>(sollen)</w:t>
      </w:r>
      <w:r>
        <w:rPr/>
        <w:t xml:space="preserve"> </w:t>
      </w:r>
      <w:r>
        <w:rPr>
          <w:b/>
          <w:color w:val="808080"/>
        </w:rPr>
        <w:t>[</w:t>
      </w:r>
      <w:r>
        <w:rPr/>
        <w:t>davon</w:t>
      </w:r>
      <w:r>
        <w:rPr>
          <w:b/>
          <w:color w:val="808080"/>
        </w:rPr>
        <w:t>]</w:t>
      </w:r>
      <w:r>
        <w:rPr/>
        <w:t xml:space="preserve"> </w:t>
      </w:r>
      <w:r>
        <w:rPr>
          <w:rStyle w:val="Funotenanker"/>
        </w:rPr>
        <w:footnoteReference w:customMarkFollows="1" w:id="799"/>
        <w:t>aq</w:t>
      </w:r>
      <w:r>
        <w:rPr/>
        <w:t xml:space="preserve"> berichten und </w:t>
      </w:r>
      <w:r>
        <w:rPr>
          <w:color w:val="808080"/>
        </w:rPr>
        <w:t xml:space="preserve">(Sie werden </w:t>
      </w:r>
      <w:r>
        <w:rPr>
          <w:b/>
          <w:color w:val="808080"/>
        </w:rPr>
        <w:t>[</w:t>
      </w:r>
      <w:r>
        <w:rPr>
          <w:color w:val="808080"/>
        </w:rPr>
        <w:t>davon</w:t>
      </w:r>
      <w:r>
        <w:rPr>
          <w:b/>
          <w:color w:val="808080"/>
        </w:rPr>
        <w:t>]</w:t>
      </w:r>
      <w:r>
        <w:rPr>
          <w:color w:val="808080"/>
        </w:rPr>
        <w:t xml:space="preserve"> berichten und dann werden)</w:t>
      </w:r>
      <w:r>
        <w:rPr/>
        <w:t xml:space="preserve"> zu </w:t>
      </w:r>
      <w:r>
        <w:rPr>
          <w:smallCaps/>
          <w:color w:val="FF0000"/>
        </w:rPr>
        <w:t>JHWH</w:t>
      </w:r>
      <w:r>
        <w:rPr/>
        <w:t xml:space="preserve"> umkehren Alle Enden der Erde</w:t>
      </w:r>
      <w:r>
        <w:rPr>
          <w:rStyle w:val="Funotenanker"/>
        </w:rPr>
        <w:footnoteReference w:customMarkFollows="1" w:id="800"/>
        <w:t>ar</w:t>
      </w:r>
      <w:r>
        <w:rPr/>
        <w:t xml:space="preserve"> </w:t>
        <w:br/>
        <w:t xml:space="preserve">Und vor dir </w:t>
      </w:r>
      <w:r>
        <w:rPr>
          <w:color w:val="808080"/>
        </w:rPr>
        <w:t>(vor ihm)</w:t>
      </w:r>
      <w:r>
        <w:rPr/>
        <w:t xml:space="preserve"> </w:t>
      </w:r>
      <w:r>
        <w:rPr>
          <w:rStyle w:val="Funotenanker"/>
        </w:rPr>
        <w:footnoteReference w:customMarkFollows="1" w:id="801"/>
        <w:t>as</w:t>
      </w:r>
      <w:r>
        <w:rPr/>
        <w:t xml:space="preserve"> werden </w:t>
      </w:r>
      <w:r>
        <w:rPr>
          <w:color w:val="808080"/>
        </w:rPr>
        <w:t>(sollen)</w:t>
      </w:r>
      <w:r>
        <w:rPr/>
        <w:t xml:space="preserve"> sich niederwerfen Alle Sippen der Völker </w:t>
      </w:r>
      <w:r>
        <w:rPr>
          <w:b/>
          <w:color w:val="808080"/>
        </w:rPr>
        <w:t>[</w:t>
      </w:r>
      <w:r>
        <w:rPr/>
        <w:t>mit den Worten:</w:t>
      </w:r>
      <w:r>
        <w:rPr>
          <w:b/>
          <w:color w:val="808080"/>
        </w:rPr>
        <w:t>]</w:t>
      </w:r>
      <w:r>
        <w:rPr/>
        <w:t xml:space="preserve"> </w:t>
      </w:r>
      <w:r>
        <w:rPr>
          <w:rStyle w:val="Funotenanker"/>
        </w:rPr>
        <w:footnoteReference w:customMarkFollows="1" w:id="802"/>
        <w:t>at</w:t>
      </w:r>
      <w:r>
        <w:rPr/>
        <w:t xml:space="preserve"> </w:t>
        <w:br/>
        <w:t xml:space="preserve">{{field-off:bible}} </w:t>
        <w:br/>
        <w:t>[[@BibleTOBIBLE:Ps 22:29]]</w:t>
      </w:r>
      <w:r>
        <w:rPr>
          <w:b/>
        </w:rPr>
        <w:t>29</w:t>
      </w:r>
      <w:r>
        <w:rPr/>
        <w:t xml:space="preserve"> {{field-on:bible}} </w:t>
        <w:br/>
        <w:t>„</w:t>
      </w:r>
      <w:r>
        <w:rPr>
          <w:strike/>
          <w:color w:val="808080"/>
        </w:rPr>
        <w:t>{Ja!}</w:t>
      </w:r>
      <w:r>
        <w:rPr/>
        <w:t xml:space="preserve"> </w:t>
      </w:r>
      <w:r>
        <w:rPr>
          <w:color w:val="808080"/>
        </w:rPr>
        <w:t>(Ja!, Denn)</w:t>
      </w:r>
      <w:r>
        <w:rPr/>
        <w:t xml:space="preserve"> </w:t>
      </w:r>
      <w:r>
        <w:rPr>
          <w:smallCaps/>
          <w:color w:val="FF0000"/>
        </w:rPr>
        <w:t>JHWH</w:t>
      </w:r>
      <w:r>
        <w:rPr/>
        <w:t xml:space="preserve">s </w:t>
      </w:r>
      <w:r>
        <w:rPr>
          <w:b/>
          <w:color w:val="808080"/>
        </w:rPr>
        <w:t>[</w:t>
      </w:r>
      <w:r>
        <w:rPr/>
        <w:t xml:space="preserve">ist </w:t>
      </w:r>
      <w:r>
        <w:rPr>
          <w:color w:val="808080"/>
        </w:rPr>
        <w:t>(das)</w:t>
      </w:r>
      <w:r>
        <w:rPr>
          <w:b/>
          <w:color w:val="808080"/>
        </w:rPr>
        <w:t>]</w:t>
      </w:r>
      <w:r>
        <w:rPr/>
        <w:t xml:space="preserve"> das KönigtumUnd er </w:t>
      </w:r>
      <w:r>
        <w:rPr>
          <w:b/>
          <w:color w:val="808080"/>
        </w:rPr>
        <w:t>[</w:t>
      </w:r>
      <w:r>
        <w:rPr/>
        <w:t xml:space="preserve">ist </w:t>
      </w:r>
      <w:r>
        <w:rPr>
          <w:color w:val="808080"/>
        </w:rPr>
        <w:t>(sei)</w:t>
      </w:r>
      <w:r>
        <w:rPr>
          <w:b/>
          <w:color w:val="808080"/>
        </w:rPr>
        <w:t>]</w:t>
      </w:r>
      <w:r>
        <w:rPr/>
        <w:t xml:space="preserve"> Herrscher über die Völker.“</w:t>
        <w:br/>
        <w:t xml:space="preserve">{{field-off:bible}} </w:t>
        <w:br/>
        <w:t>[[@BibleTOBIBLE:Ps 22:30]]</w:t>
      </w:r>
      <w:r>
        <w:rPr>
          <w:b/>
        </w:rPr>
        <w:t>30</w:t>
      </w:r>
      <w:r>
        <w:rPr/>
        <w:t xml:space="preserve"> {{field-on:bible}} </w:t>
        <w:br/>
        <w:t xml:space="preserve">Ja, vor ihm werden sich niederwerfen </w:t>
      </w:r>
      <w:r>
        <w:rPr>
          <w:color w:val="808080"/>
        </w:rPr>
        <w:t>(Es aßen und warfen sich nieder)</w:t>
      </w:r>
      <w:r>
        <w:rPr/>
        <w:t xml:space="preserve"> </w:t>
      </w:r>
      <w:r>
        <w:rPr>
          <w:rStyle w:val="Funotenanker"/>
        </w:rPr>
        <w:footnoteReference w:customMarkFollows="1" w:id="803"/>
        <w:t>au</w:t>
      </w:r>
      <w:r>
        <w:rPr/>
        <w:t xml:space="preserve"> alle Fetten der Erde,Vor seinem Gesicht</w:t>
      </w:r>
      <w:r>
        <w:rPr>
          <w:rStyle w:val="Funotenanker"/>
        </w:rPr>
        <w:footnoteReference w:customMarkFollows="1" w:id="804"/>
        <w:t>av</w:t>
      </w:r>
      <w:r>
        <w:rPr/>
        <w:t xml:space="preserve"> sich alle beugen, die in den Staub sinken. </w:t>
        <w:br/>
        <w:t xml:space="preserve">Und </w:t>
      </w:r>
      <w:r>
        <w:rPr>
          <w:b/>
          <w:color w:val="808080"/>
        </w:rPr>
        <w:t>[</w:t>
      </w:r>
      <w:r>
        <w:rPr/>
        <w:t>wer</w:t>
      </w:r>
      <w:r>
        <w:rPr>
          <w:b/>
          <w:color w:val="808080"/>
        </w:rPr>
        <w:t>]</w:t>
      </w:r>
      <w:r>
        <w:rPr/>
        <w:t xml:space="preserve"> seine Seele nicht am Leben erhalten konnte,</w:t>
        <w:br/>
        <w:t xml:space="preserve">{{field-off:bible}} </w:t>
        <w:br/>
        <w:t>[[@BibleTOBIBLE:Ps 22:31]]</w:t>
      </w:r>
      <w:r>
        <w:rPr>
          <w:b/>
        </w:rPr>
        <w:t>31</w:t>
      </w:r>
      <w:r>
        <w:rPr/>
        <w:t xml:space="preserve"> {{field-on:bible}} </w:t>
        <w:br/>
      </w:r>
      <w:r>
        <w:rPr>
          <w:b/>
          <w:color w:val="808080"/>
        </w:rPr>
        <w:t>[</w:t>
      </w:r>
      <w:r>
        <w:rPr/>
        <w:t>bei dem</w:t>
      </w:r>
      <w:r>
        <w:rPr>
          <w:b/>
          <w:color w:val="808080"/>
        </w:rPr>
        <w:t>]</w:t>
      </w:r>
      <w:r>
        <w:rPr/>
        <w:t xml:space="preserve"> werden </w:t>
      </w:r>
      <w:r>
        <w:rPr>
          <w:b/>
          <w:color w:val="808080"/>
        </w:rPr>
        <w:t>[</w:t>
      </w:r>
      <w:r>
        <w:rPr/>
        <w:t>seine</w:t>
      </w:r>
      <w:r>
        <w:rPr>
          <w:b/>
          <w:color w:val="808080"/>
        </w:rPr>
        <w:t>]</w:t>
      </w:r>
      <w:r>
        <w:rPr/>
        <w:t xml:space="preserve"> Nachkommen ihm dienen.</w:t>
      </w:r>
      <w:r>
        <w:rPr>
          <w:rStyle w:val="Funotenanker"/>
        </w:rPr>
        <w:footnoteReference w:customMarkFollows="1" w:id="805"/>
        <w:t>aw</w:t>
      </w:r>
      <w:r>
        <w:rPr/>
        <w:t xml:space="preserve"> </w:t>
        <w:br/>
        <w:t xml:space="preserve">Erzählen wird man vom Herrn der Generation, </w:t>
        <w:br/>
        <w:t xml:space="preserve">{{field-off:bible}} </w:t>
        <w:br/>
        <w:t>[[@BibleTOBIBLE:Ps 22:32]]</w:t>
      </w:r>
      <w:r>
        <w:rPr>
          <w:b/>
        </w:rPr>
        <w:t>32</w:t>
      </w:r>
      <w:r>
        <w:rPr/>
        <w:t xml:space="preserve"> {{field-on:bible}} </w:t>
        <w:br/>
        <w:t>die noch kommen wird</w:t>
      </w:r>
      <w:r>
        <w:rPr>
          <w:rStyle w:val="Funotenanker"/>
        </w:rPr>
        <w:footnoteReference w:customMarkFollows="1" w:id="806"/>
        <w:t>ax</w:t>
      </w:r>
      <w:r>
        <w:rPr/>
        <w:t xml:space="preserve"> Und verkünden seine Gerechtigkeit dem Volk, das noch geboren wird:</w:t>
        <w:br/>
        <w:t xml:space="preserve">„Er hat gehandelt </w:t>
      </w:r>
      <w:r>
        <w:rPr>
          <w:color w:val="808080"/>
        </w:rPr>
        <w:t xml:space="preserve">(hat </w:t>
      </w:r>
      <w:r>
        <w:rPr>
          <w:b/>
          <w:color w:val="808080"/>
        </w:rPr>
        <w:t>[</w:t>
      </w:r>
      <w:r>
        <w:rPr>
          <w:color w:val="808080"/>
        </w:rPr>
        <w:t>es</w:t>
      </w:r>
      <w:r>
        <w:rPr>
          <w:b/>
          <w:color w:val="808080"/>
        </w:rPr>
        <w:t>]</w:t>
      </w:r>
      <w:r>
        <w:rPr>
          <w:color w:val="808080"/>
        </w:rPr>
        <w:t xml:space="preserve"> vollbracht)</w:t>
      </w:r>
      <w:r>
        <w:rPr/>
        <w:t>!“</w:t>
        <w:br/>
        <w:t xml:space="preserve">{{field-off:bible}}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807"/>
        <w:t>Status</w:t>
      </w:r>
      <w:r>
        <w:rPr/>
        <w:t xml:space="preserve"> Ein Psalm </w:t>
      </w:r>
      <w:r>
        <w:rPr>
          <w:color w:val="808080"/>
        </w:rPr>
        <w:t>(begleitetes Lied)</w:t>
      </w:r>
      <w:r>
        <w:rPr/>
        <w:t xml:space="preserve"> von </w:t>
      </w:r>
      <w:r>
        <w:rPr>
          <w:color w:val="808080"/>
        </w:rPr>
        <w:t>(für, über, nach Art von)</w:t>
      </w:r>
      <w:r>
        <w:rPr/>
        <w:t xml:space="preserve"> David. </w:t>
        <w:br/>
      </w:r>
      <w:r>
        <w:rPr>
          <w:smallCaps/>
          <w:color w:val="FF0000"/>
        </w:rPr>
        <w:t>JHWH</w:t>
      </w:r>
      <w:r>
        <w:rPr/>
        <w:t xml:space="preserve"> ist mein Hirte.</w:t>
      </w:r>
      <w:r>
        <w:rPr>
          <w:rStyle w:val="Funotenanker"/>
        </w:rPr>
        <w:footnoteReference w:customMarkFollows="1" w:id="808"/>
        <w:t>a</w:t>
      </w:r>
      <w:r>
        <w:rPr/>
        <w:t xml:space="preserve"> Nichts fehlt mir </w:t>
      </w:r>
      <w:r>
        <w:rPr>
          <w:color w:val="808080"/>
        </w:rPr>
        <w:t>(wird mir fehlen)</w:t>
      </w:r>
      <w:r>
        <w:rPr/>
        <w:t xml:space="preserve"> </w:t>
      </w:r>
      <w:r>
        <w:rPr>
          <w:rStyle w:val="Funotenanker"/>
        </w:rPr>
        <w:footnoteReference w:customMarkFollows="1" w:id="809"/>
        <w:t>b</w:t>
      </w:r>
      <w:r>
        <w:rPr/>
        <w:t>.</w:t>
      </w:r>
      <w:r>
        <w:rPr>
          <w:position w:val="8"/>
          <w:sz w:val="19"/>
        </w:rPr>
        <w:t>[[ ℘ &gt;&gt; BibleTOBIBLE:Eze 34:11]][[ ℘ &gt;&gt; BibleTOBIBLE:Ps 78:52]]</w:t>
      </w:r>
      <w:r>
        <w:rPr/>
        <w:t xml:space="preserve"> </w:t>
        <w:br/>
        <w:t xml:space="preserve">{{field-off:bible}} </w:t>
        <w:br/>
        <w:t>[[@BibleTOBIBLE:Ps 23:2]]</w:t>
      </w:r>
      <w:r>
        <w:rPr>
          <w:b/>
        </w:rPr>
        <w:t>2</w:t>
      </w:r>
      <w:r>
        <w:rPr/>
        <w:t xml:space="preserve"> {{field-on:bible}} </w:t>
        <w:br/>
        <w:t xml:space="preserve">Er sorgt dafür </w:t>
      </w:r>
      <w:r>
        <w:rPr>
          <w:color w:val="808080"/>
        </w:rPr>
        <w:t>(macht es möglich, erlaubt mir</w:t>
      </w:r>
      <w:r>
        <w:rPr/>
        <w:t xml:space="preserve"> </w:t>
      </w:r>
      <w:r>
        <w:rPr>
          <w:rStyle w:val="Funotenanker"/>
        </w:rPr>
        <w:footnoteReference w:customMarkFollows="1" w:id="810"/>
        <w:t>c</w:t>
      </w:r>
      <w:r>
        <w:rPr/>
        <w:t xml:space="preserve"> </w:t>
      </w:r>
      <w:r>
        <w:rPr>
          <w:color w:val="808080"/>
        </w:rPr>
        <w:t>)</w:t>
      </w:r>
      <w:r>
        <w:rPr/>
        <w:t xml:space="preserve">, dass ich mich auf Weiden mit saftigem Gras </w:t>
      </w:r>
      <w:r>
        <w:rPr>
          <w:color w:val="808080"/>
        </w:rPr>
        <w:t>(grünen/frischen Wiesen/Auen/Weiden)</w:t>
      </w:r>
      <w:r>
        <w:rPr/>
        <w:t xml:space="preserve"> </w:t>
      </w:r>
      <w:r>
        <w:rPr>
          <w:rStyle w:val="Funotenanker"/>
        </w:rPr>
        <w:footnoteReference w:customMarkFollows="1" w:id="811"/>
        <w:t>d</w:t>
      </w:r>
      <w:r>
        <w:rPr/>
        <w:t xml:space="preserve"> ausruhen </w:t>
      </w:r>
      <w:r>
        <w:rPr>
          <w:color w:val="808080"/>
        </w:rPr>
        <w:t>(hinlegen, rasten)</w:t>
      </w:r>
      <w:r>
        <w:rPr/>
        <w:t xml:space="preserve"> kann</w:t>
      </w:r>
      <w:r>
        <w:rPr>
          <w:rStyle w:val="Funotenanker"/>
        </w:rPr>
        <w:footnoteReference w:customMarkFollows="1" w:id="812"/>
        <w:t>e</w:t>
      </w:r>
      <w:r>
        <w:rPr/>
        <w:t>.</w:t>
      </w:r>
      <w:r>
        <w:rPr>
          <w:position w:val="8"/>
          <w:sz w:val="19"/>
        </w:rPr>
        <w:t>[[ ℘ &gt;&gt; BibleTOBIBLE:Ps 80:2]][[ ℘ &gt;&gt; BibleTOBIBLE:Eze 34:14]]</w:t>
      </w:r>
      <w:r>
        <w:rPr/>
        <w:t xml:space="preserve"> </w:t>
        <w:br/>
        <w:t xml:space="preserve">Zu ruhigen </w:t>
      </w:r>
      <w:r>
        <w:rPr>
          <w:color w:val="808080"/>
        </w:rPr>
        <w:t>(stillen)</w:t>
      </w:r>
      <w:r>
        <w:rPr/>
        <w:t xml:space="preserve"> Gewässern </w:t>
      </w:r>
      <w:r>
        <w:rPr>
          <w:color w:val="808080"/>
        </w:rPr>
        <w:t>(einem Gewässer, Gewässern der Rast, natürlichen Tränken, murmelnden Bächen)</w:t>
      </w:r>
      <w:r>
        <w:rPr/>
        <w:t xml:space="preserve"> </w:t>
      </w:r>
      <w:r>
        <w:rPr>
          <w:rStyle w:val="Funotenanker"/>
        </w:rPr>
        <w:footnoteReference w:customMarkFollows="1" w:id="813"/>
        <w:t>f</w:t>
      </w:r>
      <w:r>
        <w:rPr/>
        <w:t xml:space="preserve"> führt er mich </w:t>
      </w:r>
      <w:r>
        <w:rPr>
          <w:color w:val="808080"/>
        </w:rPr>
        <w:t>(wird er mich führen)</w:t>
      </w:r>
      <w:r>
        <w:rPr/>
        <w:t>.</w:t>
      </w:r>
      <w:r>
        <w:rPr>
          <w:position w:val="8"/>
          <w:sz w:val="19"/>
        </w:rPr>
        <w:t>[[ ℘ &gt;&gt; BibleTOBIBLE:Ps 105:41]]</w:t>
      </w:r>
      <w:r>
        <w:rPr/>
        <w:t xml:space="preserve"> </w:t>
      </w:r>
      <w:r>
        <w:rPr>
          <w:position w:val="8"/>
          <w:sz w:val="19"/>
        </w:rPr>
        <w:t>[[ ℘ &gt;&gt; BibleTOBIBLE:Mt 11:28]]</w:t>
      </w:r>
      <w:r>
        <w:rPr/>
        <w:t xml:space="preserve"> </w:t>
        <w:br/>
        <w:t xml:space="preserve">{{field-off:bible}} </w:t>
        <w:br/>
        <w:t>[[@BibleTOBIBLE:Ps 23:3]]</w:t>
      </w:r>
      <w:r>
        <w:rPr>
          <w:b/>
        </w:rPr>
        <w:t>3</w:t>
      </w:r>
      <w:r>
        <w:rPr/>
        <w:t xml:space="preserve"> {{field-on:bible}} </w:t>
        <w:br/>
        <w:t xml:space="preserve">Meine Lebenskraft </w:t>
      </w:r>
      <w:r>
        <w:rPr>
          <w:color w:val="808080"/>
        </w:rPr>
        <w:t>(meine Kehle, meinen Lebensatem, mein innerstes Wesen, mich selbst)</w:t>
      </w:r>
      <w:r>
        <w:rPr/>
        <w:t xml:space="preserve"> </w:t>
      </w:r>
      <w:r>
        <w:rPr>
          <w:rStyle w:val="Funotenanker"/>
        </w:rPr>
        <w:footnoteReference w:customMarkFollows="1" w:id="814"/>
        <w:t>g</w:t>
      </w:r>
      <w:r>
        <w:rPr/>
        <w:t xml:space="preserve"> bringt er zurück </w:t>
      </w:r>
      <w:r>
        <w:rPr>
          <w:color w:val="808080"/>
        </w:rPr>
        <w:t>(wird er erneuern, erfrischt er)</w:t>
      </w:r>
      <w:r>
        <w:rPr/>
        <w:t xml:space="preserve"> </w:t>
      </w:r>
      <w:r>
        <w:rPr>
          <w:rStyle w:val="Funotenanker"/>
        </w:rPr>
        <w:footnoteReference w:customMarkFollows="1" w:id="815"/>
        <w:t>h</w:t>
      </w:r>
      <w:r>
        <w:rPr/>
        <w:t>.</w:t>
        <w:br/>
        <w:t xml:space="preserve">Er führt mich </w:t>
      </w:r>
      <w:r>
        <w:rPr>
          <w:color w:val="808080"/>
        </w:rPr>
        <w:t>(wird mich führen)</w:t>
      </w:r>
      <w:r>
        <w:rPr/>
        <w:t xml:space="preserve"> auf richtigen Pfaden </w:t>
      </w:r>
      <w:r>
        <w:rPr>
          <w:color w:val="808080"/>
        </w:rPr>
        <w:t>(Pfaden der Gerechtigkeit)</w:t>
      </w:r>
      <w:r>
        <w:rPr/>
        <w:t xml:space="preserve"> </w:t>
      </w:r>
      <w:r>
        <w:rPr>
          <w:position w:val="8"/>
          <w:sz w:val="19"/>
        </w:rPr>
        <w:t>[[ ℘ &gt;&gt; BibleTOBIBLE:Ps 5:9]]</w:t>
      </w:r>
      <w:r>
        <w:rPr/>
        <w:t xml:space="preserve"> </w:t>
      </w:r>
      <w:r>
        <w:rPr>
          <w:position w:val="8"/>
          <w:sz w:val="19"/>
        </w:rPr>
        <w:t>[[ ℘ &gt;&gt; BibleTOBIBLE:Je 23:3]]</w:t>
      </w:r>
      <w:r>
        <w:rPr/>
        <w:t xml:space="preserve"> </w:t>
        <w:br/>
        <w:t xml:space="preserve">zur </w:t>
      </w:r>
      <w:r>
        <w:rPr>
          <w:b/>
          <w:color w:val="808080"/>
        </w:rPr>
        <w:t>[</w:t>
      </w:r>
      <w:r>
        <w:rPr/>
        <w:t>Wahrung</w:t>
      </w:r>
      <w:r>
        <w:rPr>
          <w:b/>
          <w:color w:val="808080"/>
        </w:rPr>
        <w:t>]</w:t>
      </w:r>
      <w:r>
        <w:rPr/>
        <w:t xml:space="preserve"> seines Namens </w:t>
      </w:r>
      <w:r>
        <w:rPr>
          <w:color w:val="808080"/>
        </w:rPr>
        <w:t>(guten Rufs)</w:t>
      </w:r>
      <w:r>
        <w:rPr/>
        <w:t>.</w:t>
      </w:r>
      <w:r>
        <w:rPr>
          <w:position w:val="8"/>
          <w:sz w:val="19"/>
        </w:rPr>
        <w:t>[[ ℘ &gt;&gt; BibleTOBIBLE:Ex 3:14]]</w:t>
      </w:r>
      <w:r>
        <w:rPr/>
        <w:t xml:space="preserve"> </w:t>
      </w:r>
      <w:r>
        <w:rPr>
          <w:position w:val="8"/>
          <w:sz w:val="19"/>
        </w:rPr>
        <w:t>[[ ℘ &gt;&gt; BibleTOBIBLE:Is 48:9]]</w:t>
      </w:r>
      <w:r>
        <w:rPr/>
        <w:t xml:space="preserve"> </w:t>
        <w:br/>
        <w:t xml:space="preserve">{{field-off:bible}} </w:t>
        <w:br/>
        <w:t>[[@BibleTOBIBLE:Ps 23:4]]</w:t>
      </w:r>
      <w:r>
        <w:rPr>
          <w:b/>
        </w:rPr>
        <w:t>4</w:t>
      </w:r>
      <w:r>
        <w:rPr/>
        <w:t xml:space="preserve"> {{field-on:bible}} </w:t>
        <w:br/>
        <w:t xml:space="preserve">Auch wenn ich durch </w:t>
      </w:r>
      <w:r>
        <w:rPr>
          <w:color w:val="808080"/>
        </w:rPr>
        <w:t>(in)</w:t>
      </w:r>
      <w:r>
        <w:rPr/>
        <w:t xml:space="preserve"> das Tal des Todesschattens </w:t>
      </w:r>
      <w:r>
        <w:rPr>
          <w:color w:val="808080"/>
        </w:rPr>
        <w:t>(das von tödlicher Gefahr überschattete Tal, das extrem finstere Tal)</w:t>
      </w:r>
      <w:r>
        <w:rPr/>
        <w:t xml:space="preserve"> </w:t>
      </w:r>
      <w:r>
        <w:rPr>
          <w:rStyle w:val="Funotenanker"/>
        </w:rPr>
        <w:footnoteReference w:customMarkFollows="1" w:id="816"/>
        <w:t>i</w:t>
      </w:r>
      <w:r>
        <w:rPr/>
        <w:t xml:space="preserve"> gehe </w:t>
      </w:r>
      <w:r>
        <w:rPr>
          <w:color w:val="808080"/>
        </w:rPr>
        <w:t>(gehen werde/muss/sollte, gerate</w:t>
      </w:r>
      <w:r>
        <w:rPr/>
        <w:t xml:space="preserve"> </w:t>
      </w:r>
      <w:r>
        <w:rPr>
          <w:rStyle w:val="Funotenanker"/>
        </w:rPr>
        <w:footnoteReference w:customMarkFollows="1" w:id="817"/>
        <w:t>j</w:t>
      </w:r>
      <w:r>
        <w:rPr/>
        <w:t xml:space="preserve"> </w:t>
      </w:r>
      <w:r>
        <w:rPr>
          <w:color w:val="808080"/>
        </w:rPr>
        <w:t>)</w:t>
      </w:r>
      <w:r>
        <w:rPr/>
        <w:t>,</w:t>
      </w:r>
      <w:r>
        <w:rPr>
          <w:position w:val="8"/>
          <w:sz w:val="19"/>
        </w:rPr>
        <w:t>[[ ℘ &gt;&gt; BibleTOBIBLE:Job 2:21]]</w:t>
      </w:r>
      <w:r>
        <w:rPr/>
        <w:t xml:space="preserve"> </w:t>
      </w:r>
      <w:r>
        <w:rPr>
          <w:position w:val="8"/>
          <w:sz w:val="19"/>
        </w:rPr>
        <w:t>[[ ℘ &gt;&gt; BibleTOBIBLE:Je 2:6]]</w:t>
      </w:r>
      <w:r>
        <w:rPr/>
        <w:t xml:space="preserve"> </w:t>
      </w:r>
      <w:r>
        <w:rPr>
          <w:position w:val="8"/>
          <w:sz w:val="19"/>
        </w:rPr>
        <w:t>[[ ℘ &gt;&gt; BibleTOBIBLE:Is 9:1]]</w:t>
      </w:r>
      <w:r>
        <w:rPr/>
        <w:t xml:space="preserve"> </w:t>
        <w:br/>
        <w:t xml:space="preserve">fürchte </w:t>
      </w:r>
      <w:r>
        <w:rPr>
          <w:color w:val="808080"/>
        </w:rPr>
        <w:t>(werde ich fürchten)</w:t>
      </w:r>
      <w:r>
        <w:rPr/>
        <w:t xml:space="preserve"> ich keine Gefahr </w:t>
      </w:r>
      <w:r>
        <w:rPr>
          <w:color w:val="808080"/>
        </w:rPr>
        <w:t>(Unheil, Übel, Unglück, nichts Böses, das Böse nicht, den Bösen nicht</w:t>
      </w:r>
      <w:r>
        <w:rPr/>
        <w:t xml:space="preserve"> </w:t>
      </w:r>
      <w:r>
        <w:rPr>
          <w:rStyle w:val="Funotenanker"/>
        </w:rPr>
        <w:footnoteReference w:customMarkFollows="1" w:id="818"/>
        <w:t>k</w:t>
      </w:r>
      <w:r>
        <w:rPr/>
        <w:t xml:space="preserve"> </w:t>
      </w:r>
      <w:r>
        <w:rPr>
          <w:color w:val="808080"/>
        </w:rPr>
        <w:t>)</w:t>
      </w:r>
      <w:r>
        <w:rPr/>
        <w:t>,</w:t>
      </w:r>
      <w:r>
        <w:rPr>
          <w:position w:val="8"/>
          <w:sz w:val="19"/>
        </w:rPr>
        <w:t>[[ ℘ &gt;&gt; BibleTOBIBLE:Is 41:10]]</w:t>
      </w:r>
      <w:r>
        <w:rPr/>
        <w:t xml:space="preserve"> </w:t>
      </w:r>
      <w:r>
        <w:rPr>
          <w:position w:val="8"/>
          <w:sz w:val="19"/>
        </w:rPr>
        <w:t>[[ ℘ &gt;&gt; BibleTOBIBLE:Is 43:1]]</w:t>
      </w:r>
      <w:r>
        <w:rPr/>
        <w:t xml:space="preserve"> </w:t>
        <w:br/>
        <w:t xml:space="preserve">denn du </w:t>
      </w:r>
      <w:r>
        <w:rPr>
          <w:b/>
          <w:color w:val="808080"/>
        </w:rPr>
        <w:t>[</w:t>
      </w:r>
      <w:r>
        <w:rPr/>
        <w:t>bist</w:t>
      </w:r>
      <w:r>
        <w:rPr>
          <w:b/>
          <w:color w:val="808080"/>
        </w:rPr>
        <w:t>]</w:t>
      </w:r>
      <w:r>
        <w:rPr/>
        <w:t xml:space="preserve"> bei mir.</w:t>
      </w:r>
      <w:r>
        <w:rPr>
          <w:position w:val="8"/>
          <w:sz w:val="19"/>
        </w:rPr>
        <w:t>[[ ℘ &gt;&gt; BibleTOBIBLE:Ex 3:14]]</w:t>
      </w:r>
      <w:r>
        <w:rPr/>
        <w:t xml:space="preserve"> </w:t>
        <w:br/>
        <w:t xml:space="preserve">Deine Keule </w:t>
      </w:r>
      <w:r>
        <w:rPr>
          <w:color w:val="808080"/>
        </w:rPr>
        <w:t>(Rute, Knüppel, Stock)</w:t>
      </w:r>
      <w:r>
        <w:rPr/>
        <w:t xml:space="preserve"> und dein Stab</w:t>
      </w:r>
      <w:r>
        <w:rPr>
          <w:rStyle w:val="Funotenanker"/>
        </w:rPr>
        <w:footnoteReference w:customMarkFollows="1" w:id="819"/>
        <w:t>l</w:t>
      </w:r>
      <w:r>
        <w:rPr/>
        <w:t xml:space="preserve"> </w:t>
      </w:r>
      <w:r>
        <w:rPr>
          <w:strike/>
          <w:color w:val="808080"/>
        </w:rPr>
        <w:t>{sie}</w:t>
      </w:r>
      <w:r>
        <w:rPr/>
        <w:t xml:space="preserve"> geben mir Zuversicht </w:t>
      </w:r>
      <w:r>
        <w:rPr>
          <w:color w:val="808080"/>
        </w:rPr>
        <w:t>(trösten/beruhigen mich, werden mir Zuversicht geben)</w:t>
      </w:r>
      <w:r>
        <w:rPr/>
        <w:t xml:space="preserve"> </w:t>
      </w:r>
      <w:r>
        <w:rPr>
          <w:rStyle w:val="Funotenanker"/>
        </w:rPr>
        <w:footnoteReference w:customMarkFollows="1" w:id="820"/>
        <w:t>m</w:t>
      </w:r>
      <w:r>
        <w:rPr/>
        <w:t xml:space="preserve">. </w:t>
        <w:br/>
        <w:t xml:space="preserve">{{field-off:bible}} </w:t>
        <w:br/>
        <w:t>[[@BibleTOBIBLE:Ps 23:5]]</w:t>
      </w:r>
      <w:r>
        <w:rPr>
          <w:b/>
        </w:rPr>
        <w:t>5</w:t>
      </w:r>
      <w:r>
        <w:rPr/>
        <w:t xml:space="preserve"> {{field-on:bible}} </w:t>
        <w:br/>
        <w:t xml:space="preserve">Du deckst </w:t>
      </w:r>
      <w:r>
        <w:rPr>
          <w:color w:val="808080"/>
        </w:rPr>
        <w:t>(bereitest vor, wirst decken)</w:t>
      </w:r>
      <w:r>
        <w:rPr/>
        <w:t xml:space="preserve"> vor mir einen Tisch </w:t>
      </w:r>
      <w:r>
        <w:rPr>
          <w:color w:val="808080"/>
        </w:rPr>
        <w:t>(eine Matte, ein Festmahl)</w:t>
      </w:r>
      <w:r>
        <w:rPr/>
        <w:t xml:space="preserve"> </w:t>
      </w:r>
      <w:r>
        <w:rPr>
          <w:rStyle w:val="Funotenanker"/>
        </w:rPr>
        <w:footnoteReference w:customMarkFollows="1" w:id="821"/>
        <w:t>n</w:t>
      </w:r>
      <w:r>
        <w:rPr/>
        <w:t>,</w:t>
      </w:r>
      <w:r>
        <w:rPr>
          <w:position w:val="8"/>
          <w:sz w:val="19"/>
        </w:rPr>
        <w:t>[[ ℘ &gt;&gt; BibleTOBIBLE:Ps 78:19]]</w:t>
      </w:r>
      <w:r>
        <w:rPr/>
        <w:t xml:space="preserve"> </w:t>
        <w:br/>
        <w:t xml:space="preserve">direkt vor </w:t>
      </w:r>
      <w:r>
        <w:rPr>
          <w:color w:val="808080"/>
        </w:rPr>
        <w:t>(gegenüber von)</w:t>
      </w:r>
      <w:r>
        <w:rPr/>
        <w:t xml:space="preserve"> meinen Feinden</w:t>
      </w:r>
      <w:r>
        <w:rPr>
          <w:rStyle w:val="Funotenanker"/>
        </w:rPr>
        <w:footnoteReference w:customMarkFollows="1" w:id="822"/>
        <w:t>o</w:t>
      </w:r>
      <w:r>
        <w:rPr/>
        <w:t xml:space="preserve"> </w:t>
      </w:r>
      <w:r>
        <w:rPr>
          <w:color w:val="808080"/>
        </w:rPr>
        <w:t>(meines Feindes</w:t>
      </w:r>
      <w:r>
        <w:rPr/>
        <w:t xml:space="preserve"> </w:t>
      </w:r>
      <w:r>
        <w:rPr>
          <w:rStyle w:val="Funotenanker"/>
        </w:rPr>
        <w:footnoteReference w:customMarkFollows="1" w:id="823"/>
        <w:t>p</w:t>
      </w:r>
      <w:r>
        <w:rPr/>
        <w:t xml:space="preserve"> </w:t>
      </w:r>
      <w:r>
        <w:rPr>
          <w:color w:val="808080"/>
        </w:rPr>
        <w:t>)</w:t>
      </w:r>
      <w:r>
        <w:rPr/>
        <w:t>.</w:t>
        <w:br/>
        <w:t xml:space="preserve">Du hast </w:t>
      </w:r>
      <w:r>
        <w:rPr>
          <w:color w:val="808080"/>
        </w:rPr>
        <w:t>(salbst)</w:t>
      </w:r>
      <w:r>
        <w:rPr/>
        <w:t xml:space="preserve"> meinen Kopf mit Öl </w:t>
      </w:r>
      <w:r>
        <w:rPr>
          <w:color w:val="808080"/>
        </w:rPr>
        <w:t>(Olivenöl, Fett)</w:t>
      </w:r>
      <w:r>
        <w:rPr/>
        <w:t xml:space="preserve"> gesalbt </w:t>
      </w:r>
      <w:r>
        <w:rPr>
          <w:color w:val="808080"/>
        </w:rPr>
        <w:t>(erfrischt, eingefettet)</w:t>
      </w:r>
      <w:r>
        <w:rPr/>
        <w:t xml:space="preserve"> </w:t>
      </w:r>
      <w:r>
        <w:rPr>
          <w:rStyle w:val="Funotenanker"/>
        </w:rPr>
        <w:footnoteReference w:customMarkFollows="1" w:id="824"/>
        <w:t>q</w:t>
      </w:r>
      <w:r>
        <w:rPr/>
        <w:t xml:space="preserve"> </w:t>
      </w:r>
      <w:r>
        <w:rPr>
          <w:position w:val="8"/>
          <w:sz w:val="19"/>
        </w:rPr>
        <w:t>[[ ℘ &gt;&gt; BibleTOBIBLE:Ps 133:2]]</w:t>
      </w:r>
      <w:r>
        <w:rPr/>
        <w:t xml:space="preserve"> </w:t>
        <w:br/>
        <w:t xml:space="preserve">Mein Becher </w:t>
      </w:r>
      <w:r>
        <w:rPr>
          <w:b/>
          <w:color w:val="808080"/>
        </w:rPr>
        <w:t>[</w:t>
      </w:r>
      <w:r>
        <w:rPr/>
        <w:t>ist</w:t>
      </w:r>
      <w:r>
        <w:rPr>
          <w:b/>
          <w:color w:val="808080"/>
        </w:rPr>
        <w:t>]</w:t>
      </w:r>
      <w:r>
        <w:rPr/>
        <w:t xml:space="preserve"> randvoll </w:t>
      </w:r>
      <w:r>
        <w:rPr>
          <w:color w:val="808080"/>
        </w:rPr>
        <w:t>(fließt über)</w:t>
      </w:r>
      <w:r>
        <w:rPr/>
        <w:t xml:space="preserve"> </w:t>
      </w:r>
      <w:r>
        <w:rPr>
          <w:rStyle w:val="Funotenanker"/>
        </w:rPr>
        <w:footnoteReference w:customMarkFollows="1" w:id="825"/>
        <w:t>r</w:t>
      </w:r>
      <w:r>
        <w:rPr/>
        <w:t>.</w:t>
      </w:r>
      <w:r>
        <w:rPr>
          <w:position w:val="8"/>
          <w:sz w:val="19"/>
        </w:rPr>
        <w:t>[[ ℘ &gt;&gt; BibleTOBIBLE:Ps 116:13]]</w:t>
      </w:r>
      <w:r>
        <w:rPr/>
        <w:t xml:space="preserve"> </w:t>
        <w:br/>
        <w:t xml:space="preserve">{{field-off:bible}} </w:t>
        <w:br/>
        <w:t>[[@BibleTOBIBLE:Ps 23:6]]</w:t>
      </w:r>
      <w:r>
        <w:rPr>
          <w:b/>
        </w:rPr>
        <w:t>6</w:t>
      </w:r>
      <w:r>
        <w:rPr/>
        <w:t xml:space="preserve"> {{field-on:bible}} </w:t>
        <w:br/>
        <w:t xml:space="preserve">Nur </w:t>
      </w:r>
      <w:r>
        <w:rPr>
          <w:color w:val="808080"/>
        </w:rPr>
        <w:t>(ja, nichts als)</w:t>
      </w:r>
      <w:r>
        <w:rPr/>
        <w:t xml:space="preserve"> </w:t>
      </w:r>
      <w:r>
        <w:rPr>
          <w:rStyle w:val="Funotenanker"/>
        </w:rPr>
        <w:footnoteReference w:customMarkFollows="1" w:id="826"/>
        <w:t>s</w:t>
      </w:r>
      <w:r>
        <w:rPr/>
        <w:t xml:space="preserve"> Güte </w:t>
      </w:r>
      <w:r>
        <w:rPr>
          <w:color w:val="808080"/>
        </w:rPr>
        <w:t>(Gutes)</w:t>
      </w:r>
      <w:r>
        <w:rPr/>
        <w:t xml:space="preserve"> und Liebe </w:t>
      </w:r>
      <w:r>
        <w:rPr>
          <w:color w:val="808080"/>
        </w:rPr>
        <w:t>(Gnade)</w:t>
      </w:r>
      <w:r>
        <w:rPr/>
        <w:t xml:space="preserve"> werden mir folgen </w:t>
      </w:r>
      <w:r>
        <w:rPr>
          <w:color w:val="808080"/>
        </w:rPr>
        <w:t>(verfolgen mich)</w:t>
      </w:r>
      <w:r>
        <w:rPr/>
        <w:t xml:space="preserve"> </w:t>
        <w:br/>
      </w:r>
      <w:r>
        <w:rPr>
          <w:b/>
          <w:color w:val="808080"/>
        </w:rPr>
        <w:t>[</w:t>
      </w:r>
      <w:r>
        <w:rPr/>
        <w:t>an</w:t>
      </w:r>
      <w:r>
        <w:rPr>
          <w:b/>
          <w:color w:val="808080"/>
        </w:rPr>
        <w:t>]</w:t>
      </w:r>
      <w:r>
        <w:rPr/>
        <w:t xml:space="preserve"> allen Tagen meines Lebens,</w:t>
        <w:br/>
        <w:t xml:space="preserve">und </w:t>
      </w:r>
      <w:r>
        <w:rPr>
          <w:color w:val="808080"/>
        </w:rPr>
        <w:t>(und dann, und so)</w:t>
      </w:r>
      <w:r>
        <w:rPr/>
        <w:t xml:space="preserve"> ich werde wohnen </w:t>
      </w:r>
      <w:r>
        <w:rPr>
          <w:color w:val="808080"/>
        </w:rPr>
        <w:t xml:space="preserve">(halte mich auf, werde </w:t>
      </w:r>
      <w:r>
        <w:rPr>
          <w:b/>
          <w:color w:val="808080"/>
        </w:rPr>
        <w:t>[</w:t>
      </w:r>
      <w:r>
        <w:rPr>
          <w:color w:val="808080"/>
        </w:rPr>
        <w:t>immer wieder</w:t>
      </w:r>
      <w:r>
        <w:rPr>
          <w:b/>
          <w:color w:val="808080"/>
        </w:rPr>
        <w:t>]</w:t>
      </w:r>
      <w:r>
        <w:rPr>
          <w:color w:val="808080"/>
        </w:rPr>
        <w:t xml:space="preserve"> </w:t>
      </w:r>
      <w:r>
        <w:rPr>
          <w:rStyle w:val="Funotenanker"/>
        </w:rPr>
        <w:footnoteReference w:customMarkFollows="1" w:id="827"/>
        <w:t>t</w:t>
      </w:r>
      <w:r>
        <w:rPr/>
        <w:t xml:space="preserve"> </w:t>
      </w:r>
      <w:r>
        <w:rPr>
          <w:color w:val="808080"/>
        </w:rPr>
        <w:t>zurückkehren)</w:t>
      </w:r>
      <w:r>
        <w:rPr/>
        <w:t xml:space="preserve"> </w:t>
      </w:r>
      <w:r>
        <w:rPr>
          <w:rStyle w:val="Funotenanker"/>
        </w:rPr>
        <w:footnoteReference w:customMarkFollows="1" w:id="828"/>
        <w:t>u</w:t>
      </w:r>
      <w:r>
        <w:rPr/>
        <w:t xml:space="preserve"> im </w:t>
      </w:r>
      <w:r>
        <w:rPr>
          <w:color w:val="808080"/>
        </w:rPr>
        <w:t>(ins)</w:t>
      </w:r>
      <w:r>
        <w:rPr/>
        <w:t xml:space="preserve"> Haus </w:t>
      </w:r>
      <w:r>
        <w:rPr>
          <w:smallCaps/>
          <w:color w:val="FF0000"/>
        </w:rPr>
        <w:t>JHWH</w:t>
      </w:r>
      <w:r>
        <w:rPr/>
        <w:t>s</w:t>
        <w:br/>
        <w:t>für die Länge meiner Tage.</w:t>
      </w:r>
      <w:r>
        <w:rPr>
          <w:position w:val="8"/>
          <w:sz w:val="19"/>
        </w:rPr>
        <w:t>[[ ℘ &gt;&gt; BibleTOBIBLE:Ps 5:8]][[ ℘ &gt;&gt; BibleTOBIBLE:Ps 61:5]]</w:t>
      </w:r>
      <w:r>
        <w:rPr/>
        <w:t xml:space="preserve"> </w:t>
        <w:br/>
        <w:t xml:space="preserve">{{field-off:bible}} </w:t>
      </w:r>
    </w:p>
    <w:p>
      <w:pPr>
        <w:pStyle w:val="Berschrift3"/>
        <w:rPr/>
      </w:pPr>
      <w:r>
        <w:rPr/>
        <w:t>[[@BibleTOBIBLE:Ps 30]]Kapitel 30</w:t>
      </w:r>
    </w:p>
    <w:p>
      <w:pPr>
        <w:pStyle w:val="Textkrper"/>
        <w:rPr/>
      </w:pPr>
      <w:r>
        <w:rPr/>
        <w:br/>
        <w:t>[[@BibleTOBIBLE:Ps 30:1]]</w:t>
      </w:r>
      <w:r>
        <w:rPr>
          <w:b/>
        </w:rPr>
        <w:t>1</w:t>
      </w:r>
      <w:r>
        <w:rPr/>
        <w:t xml:space="preserve"> {{field-on:bible}} </w:t>
      </w:r>
      <w:r>
        <w:rPr>
          <w:rStyle w:val="Funotenanker"/>
        </w:rPr>
        <w:footnoteReference w:customMarkFollows="1" w:id="829"/>
        <w:t>Status</w:t>
      </w:r>
      <w:r>
        <w:rPr/>
        <w:t xml:space="preserve"> Ein Psalm </w:t>
      </w:r>
      <w:r>
        <w:rPr>
          <w:color w:val="808080"/>
        </w:rPr>
        <w:t>(begleitetes Lied)</w:t>
      </w:r>
      <w:r>
        <w:rPr/>
        <w:t>. Ein Lied zur Tempelweihe</w:t>
      </w:r>
      <w:r>
        <w:rPr>
          <w:rStyle w:val="Funotenanker"/>
        </w:rPr>
        <w:footnoteReference w:customMarkFollows="1" w:id="830"/>
        <w:t>a</w:t>
      </w:r>
      <w:r>
        <w:rPr/>
        <w:t xml:space="preserve"> </w:t>
      </w:r>
      <w:r>
        <w:rPr>
          <w:color w:val="808080"/>
        </w:rPr>
        <w:t>(Einweihung des Hauses)</w:t>
      </w:r>
      <w:r>
        <w:rPr/>
        <w:t xml:space="preserve"> von </w:t>
      </w:r>
      <w:r>
        <w:rPr>
          <w:color w:val="808080"/>
        </w:rPr>
        <w:t>(für, über, nach Art von)</w:t>
      </w:r>
      <w:r>
        <w:rPr/>
        <w:t xml:space="preserve"> David </w:t>
        <w:br/>
        <w:t xml:space="preserve">{{field-off:bible}} </w:t>
        <w:br/>
        <w:t>[[@BibleTOBIBLE:Ps 30:2]]</w:t>
      </w:r>
      <w:r>
        <w:rPr>
          <w:b/>
        </w:rPr>
        <w:t>2</w:t>
      </w:r>
      <w:r>
        <w:rPr/>
        <w:t xml:space="preserve"> {{field-on:bible}} </w:t>
        <w:br/>
        <w:t xml:space="preserve">Ich will dir dafür danken, </w:t>
      </w:r>
      <w:r>
        <w:rPr>
          <w:smallCaps/>
          <w:color w:val="FF0000"/>
        </w:rPr>
        <w:t>JHWH</w:t>
      </w:r>
      <w:r>
        <w:rPr/>
        <w:t xml:space="preserve">, dass </w:t>
      </w:r>
      <w:r>
        <w:rPr>
          <w:color w:val="808080"/>
        </w:rPr>
        <w:t>(dich preisen/erhöhen, denn)</w:t>
      </w:r>
      <w:r>
        <w:rPr/>
        <w:t xml:space="preserve"> </w:t>
      </w:r>
      <w:r>
        <w:rPr>
          <w:rStyle w:val="Funotenanker"/>
        </w:rPr>
        <w:footnoteReference w:customMarkFollows="1" w:id="831"/>
        <w:t>b</w:t>
      </w:r>
      <w:r>
        <w:rPr/>
        <w:t xml:space="preserve"> du mich herausgeschöpft </w:t>
      </w:r>
      <w:r>
        <w:rPr>
          <w:color w:val="808080"/>
        </w:rPr>
        <w:t>(emporgezogen)</w:t>
      </w:r>
      <w:r>
        <w:rPr/>
        <w:t xml:space="preserve"> </w:t>
      </w:r>
      <w:r>
        <w:rPr>
          <w:rStyle w:val="Funotenanker"/>
        </w:rPr>
        <w:footnoteReference w:customMarkFollows="1" w:id="832"/>
        <w:t>c</w:t>
      </w:r>
      <w:r>
        <w:rPr/>
        <w:t xml:space="preserve"> </w:t>
      </w:r>
      <w:r>
        <w:rPr>
          <w:rStyle w:val="Funotenanker"/>
        </w:rPr>
        <w:footnoteReference w:customMarkFollows="1" w:id="833"/>
        <w:t>d</w:t>
      </w:r>
      <w:r>
        <w:rPr/>
        <w:t xml:space="preserve"> hast</w:t>
      </w:r>
      <w:r>
        <w:rPr>
          <w:position w:val="8"/>
          <w:sz w:val="19"/>
        </w:rPr>
        <w:t>[[ ℘ &gt;&gt; BibleTOBIBLE:Ps 145:1]]</w:t>
      </w:r>
      <w:r>
        <w:rPr/>
        <w:t xml:space="preserve"> und dass du meine Feinde </w:t>
      </w:r>
      <w:r>
        <w:rPr>
          <w:color w:val="808080"/>
        </w:rPr>
        <w:t>(meinen Feind)</w:t>
      </w:r>
      <w:r>
        <w:rPr/>
        <w:t xml:space="preserve"> </w:t>
      </w:r>
      <w:r>
        <w:rPr>
          <w:rStyle w:val="Funotenanker"/>
        </w:rPr>
        <w:footnoteReference w:customMarkFollows="1" w:id="834"/>
        <w:t>e</w:t>
      </w:r>
      <w:r>
        <w:rPr/>
        <w:t xml:space="preserve"> sich nicht über mich </w:t>
      </w:r>
      <w:r>
        <w:rPr>
          <w:color w:val="808080"/>
        </w:rPr>
        <w:t>(meine meinigen Feinde sich nicht)</w:t>
      </w:r>
      <w:r>
        <w:rPr/>
        <w:t xml:space="preserve"> </w:t>
      </w:r>
      <w:r>
        <w:rPr>
          <w:rStyle w:val="Funotenanker"/>
        </w:rPr>
        <w:footnoteReference w:customMarkFollows="1" w:id="835"/>
        <w:t>f</w:t>
      </w:r>
      <w:r>
        <w:rPr/>
        <w:t xml:space="preserve"> freuen </w:t>
      </w:r>
      <w:r>
        <w:rPr>
          <w:color w:val="808080"/>
        </w:rPr>
        <w:t>(triumphieren)</w:t>
      </w:r>
      <w:r>
        <w:rPr/>
        <w:t xml:space="preserve"> lassen hast.</w:t>
      </w:r>
      <w:r>
        <w:rPr>
          <w:position w:val="8"/>
          <w:sz w:val="19"/>
        </w:rPr>
        <w:t>[[ ℘ &gt;&gt; BibleTOBIBLE:Ps 13:4]][[ ℘ &gt;&gt; BibleTOBIBLE:Ps 25:2]][[ ℘ &gt;&gt; BibleTOBIBLE:Ps 35:34]][[ ℘ &gt;&gt; BibleTOBIBLE:Ps 41:12]][[ ℘ &gt;&gt; BibleTOBIBLE:Ps 89:43]][[ ℘ &gt;&gt; BibleTOBIBLE:Ps 140:9]]</w:t>
      </w:r>
      <w:r>
        <w:rPr/>
        <w:t xml:space="preserve"> </w:t>
        <w:br/>
        <w:t xml:space="preserve">{{field-off:bible}} </w:t>
        <w:br/>
        <w:t>[[@BibleTOBIBLE:Ps 30:3]]</w:t>
      </w:r>
      <w:r>
        <w:rPr>
          <w:b/>
        </w:rPr>
        <w:t>3</w:t>
      </w:r>
      <w:r>
        <w:rPr/>
        <w:t xml:space="preserve"> {{field-on:bible}} </w:t>
        <w:br/>
      </w:r>
      <w:r>
        <w:rPr>
          <w:smallCaps/>
          <w:color w:val="FF0000"/>
        </w:rPr>
        <w:t>JHWH</w:t>
      </w:r>
      <w:r>
        <w:rPr/>
        <w:t xml:space="preserve">, mein Gott </w:t>
      </w:r>
      <w:r>
        <w:rPr>
          <w:color w:val="808080"/>
        </w:rPr>
        <w:t>(</w:t>
      </w:r>
      <w:r>
        <w:rPr>
          <w:smallCaps/>
          <w:color w:val="FF0000"/>
        </w:rPr>
        <w:t>JHWH</w:t>
      </w:r>
      <w:r>
        <w:rPr>
          <w:color w:val="808080"/>
        </w:rPr>
        <w:t>, du bist mein Gott.)</w:t>
      </w:r>
      <w:r>
        <w:rPr/>
        <w:t xml:space="preserve">, ich schrie zu dir um Hilfe </w:t>
      </w:r>
      <w:r>
        <w:rPr>
          <w:color w:val="808080"/>
        </w:rPr>
        <w:t>(schrie zu dir, rief dich an)</w:t>
      </w:r>
      <w:r>
        <w:rPr/>
        <w:t xml:space="preserve"> Und du hast mich geheilt </w:t>
      </w:r>
      <w:r>
        <w:rPr>
          <w:color w:val="808080"/>
        </w:rPr>
        <w:t>(damit du mich heilst, als ich zu dir schrie, hast du mich geheilt)</w:t>
      </w:r>
      <w:r>
        <w:rPr/>
        <w:t xml:space="preserve">. </w:t>
      </w:r>
      <w:r>
        <w:rPr>
          <w:position w:val="8"/>
          <w:sz w:val="19"/>
        </w:rPr>
        <w:t>[[ ℘ &gt;&gt; BibleTOBIBLE:Ps 6:3]][[ ℘ &gt;&gt; BibleTOBIBLE:Ps 103:3]][[ ℘ &gt;&gt; BibleTOBIBLE:Ps 147:3]][[ ℘ &gt;&gt; BibleTOBIBLE:Is 6:10]][[ ℘ &gt;&gt; BibleTOBIBLE:Is 57:18]]</w:t>
      </w:r>
      <w:r>
        <w:rPr/>
        <w:t xml:space="preserve"> </w:t>
        <w:br/>
        <w:t xml:space="preserve">{{field-off:bible}} </w:t>
        <w:br/>
        <w:t>[[@BibleTOBIBLE:Ps 30:4]]</w:t>
      </w:r>
      <w:r>
        <w:rPr>
          <w:b/>
        </w:rPr>
        <w:t>4</w:t>
      </w:r>
      <w:r>
        <w:rPr/>
        <w:t xml:space="preserve"> {{field-on:bible}} </w:t>
        <w:br/>
      </w:r>
      <w:r>
        <w:rPr>
          <w:smallCaps/>
          <w:color w:val="FF0000"/>
        </w:rPr>
        <w:t>JHWH</w:t>
      </w:r>
      <w:r>
        <w:rPr/>
        <w:t xml:space="preserve">, du hast mich </w:t>
      </w:r>
      <w:r>
        <w:rPr>
          <w:color w:val="808080"/>
        </w:rPr>
        <w:t>(meine Seele)</w:t>
      </w:r>
      <w:r>
        <w:rPr/>
        <w:t xml:space="preserve"> </w:t>
      </w:r>
      <w:r>
        <w:rPr>
          <w:rStyle w:val="Funotenanker"/>
        </w:rPr>
        <w:footnoteReference w:customMarkFollows="1" w:id="836"/>
        <w:t>g</w:t>
      </w:r>
      <w:r>
        <w:rPr/>
        <w:t xml:space="preserve"> aus dem Scheol </w:t>
      </w:r>
      <w:r>
        <w:rPr>
          <w:color w:val="808080"/>
        </w:rPr>
        <w:t>(aus der Unterwelt, aus der Totenwelt)</w:t>
      </w:r>
      <w:r>
        <w:rPr/>
        <w:t xml:space="preserve"> heraufgeholt</w:t>
      </w:r>
      <w:r>
        <w:rPr>
          <w:rStyle w:val="Funotenanker"/>
        </w:rPr>
        <w:footnoteReference w:customMarkFollows="1" w:id="837"/>
        <w:t>h</w:t>
      </w:r>
      <w:r>
        <w:rPr/>
        <w:t>,</w:t>
      </w:r>
      <w:r>
        <w:rPr>
          <w:position w:val="8"/>
          <w:sz w:val="19"/>
        </w:rPr>
        <w:t>[[ ℘ &gt;&gt; BibleTOBIBLE:Job 33:28]][[ ℘ &gt;&gt; BibleTOBIBLE:Ps 16:10]][[ ℘ &gt;&gt; BibleTOBIBLE:Ps 40:3]][[ ℘ &gt;&gt; BibleTOBIBLE:Ps 56:14]][[ ℘ &gt;&gt; BibleTOBIBLE:Ps 71:20]][[ ℘ &gt;&gt; BibleTOBIBLE:Ps 86:13]][[ ℘ &gt;&gt; BibleTOBIBLE:Ps 116:8]][[ ℘ &gt;&gt; BibleTOBIBLE:Is 38:17]][[ ℘ &gt;&gt; BibleTOBIBLE:Jon 2:7]]</w:t>
      </w:r>
      <w:r>
        <w:rPr/>
        <w:t xml:space="preserve"> du hast mich erweckt </w:t>
      </w:r>
      <w:r>
        <w:rPr>
          <w:color w:val="808080"/>
        </w:rPr>
        <w:t>(mich leben lassen)</w:t>
      </w:r>
      <w:r>
        <w:rPr/>
        <w:t xml:space="preserve"> aus den zur Grube</w:t>
      </w:r>
      <w:r>
        <w:rPr>
          <w:rStyle w:val="Funotenanker"/>
        </w:rPr>
        <w:footnoteReference w:customMarkFollows="1" w:id="838"/>
        <w:t>i</w:t>
      </w:r>
      <w:r>
        <w:rPr/>
        <w:t xml:space="preserve"> Hinabgefahrenen </w:t>
      </w:r>
      <w:r>
        <w:rPr>
          <w:color w:val="808080"/>
        </w:rPr>
        <w:t>(bewahrt vom Hinabfahren)</w:t>
      </w:r>
      <w:r>
        <w:rPr/>
        <w:t xml:space="preserve"> </w:t>
      </w:r>
      <w:r>
        <w:rPr>
          <w:rStyle w:val="Funotenanker"/>
        </w:rPr>
        <w:footnoteReference w:customMarkFollows="1" w:id="839"/>
        <w:t>j</w:t>
      </w:r>
      <w:r>
        <w:rPr/>
        <w:t>.</w:t>
      </w:r>
      <w:r>
        <w:rPr>
          <w:position w:val="8"/>
          <w:sz w:val="19"/>
        </w:rPr>
        <w:t>[[ ℘ &gt;&gt; BibleTOBIBLE:Ps 28:1]]</w:t>
      </w:r>
      <w:r>
        <w:rPr/>
        <w:t xml:space="preserve"> </w:t>
        <w:br/>
        <w:br/>
        <w:t xml:space="preserve">{{field-off:bible}} </w:t>
        <w:br/>
        <w:t>[[@BibleTOBIBLE:Ps 30:5]]</w:t>
      </w:r>
      <w:r>
        <w:rPr>
          <w:b/>
        </w:rPr>
        <w:t>5</w:t>
      </w:r>
      <w:r>
        <w:rPr/>
        <w:t xml:space="preserve"> {{field-on:bible}} </w:t>
        <w:br/>
        <w:t xml:space="preserve">Singt </w:t>
      </w:r>
      <w:r>
        <w:rPr>
          <w:color w:val="808080"/>
        </w:rPr>
        <w:t>(spielt)</w:t>
      </w:r>
      <w:r>
        <w:rPr/>
        <w:t xml:space="preserve"> </w:t>
      </w:r>
      <w:r>
        <w:rPr>
          <w:rStyle w:val="Funotenanker"/>
        </w:rPr>
        <w:footnoteReference w:customMarkFollows="1" w:id="840"/>
        <w:t>k</w:t>
      </w:r>
      <w:r>
        <w:rPr/>
        <w:t xml:space="preserve"> </w:t>
      </w:r>
      <w:r>
        <w:rPr>
          <w:smallCaps/>
          <w:color w:val="FF0000"/>
        </w:rPr>
        <w:t>JHWH</w:t>
      </w:r>
      <w:r>
        <w:rPr/>
        <w:t>, ihr seine Frommen</w:t>
      </w:r>
      <w:r>
        <w:rPr>
          <w:rStyle w:val="Funotenanker"/>
        </w:rPr>
        <w:footnoteReference w:customMarkFollows="1" w:id="841"/>
        <w:t>l</w:t>
      </w:r>
      <w:r>
        <w:rPr/>
        <w:t>,</w:t>
      </w:r>
      <w:r>
        <w:rPr>
          <w:position w:val="8"/>
          <w:sz w:val="19"/>
        </w:rPr>
        <w:t>[[ ℘ &gt;&gt; BibleTOBIBLE:Ps 33:1]][[ ℘ &gt;&gt; BibleTOBIBLE:Ps 132:9]][[ ℘ &gt;&gt; BibleTOBIBLE:Ps 149:1]]</w:t>
      </w:r>
      <w:r>
        <w:rPr/>
        <w:t xml:space="preserve"> preist den Heiligen </w:t>
      </w:r>
      <w:r>
        <w:rPr>
          <w:color w:val="808080"/>
        </w:rPr>
        <w:t>(seinen heiligen Namen, das Gedenken seiner Heiligkeit)</w:t>
      </w:r>
      <w:r>
        <w:rPr/>
        <w:t xml:space="preserve"> </w:t>
      </w:r>
      <w:r>
        <w:rPr>
          <w:rStyle w:val="Funotenanker"/>
        </w:rPr>
        <w:footnoteReference w:customMarkFollows="1" w:id="842"/>
        <w:t>m</w:t>
      </w:r>
      <w:r>
        <w:rPr/>
        <w:t>!</w:t>
      </w:r>
      <w:r>
        <w:rPr>
          <w:position w:val="8"/>
          <w:sz w:val="19"/>
        </w:rPr>
        <w:t>[[ ℘ &gt;&gt; BibleTOBIBLE:Ps 97:12]]</w:t>
      </w:r>
      <w:r>
        <w:rPr/>
        <w:t xml:space="preserve"> </w:t>
        <w:br/>
        <w:t xml:space="preserve">{{field-off:bible}} </w:t>
        <w:br/>
        <w:t>[[@BibleTOBIBLE:Ps 30:6]]</w:t>
      </w:r>
      <w:r>
        <w:rPr>
          <w:b/>
        </w:rPr>
        <w:t>6</w:t>
      </w:r>
      <w:r>
        <w:rPr/>
        <w:t xml:space="preserve"> {{field-on:bible}} </w:t>
        <w:br/>
      </w:r>
      <w:r>
        <w:rPr>
          <w:strike/>
          <w:color w:val="808080"/>
        </w:rPr>
        <w:t>{Oh!,}</w:t>
      </w:r>
      <w:r>
        <w:rPr/>
        <w:t xml:space="preserve"> </w:t>
      </w:r>
      <w:r>
        <w:rPr>
          <w:color w:val="808080"/>
        </w:rPr>
        <w:t>(Denn)</w:t>
      </w:r>
      <w:r>
        <w:rPr/>
        <w:t xml:space="preserve"> </w:t>
      </w:r>
      <w:r>
        <w:rPr>
          <w:rStyle w:val="Funotenanker"/>
        </w:rPr>
        <w:footnoteReference w:customMarkFollows="1" w:id="843"/>
        <w:t>n</w:t>
      </w:r>
      <w:r>
        <w:rPr/>
        <w:t xml:space="preserve"> </w:t>
      </w:r>
      <w:r>
        <w:rPr>
          <w:b/>
          <w:color w:val="808080"/>
        </w:rPr>
        <w:t>[</w:t>
      </w:r>
      <w:r>
        <w:rPr/>
        <w:t>Nur</w:t>
      </w:r>
      <w:r>
        <w:rPr>
          <w:b/>
          <w:color w:val="808080"/>
        </w:rPr>
        <w:t>]</w:t>
      </w:r>
      <w:r>
        <w:rPr/>
        <w:t xml:space="preserve"> einen Augenblick lang währt sein Zorn, ein Leben lang währt seine Huld.</w:t>
      </w:r>
      <w:r>
        <w:rPr>
          <w:rStyle w:val="Funotenanker"/>
        </w:rPr>
        <w:footnoteReference w:customMarkFollows="1" w:id="844"/>
        <w:t>o</w:t>
      </w:r>
      <w:r>
        <w:rPr/>
        <w:t xml:space="preserve"> </w:t>
      </w:r>
      <w:r>
        <w:rPr>
          <w:position w:val="8"/>
          <w:sz w:val="19"/>
        </w:rPr>
        <w:t>[[ ℘ &gt;&gt; BibleTOBIBLE:Ps 103:9]][[ ℘ &gt;&gt; BibleTOBIBLE:Is 54:7]][[ ℘ &gt;&gt; BibleTOBIBLE:Is 57:16]][[ ℘ &gt;&gt; BibleTOBIBLE:2Co 4:17]]</w:t>
      </w:r>
      <w:r>
        <w:rPr/>
        <w:t xml:space="preserve"> </w:t>
        <w:br/>
      </w:r>
      <w:r>
        <w:rPr>
          <w:strike/>
          <w:color w:val="808080"/>
        </w:rPr>
        <w:t>{Oh!,}</w:t>
      </w:r>
      <w:r>
        <w:rPr/>
        <w:t xml:space="preserve"> </w:t>
      </w:r>
      <w:r>
        <w:rPr>
          <w:color w:val="808080"/>
        </w:rPr>
        <w:t>(Denn)</w:t>
      </w:r>
      <w:r>
        <w:rPr/>
        <w:t xml:space="preserve"> Bleibt auch das Weinen </w:t>
      </w:r>
      <w:r>
        <w:rPr>
          <w:color w:val="808080"/>
        </w:rPr>
        <w:t>(das Weinen bleibt)</w:t>
      </w:r>
      <w:r>
        <w:rPr/>
        <w:t xml:space="preserve"> über Nacht </w:t>
      </w:r>
      <w:r>
        <w:rPr>
          <w:color w:val="808080"/>
        </w:rPr>
        <w:t>(am Abend, verbringt man die Nacht auch weinend)</w:t>
      </w:r>
      <w:r>
        <w:rPr/>
        <w:t xml:space="preserve"> </w:t>
      </w:r>
      <w:r>
        <w:rPr>
          <w:rStyle w:val="Funotenanker"/>
        </w:rPr>
        <w:footnoteReference w:customMarkFollows="1" w:id="845"/>
        <w:t>p</w:t>
      </w:r>
      <w:r>
        <w:rPr/>
        <w:t xml:space="preserve"> </w:t>
      </w:r>
      <w:r>
        <w:rPr>
          <w:b/>
          <w:color w:val="808080"/>
        </w:rPr>
        <w:t>[</w:t>
      </w:r>
      <w:r>
        <w:rPr/>
        <w:t>ist</w:t>
      </w:r>
      <w:r>
        <w:rPr>
          <w:b/>
          <w:color w:val="808080"/>
        </w:rPr>
        <w:t>]</w:t>
      </w:r>
      <w:r>
        <w:rPr/>
        <w:t xml:space="preserve"> doch am Morgen </w:t>
      </w:r>
      <w:r>
        <w:rPr>
          <w:color w:val="808080"/>
        </w:rPr>
        <w:t>(und am Morgen ist)</w:t>
      </w:r>
      <w:r>
        <w:rPr/>
        <w:t xml:space="preserve"> Jauchzen.</w:t>
      </w:r>
      <w:r>
        <w:rPr>
          <w:position w:val="8"/>
          <w:sz w:val="19"/>
        </w:rPr>
        <w:t>[[ ℘ &gt;&gt; BibleTOBIBLE:Ps 46:7]][[ ℘ &gt;&gt; BibleTOBIBLE:Ps 143:8]][[ ℘ &gt;&gt; BibleTOBIBLE:Ps 126:5]][[ ℘ &gt;&gt; BibleTOBIBLE:Jn 16:20]]</w:t>
      </w:r>
      <w:r>
        <w:rPr/>
        <w:t xml:space="preserve"> </w:t>
        <w:br/>
        <w:br/>
        <w:t xml:space="preserve">{{field-off:bible}} </w:t>
        <w:br/>
        <w:t>[[@BibleTOBIBLE:Ps 30:7]]</w:t>
      </w:r>
      <w:r>
        <w:rPr>
          <w:b/>
        </w:rPr>
        <w:t>7</w:t>
      </w:r>
      <w:r>
        <w:rPr/>
        <w:t xml:space="preserve"> {{field-on:bible}} </w:t>
        <w:br/>
        <w:t>Als ich</w:t>
      </w:r>
      <w:r>
        <w:rPr>
          <w:rStyle w:val="Funotenanker"/>
        </w:rPr>
        <w:footnoteReference w:customMarkFollows="1" w:id="846"/>
        <w:t>q</w:t>
      </w:r>
      <w:r>
        <w:rPr/>
        <w:t xml:space="preserve"> in meiner Sorglosigkeit sprach: „Niemals werde ich wanken</w:t>
      </w:r>
      <w:r>
        <w:rPr>
          <w:rStyle w:val="Funotenanker"/>
        </w:rPr>
        <w:footnoteReference w:customMarkFollows="1" w:id="847"/>
        <w:t>r</w:t>
      </w:r>
      <w:r>
        <w:rPr/>
        <w:t>!“</w:t>
      </w:r>
      <w:r>
        <w:rPr>
          <w:position w:val="8"/>
          <w:sz w:val="19"/>
        </w:rPr>
        <w:t>[[ ℘ &gt;&gt; BibleTOBIBLE:Ps 16:8]][[ ℘ &gt;&gt; BibleTOBIBLE:Ps 46:6]][[ ℘ &gt;&gt; BibleTOBIBLE:Ps 62:3]][[ ℘ &gt;&gt; BibleTOBIBLE:Ps 112:6]][[ ℘ &gt;&gt; BibleTOBIBLE:Ps 125:1]][[ ℘ &gt;&gt; BibleTOBIBLE:Pr 10:30]][[ ℘ &gt;&gt; BibleTOBIBLE:Pr 12:3]]</w:t>
      </w:r>
      <w:r>
        <w:rPr/>
        <w:t xml:space="preserve"> </w:t>
        <w:br/>
        <w:t xml:space="preserve">{{field-off:bible}} </w:t>
        <w:br/>
        <w:t>[[@BibleTOBIBLE:Ps 30:8]]</w:t>
      </w:r>
      <w:r>
        <w:rPr>
          <w:b/>
        </w:rPr>
        <w:t>8</w:t>
      </w:r>
      <w:r>
        <w:rPr/>
        <w:t xml:space="preserve"> {{field-on:bible}} </w:t>
        <w:br/>
        <w:t xml:space="preserve">weil du </w:t>
      </w:r>
      <w:r>
        <w:rPr>
          <w:color w:val="808080"/>
        </w:rPr>
        <w:t>(</w:t>
      </w:r>
      <w:r>
        <w:rPr>
          <w:b/>
          <w:color w:val="808080"/>
        </w:rPr>
        <w:t>[</w:t>
      </w:r>
      <w:r>
        <w:rPr>
          <w:color w:val="808080"/>
        </w:rPr>
        <w:t>und</w:t>
      </w:r>
      <w:r>
        <w:rPr>
          <w:b/>
          <w:color w:val="808080"/>
        </w:rPr>
        <w:t>]</w:t>
      </w:r>
      <w:r>
        <w:rPr>
          <w:color w:val="808080"/>
        </w:rPr>
        <w:t xml:space="preserve"> als du)</w:t>
      </w:r>
      <w:r>
        <w:rPr/>
        <w:t xml:space="preserve">, </w:t>
      </w:r>
      <w:r>
        <w:rPr>
          <w:smallCaps/>
          <w:color w:val="FF0000"/>
        </w:rPr>
        <w:t>JHWH</w:t>
      </w:r>
      <w:r>
        <w:rPr/>
        <w:t xml:space="preserve"> </w:t>
      </w:r>
      <w:r>
        <w:rPr>
          <w:color w:val="808080"/>
        </w:rPr>
        <w:t>(</w:t>
      </w:r>
      <w:r>
        <w:rPr>
          <w:strike/>
          <w:color w:val="808080"/>
        </w:rPr>
        <w:t>{</w:t>
      </w:r>
      <w:r>
        <w:rPr>
          <w:smallCaps/>
          <w:strike/>
          <w:color w:val="FF0000"/>
        </w:rPr>
        <w:t>JHWH</w:t>
      </w:r>
      <w:r>
        <w:rPr>
          <w:strike/>
          <w:color w:val="808080"/>
        </w:rPr>
        <w:t>}</w:t>
      </w:r>
      <w:r>
        <w:rPr>
          <w:color w:val="808080"/>
        </w:rPr>
        <w:t>)</w:t>
      </w:r>
      <w:r>
        <w:rPr/>
        <w:t xml:space="preserve"> </w:t>
      </w:r>
      <w:r>
        <w:rPr>
          <w:rStyle w:val="Funotenanker"/>
        </w:rPr>
        <w:footnoteReference w:customMarkFollows="1" w:id="848"/>
        <w:t>s</w:t>
      </w:r>
      <w:r>
        <w:rPr/>
        <w:t xml:space="preserve">, mich in deiner Gunst standhafter als die starken </w:t>
      </w:r>
      <w:r>
        <w:rPr>
          <w:color w:val="808080"/>
        </w:rPr>
        <w:t>(sicheren)</w:t>
      </w:r>
      <w:r>
        <w:rPr/>
        <w:t xml:space="preserve"> Berge gemacht hast,</w:t>
      </w:r>
      <w:r>
        <w:rPr>
          <w:rStyle w:val="Funotenanker"/>
        </w:rPr>
        <w:footnoteReference w:customMarkFollows="1" w:id="849"/>
        <w:t>t</w:t>
      </w:r>
      <w:r>
        <w:rPr/>
        <w:t xml:space="preserve"> </w:t>
      </w:r>
      <w:r>
        <w:rPr>
          <w:position w:val="8"/>
          <w:sz w:val="19"/>
        </w:rPr>
        <w:t>[[ ℘ &gt;&gt; BibleTOBIBLE:Ps 40:2]][[ ℘ &gt;&gt; BibleTOBIBLE:Ps 125:1]]</w:t>
      </w:r>
      <w:r>
        <w:rPr/>
        <w:t xml:space="preserve"> </w:t>
        <w:br/>
        <w:t xml:space="preserve">verbargst du dein Gesicht </w:t>
      </w:r>
      <w:r>
        <w:rPr>
          <w:color w:val="808080"/>
        </w:rPr>
        <w:t>(wandtest du dein Gesicht ab)</w:t>
      </w:r>
      <w:r>
        <w:rPr/>
        <w:t xml:space="preserve"> </w:t>
      </w:r>
      <w:r>
        <w:rPr>
          <w:rStyle w:val="Funotenanker"/>
        </w:rPr>
        <w:footnoteReference w:customMarkFollows="1" w:id="850"/>
        <w:t>u</w:t>
      </w:r>
      <w:r>
        <w:rPr/>
        <w:t xml:space="preserve"> </w:t>
      </w:r>
      <w:r>
        <w:rPr>
          <w:position w:val="8"/>
          <w:sz w:val="19"/>
        </w:rPr>
        <w:t>[[ ℘ &gt;&gt; BibleTOBIBLE:Ps 104:29]][[ ℘ &gt;&gt; BibleTOBIBLE:Ps 143:7]][[ ℘ &gt;&gt; BibleTOBIBLE:Is 64:6]][[ ℘ &gt;&gt; BibleTOBIBLE:Je 33:5]][[ ℘ &gt;&gt; BibleTOBIBLE:Eze 39:23]]</w:t>
      </w:r>
      <w:r>
        <w:rPr/>
        <w:t xml:space="preserve"> </w:t>
      </w:r>
      <w:r>
        <w:rPr>
          <w:b/>
          <w:color w:val="808080"/>
        </w:rPr>
        <w:t>[</w:t>
      </w:r>
      <w:r>
        <w:rPr/>
        <w:t>und</w:t>
      </w:r>
      <w:r>
        <w:rPr>
          <w:b/>
          <w:color w:val="808080"/>
        </w:rPr>
        <w:t>]</w:t>
      </w:r>
      <w:r>
        <w:rPr/>
        <w:t xml:space="preserve"> ich war bestürzt </w:t>
      </w:r>
      <w:r>
        <w:rPr>
          <w:color w:val="808080"/>
        </w:rPr>
        <w:t>(erschrak)</w:t>
      </w:r>
      <w:r>
        <w:rPr/>
        <w:t xml:space="preserve"> </w:t>
        <w:br/>
        <w:t xml:space="preserve">{{field-off:bible}} </w:t>
        <w:br/>
        <w:t>[[@BibleTOBIBLE:Ps 30:9]]</w:t>
      </w:r>
      <w:r>
        <w:rPr>
          <w:b/>
        </w:rPr>
        <w:t>9</w:t>
      </w:r>
      <w:r>
        <w:rPr/>
        <w:t xml:space="preserve"> {{field-on:bible}} </w:t>
        <w:br/>
      </w:r>
      <w:r>
        <w:rPr>
          <w:b/>
          <w:color w:val="808080"/>
        </w:rPr>
        <w:t>[</w:t>
      </w:r>
      <w:r>
        <w:rPr/>
        <w:t>Und sprach:</w:t>
      </w:r>
      <w:r>
        <w:rPr>
          <w:b/>
          <w:color w:val="808080"/>
        </w:rPr>
        <w:t>]</w:t>
      </w:r>
      <w:r>
        <w:rPr/>
        <w:t xml:space="preserve"> </w:t>
      </w:r>
      <w:r>
        <w:rPr>
          <w:rStyle w:val="Funotenanker"/>
        </w:rPr>
        <w:footnoteReference w:customMarkFollows="1" w:id="851"/>
        <w:t>v</w:t>
      </w:r>
      <w:r>
        <w:rPr/>
        <w:t xml:space="preserve"> „Ich will zu dir rufen, </w:t>
      </w:r>
      <w:r>
        <w:rPr>
          <w:smallCaps/>
          <w:color w:val="FF0000"/>
        </w:rPr>
        <w:t>JHWH</w:t>
      </w:r>
      <w:r>
        <w:rPr/>
        <w:t xml:space="preserve">, und zu meinem Herrn </w:t>
      </w:r>
      <w:r>
        <w:rPr>
          <w:color w:val="808080"/>
        </w:rPr>
        <w:t>(zu dir, meinem Herrn)</w:t>
      </w:r>
      <w:r>
        <w:rPr/>
        <w:t xml:space="preserve"> </w:t>
      </w:r>
      <w:r>
        <w:rPr>
          <w:rStyle w:val="Funotenanker"/>
        </w:rPr>
        <w:footnoteReference w:customMarkFollows="1" w:id="852"/>
        <w:t>w</w:t>
      </w:r>
      <w:r>
        <w:rPr/>
        <w:t xml:space="preserve"> flehen!</w:t>
      </w:r>
      <w:r>
        <w:rPr>
          <w:position w:val="8"/>
          <w:sz w:val="19"/>
        </w:rPr>
        <w:t>[[ ℘ &gt;&gt; BibleTOBIBLE:Ps 77:2]][[ ℘ &gt;&gt; BibleTOBIBLE:Ps 130:1]]</w:t>
      </w:r>
      <w:r>
        <w:rPr/>
        <w:t xml:space="preserve"> </w:t>
        <w:br/>
        <w:t xml:space="preserve">{{field-off:bible}} </w:t>
        <w:br/>
        <w:t>[[@BibleTOBIBLE:Ps 30:10]]</w:t>
      </w:r>
      <w:r>
        <w:rPr>
          <w:b/>
        </w:rPr>
        <w:t>10</w:t>
      </w:r>
      <w:r>
        <w:rPr/>
        <w:t xml:space="preserve"> {{field-on:bible}} </w:t>
        <w:br/>
        <w:t xml:space="preserve">Welcher Gewinn </w:t>
      </w:r>
      <w:r>
        <w:rPr>
          <w:b/>
          <w:color w:val="808080"/>
        </w:rPr>
        <w:t>[</w:t>
      </w:r>
      <w:r>
        <w:rPr/>
        <w:t>ist</w:t>
      </w:r>
      <w:r>
        <w:rPr>
          <w:b/>
          <w:color w:val="808080"/>
        </w:rPr>
        <w:t>]</w:t>
      </w:r>
      <w:r>
        <w:rPr/>
        <w:t xml:space="preserve"> in meinem Blut</w:t>
      </w:r>
      <w:r>
        <w:rPr>
          <w:rStyle w:val="Funotenanker"/>
        </w:rPr>
        <w:footnoteReference w:customMarkFollows="1" w:id="853"/>
        <w:t>x</w:t>
      </w:r>
      <w:r>
        <w:rPr/>
        <w:t xml:space="preserve"> </w:t>
      </w:r>
      <w:r>
        <w:rPr>
          <w:position w:val="8"/>
          <w:sz w:val="19"/>
        </w:rPr>
        <w:t>[[ ℘ &gt;&gt; BibleTOBIBLE:Ge 37:26]]</w:t>
      </w:r>
      <w:r>
        <w:rPr/>
        <w:t xml:space="preserve"> </w:t>
      </w:r>
      <w:r>
        <w:rPr>
          <w:b/>
          <w:color w:val="808080"/>
        </w:rPr>
        <w:t>[</w:t>
      </w:r>
      <w:r>
        <w:rPr/>
        <w:t>und</w:t>
      </w:r>
      <w:r>
        <w:rPr>
          <w:b/>
          <w:color w:val="808080"/>
        </w:rPr>
        <w:t>]</w:t>
      </w:r>
      <w:r>
        <w:rPr/>
        <w:t xml:space="preserve"> in meinem Hinabfahren in den Schacht</w:t>
      </w:r>
      <w:r>
        <w:rPr>
          <w:rStyle w:val="Funotenanker"/>
        </w:rPr>
        <w:footnoteReference w:customMarkFollows="1" w:id="854"/>
        <w:t>y</w:t>
      </w:r>
      <w:r>
        <w:rPr/>
        <w:t>?</w:t>
        <w:br/>
        <w:t xml:space="preserve">Kann Lehm </w:t>
      </w:r>
      <w:r>
        <w:rPr>
          <w:color w:val="808080"/>
        </w:rPr>
        <w:t>(Staub, können Tote)</w:t>
      </w:r>
      <w:r>
        <w:rPr/>
        <w:t xml:space="preserve"> </w:t>
      </w:r>
      <w:r>
        <w:rPr>
          <w:rStyle w:val="Funotenanker"/>
        </w:rPr>
        <w:footnoteReference w:customMarkFollows="1" w:id="855"/>
        <w:t>z</w:t>
      </w:r>
      <w:r>
        <w:rPr/>
        <w:t xml:space="preserve"> dich preisen? Kann er </w:t>
      </w:r>
      <w:r>
        <w:rPr>
          <w:color w:val="808080"/>
        </w:rPr>
        <w:t>(können sie)</w:t>
      </w:r>
      <w:r>
        <w:rPr/>
        <w:t xml:space="preserve"> deine Treue verkünden? </w:t>
      </w:r>
      <w:r>
        <w:rPr>
          <w:position w:val="8"/>
          <w:sz w:val="19"/>
        </w:rPr>
        <w:t>[[ ℘ &gt;&gt; BibleTOBIBLE:Ps 6:6]][[ ℘ &gt;&gt; BibleTOBIBLE:Ps 88:12]][[ ℘ &gt;&gt; BibleTOBIBLE:Ps 115:17]][[ ℘ &gt;&gt; BibleTOBIBLE:Ps 118:17]][[ ℘ &gt;&gt; BibleTOBIBLE:Is 38:18]][[ ℘ &gt;&gt; BibleTOBIBLE:Sir 17:27]]</w:t>
      </w:r>
      <w:r>
        <w:rPr/>
        <w:t xml:space="preserve"> </w:t>
        <w:br/>
        <w:t xml:space="preserve">{{field-off:bible}} </w:t>
        <w:br/>
        <w:t>[[@BibleTOBIBLE:Ps 30:11]]</w:t>
      </w:r>
      <w:r>
        <w:rPr>
          <w:b/>
        </w:rPr>
        <w:t>11</w:t>
      </w:r>
      <w:r>
        <w:rPr/>
        <w:t xml:space="preserve"> {{field-on:bible}} </w:t>
        <w:br/>
        <w:t xml:space="preserve">Höre </w:t>
      </w:r>
      <w:r>
        <w:rPr>
          <w:color w:val="808080"/>
        </w:rPr>
        <w:t>(erhöre mich)</w:t>
      </w:r>
      <w:r>
        <w:rPr/>
        <w:t xml:space="preserve"> </w:t>
      </w:r>
      <w:r>
        <w:rPr>
          <w:rStyle w:val="Funotenanker"/>
        </w:rPr>
        <w:footnoteReference w:customMarkFollows="1" w:id="856"/>
        <w:t>aa</w:t>
      </w:r>
      <w:r>
        <w:rPr/>
        <w:t xml:space="preserve">, </w:t>
      </w:r>
      <w:r>
        <w:rPr>
          <w:smallCaps/>
          <w:color w:val="FF0000"/>
        </w:rPr>
        <w:t>JHWH</w:t>
      </w:r>
      <w:r>
        <w:rPr/>
        <w:t xml:space="preserve">, und sei mir gnädig! </w:t>
      </w:r>
      <w:r>
        <w:rPr>
          <w:smallCaps/>
          <w:color w:val="FF0000"/>
        </w:rPr>
        <w:t>JHWH</w:t>
      </w:r>
      <w:r>
        <w:rPr/>
        <w:t xml:space="preserve">, sei mir Helfer!“ </w:t>
      </w:r>
      <w:r>
        <w:rPr>
          <w:position w:val="8"/>
          <w:sz w:val="19"/>
        </w:rPr>
        <w:t>[[ ℘ &gt;&gt; BibleTOBIBLE:Ps 51:3]][[ ℘ &gt;&gt; BibleTOBIBLE:Ps 54:6]][[ ℘ &gt;&gt; BibleTOBIBLE:Ps 118:13]][[ ℘ &gt;&gt; BibleTOBIBLE:Ps 143:1]][[ ℘ &gt;&gt; BibleTOBIBLE:Ps 143:7]][[ ℘ &gt;&gt; BibleTOBIBLE:Heb 13:6]]</w:t>
      </w:r>
      <w:r>
        <w:rPr/>
        <w:t xml:space="preserve"> </w:t>
        <w:br/>
        <w:t xml:space="preserve">{{field-off:bible}} </w:t>
        <w:br/>
        <w:t>[[@BibleTOBIBLE:Ps 30:12]]</w:t>
      </w:r>
      <w:r>
        <w:rPr>
          <w:b/>
        </w:rPr>
        <w:t>12</w:t>
      </w:r>
      <w:r>
        <w:rPr/>
        <w:t xml:space="preserve"> {{field-on:bible}} </w:t>
        <w:br/>
        <w:t xml:space="preserve">Da hast du </w:t>
      </w:r>
      <w:r>
        <w:rPr>
          <w:color w:val="808080"/>
        </w:rPr>
        <w:t>(du hast)</w:t>
      </w:r>
      <w:r>
        <w:rPr/>
        <w:t xml:space="preserve"> </w:t>
      </w:r>
      <w:r>
        <w:rPr>
          <w:rStyle w:val="Funotenanker"/>
        </w:rPr>
        <w:footnoteReference w:customMarkFollows="1" w:id="857"/>
        <w:t>ab</w:t>
      </w:r>
      <w:r>
        <w:rPr/>
        <w:t xml:space="preserve"> mir mein Klagen in Tanzen verwandelt,</w:t>
      </w:r>
      <w:r>
        <w:rPr>
          <w:position w:val="8"/>
          <w:sz w:val="19"/>
        </w:rPr>
        <w:t>[[ ℘ &gt;&gt; BibleTOBIBLE:Ec 3:4]][[ ℘ &gt;&gt; BibleTOBIBLE:Je 31:4]][[ ℘ &gt;&gt; BibleTOBIBLE:Je 31:13]][[ ℘ &gt;&gt; BibleTOBIBLE:Es 9:22]]</w:t>
      </w:r>
      <w:r>
        <w:rPr/>
        <w:t xml:space="preserve"> hast mir die Trauerkleidung ausgezogen und mich mit Freude bekleidet </w:t>
      </w:r>
      <w:r>
        <w:rPr>
          <w:color w:val="808080"/>
        </w:rPr>
        <w:t>(gegürtet)</w:t>
      </w:r>
      <w:r>
        <w:rPr/>
        <w:t xml:space="preserve"> </w:t>
      </w:r>
      <w:r>
        <w:rPr>
          <w:rStyle w:val="Funotenanker"/>
        </w:rPr>
        <w:footnoteReference w:customMarkFollows="1" w:id="858"/>
        <w:t>ac</w:t>
      </w:r>
      <w:r>
        <w:rPr/>
        <w:t>.</w:t>
      </w:r>
      <w:r>
        <w:rPr>
          <w:position w:val="8"/>
          <w:sz w:val="19"/>
        </w:rPr>
        <w:t>[[ ℘ &gt;&gt; BibleTOBIBLE:Is 61:3]]</w:t>
      </w:r>
      <w:r>
        <w:rPr/>
        <w:t xml:space="preserve"> </w:t>
        <w:br/>
        <w:t xml:space="preserve">{{field-off:bible}} </w:t>
        <w:br/>
        <w:t>[[@BibleTOBIBLE:Ps 30:13]]</w:t>
      </w:r>
      <w:r>
        <w:rPr>
          <w:b/>
        </w:rPr>
        <w:t>13</w:t>
      </w:r>
      <w:r>
        <w:rPr/>
        <w:t xml:space="preserve"> {{field-on:bible}} </w:t>
        <w:br/>
        <w:t xml:space="preserve">Darum </w:t>
      </w:r>
      <w:r>
        <w:rPr>
          <w:color w:val="808080"/>
        </w:rPr>
        <w:t>(so dass, damit)</w:t>
      </w:r>
      <w:r>
        <w:rPr/>
        <w:t xml:space="preserve"> </w:t>
      </w:r>
      <w:r>
        <w:rPr>
          <w:rStyle w:val="Funotenanker"/>
        </w:rPr>
        <w:footnoteReference w:customMarkFollows="1" w:id="859"/>
        <w:t>ad</w:t>
      </w:r>
      <w:r>
        <w:rPr/>
        <w:t xml:space="preserve"> will ich </w:t>
      </w:r>
      <w:r>
        <w:rPr>
          <w:color w:val="808080"/>
        </w:rPr>
        <w:t>(</w:t>
      </w:r>
      <w:r>
        <w:rPr>
          <w:b/>
          <w:color w:val="808080"/>
        </w:rPr>
        <w:t>[</w:t>
      </w:r>
      <w:r>
        <w:rPr>
          <w:color w:val="808080"/>
        </w:rPr>
        <w:t>meine</w:t>
      </w:r>
      <w:r>
        <w:rPr>
          <w:b/>
          <w:color w:val="808080"/>
        </w:rPr>
        <w:t>]</w:t>
      </w:r>
      <w:r>
        <w:rPr>
          <w:color w:val="808080"/>
        </w:rPr>
        <w:t xml:space="preserve"> Herrlichkeit, </w:t>
      </w:r>
      <w:r>
        <w:rPr>
          <w:b/>
          <w:color w:val="808080"/>
        </w:rPr>
        <w:t>[</w:t>
      </w:r>
      <w:r>
        <w:rPr>
          <w:color w:val="808080"/>
        </w:rPr>
        <w:t>meine</w:t>
      </w:r>
      <w:r>
        <w:rPr>
          <w:b/>
          <w:color w:val="808080"/>
        </w:rPr>
        <w:t>]</w:t>
      </w:r>
      <w:r>
        <w:rPr>
          <w:color w:val="808080"/>
        </w:rPr>
        <w:t xml:space="preserve"> Seele, </w:t>
      </w:r>
      <w:r>
        <w:rPr>
          <w:b/>
          <w:color w:val="808080"/>
        </w:rPr>
        <w:t>[</w:t>
      </w:r>
      <w:r>
        <w:rPr>
          <w:color w:val="808080"/>
        </w:rPr>
        <w:t>meine</w:t>
      </w:r>
      <w:r>
        <w:rPr>
          <w:b/>
          <w:color w:val="808080"/>
        </w:rPr>
        <w:t>]</w:t>
      </w:r>
      <w:r>
        <w:rPr>
          <w:color w:val="808080"/>
        </w:rPr>
        <w:t xml:space="preserve"> Leber, </w:t>
      </w:r>
      <w:r>
        <w:rPr>
          <w:b/>
          <w:color w:val="808080"/>
        </w:rPr>
        <w:t>[</w:t>
      </w:r>
      <w:r>
        <w:rPr>
          <w:color w:val="808080"/>
        </w:rPr>
        <w:t>mein</w:t>
      </w:r>
      <w:r>
        <w:rPr>
          <w:b/>
          <w:color w:val="808080"/>
        </w:rPr>
        <w:t>]</w:t>
      </w:r>
      <w:r>
        <w:rPr>
          <w:color w:val="808080"/>
        </w:rPr>
        <w:t xml:space="preserve"> Herz)</w:t>
      </w:r>
      <w:r>
        <w:rPr/>
        <w:t xml:space="preserve"> </w:t>
      </w:r>
      <w:r>
        <w:rPr>
          <w:rStyle w:val="Funotenanker"/>
        </w:rPr>
        <w:footnoteReference w:customMarkFollows="1" w:id="860"/>
        <w:t>ae</w:t>
      </w:r>
      <w:r>
        <w:rPr/>
        <w:t xml:space="preserve"> dich besingen und nie </w:t>
      </w:r>
      <w:r>
        <w:rPr>
          <w:color w:val="808080"/>
        </w:rPr>
        <w:t>(nicht)</w:t>
      </w:r>
      <w:r>
        <w:rPr/>
        <w:t xml:space="preserve"> verstummen </w:t>
      </w:r>
      <w:r>
        <w:rPr>
          <w:color w:val="808080"/>
        </w:rPr>
        <w:t>(schweigen)</w:t>
      </w:r>
      <w:r>
        <w:rPr/>
        <w:t xml:space="preserve">; </w:t>
      </w:r>
      <w:r>
        <w:rPr>
          <w:smallCaps/>
          <w:color w:val="FF0000"/>
        </w:rPr>
        <w:t>JHWH</w:t>
      </w:r>
      <w:r>
        <w:rPr/>
        <w:t>, mein Gott, auf ewig will ich dich preisen!</w:t>
      </w:r>
      <w:r>
        <w:rPr>
          <w:position w:val="8"/>
          <w:sz w:val="19"/>
        </w:rPr>
        <w:t>[[ ℘ &gt;&gt; BibleTOBIBLE:Ps 13:7]][[ ℘ &gt;&gt; BibleTOBIBLE:Ps 71:23]][[ ℘ &gt;&gt; BibleTOBIBLE:Ps 145:2]][[ ℘ &gt;&gt; BibleTOBIBLE:Ps 146:2]]</w:t>
      </w:r>
      <w:r>
        <w:rPr/>
        <w:t xml:space="preserve"> </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861"/>
        <w:t>Status</w:t>
      </w:r>
      <w:r>
        <w:rPr/>
        <w:t xml:space="preserve"> Für den obersten Musiker </w:t>
      </w:r>
      <w:r>
        <w:rPr>
          <w:color w:val="808080"/>
        </w:rPr>
        <w:t>(Chorleiter, Dirigenten, Aufseher, vorzusingen)</w:t>
      </w:r>
      <w:r>
        <w:rPr/>
        <w:t xml:space="preserve"> </w:t>
      </w:r>
      <w:r>
        <w:rPr>
          <w:rStyle w:val="Funotenanker"/>
        </w:rPr>
        <w:footnoteReference w:customMarkFollows="1" w:id="862"/>
        <w:t>a</w:t>
      </w:r>
      <w:r>
        <w:rPr/>
        <w:t xml:space="preserve">. Mit Saiteninstrumenten </w:t>
      </w:r>
      <w:r>
        <w:rPr>
          <w:color w:val="808080"/>
        </w:rPr>
        <w:t>(fröhlicher Musik, Zupfinstrumenten)</w:t>
      </w:r>
      <w:r>
        <w:rPr/>
        <w:t xml:space="preserve"> </w:t>
      </w:r>
      <w:r>
        <w:rPr>
          <w:rStyle w:val="Funotenanker"/>
        </w:rPr>
        <w:footnoteReference w:customMarkFollows="1" w:id="863"/>
        <w:t>b</w:t>
      </w:r>
      <w:r>
        <w:rPr/>
        <w:t xml:space="preserve">. Ein Psalm </w:t>
      </w:r>
      <w:r>
        <w:rPr>
          <w:color w:val="808080"/>
        </w:rPr>
        <w:t>(begleitetes Lied)</w:t>
      </w:r>
      <w:r>
        <w:rPr/>
        <w:t xml:space="preserve">. Ein Lied. </w:t>
        <w:br/>
        <w:t xml:space="preserve">{{field-off:bible}} </w:t>
        <w:br/>
        <w:t>[[@BibleTOBIBLE:Ps 67:2]]</w:t>
      </w:r>
      <w:r>
        <w:rPr>
          <w:b/>
        </w:rPr>
        <w:t>2</w:t>
      </w:r>
      <w:r>
        <w:rPr/>
        <w:t xml:space="preserve"> {{field-on:bible}} </w:t>
        <w:br/>
        <w:t xml:space="preserve">Gott sei uns gnädig </w:t>
      </w:r>
      <w:r>
        <w:rPr>
          <w:color w:val="808080"/>
        </w:rPr>
        <w:t>(erbarme sich über uns, sei uns wohlgesinnt)</w:t>
      </w:r>
      <w:r>
        <w:rPr/>
        <w:t xml:space="preserve"> und segne uns! Er lasse sein Gesicht bei </w:t>
      </w:r>
      <w:r>
        <w:rPr>
          <w:color w:val="808080"/>
        </w:rPr>
        <w:t>(auf, über)</w:t>
      </w:r>
      <w:r>
        <w:rPr/>
        <w:t xml:space="preserve"> uns scheinen</w:t>
      </w:r>
      <w:r>
        <w:rPr>
          <w:rStyle w:val="Funotenanker"/>
        </w:rPr>
        <w:footnoteReference w:customMarkFollows="1" w:id="864"/>
        <w:t>c</w:t>
      </w:r>
      <w:r>
        <w:rPr/>
        <w:t>,</w:t>
      </w:r>
      <w:r>
        <w:rPr>
          <w:position w:val="8"/>
          <w:sz w:val="19"/>
        </w:rPr>
        <w:t>[[ ℘ &gt;&gt; BibleTOBIBLE:Nu 6:24]]</w:t>
      </w:r>
      <w:r>
        <w:rPr/>
        <w:t xml:space="preserve"> </w:t>
      </w:r>
      <w:r>
        <w:rPr>
          <w:rStyle w:val="Funotenanker"/>
        </w:rPr>
        <w:footnoteReference w:customMarkFollows="1" w:id="865"/>
        <w:t>d</w:t>
      </w:r>
      <w:r>
        <w:rPr/>
        <w:t xml:space="preserve"> – Sela –</w:t>
        <w:br/>
        <w:t xml:space="preserve">{{field-off:bible}} </w:t>
        <w:br/>
        <w:t>[[@BibleTOBIBLE:Ps 67:3]]</w:t>
      </w:r>
      <w:r>
        <w:rPr>
          <w:b/>
        </w:rPr>
        <w:t>3</w:t>
      </w:r>
      <w:r>
        <w:rPr/>
        <w:t xml:space="preserve"> {{field-on:bible}} </w:t>
        <w:br/>
        <w:t xml:space="preserve">damit </w:t>
      </w:r>
      <w:r>
        <w:rPr>
          <w:color w:val="808080"/>
        </w:rPr>
        <w:t>(dann)</w:t>
      </w:r>
      <w:r>
        <w:rPr/>
        <w:t xml:space="preserve"> auf der Erde </w:t>
      </w:r>
      <w:r>
        <w:rPr>
          <w:color w:val="808080"/>
        </w:rPr>
        <w:t>(im Land)</w:t>
      </w:r>
      <w:r>
        <w:rPr/>
        <w:t xml:space="preserve"> dein Weg</w:t>
      </w:r>
      <w:r>
        <w:rPr>
          <w:rStyle w:val="Funotenanker"/>
        </w:rPr>
        <w:footnoteReference w:customMarkFollows="1" w:id="866"/>
        <w:t>e</w:t>
      </w:r>
      <w:r>
        <w:rPr/>
        <w:t xml:space="preserve"> erkannt </w:t>
      </w:r>
      <w:r>
        <w:rPr>
          <w:b/>
          <w:color w:val="808080"/>
        </w:rPr>
        <w:t>[</w:t>
      </w:r>
      <w:r>
        <w:rPr/>
        <w:t>wird</w:t>
      </w:r>
      <w:r>
        <w:rPr>
          <w:b/>
          <w:color w:val="808080"/>
        </w:rPr>
        <w:t>]</w:t>
      </w:r>
      <w:r>
        <w:rPr/>
        <w:t xml:space="preserve">, unter allen Völkern </w:t>
      </w:r>
      <w:r>
        <w:rPr>
          <w:color w:val="808080"/>
        </w:rPr>
        <w:t>(Nationen)</w:t>
      </w:r>
      <w:r>
        <w:rPr/>
        <w:t xml:space="preserve"> </w:t>
      </w:r>
      <w:r>
        <w:rPr>
          <w:rStyle w:val="Funotenanker"/>
        </w:rPr>
        <w:footnoteReference w:customMarkFollows="1" w:id="867"/>
        <w:t>f</w:t>
      </w:r>
      <w:r>
        <w:rPr/>
        <w:t xml:space="preserve"> deine rettende Kraft </w:t>
      </w:r>
      <w:r>
        <w:rPr>
          <w:color w:val="808080"/>
        </w:rPr>
        <w:t>(Hilfe, Rettung, dein Eingeifen, Heil)</w:t>
      </w:r>
      <w:r>
        <w:rPr/>
        <w:t xml:space="preserve"> </w:t>
      </w:r>
      <w:r>
        <w:rPr>
          <w:rStyle w:val="Funotenanker"/>
        </w:rPr>
        <w:footnoteReference w:customMarkFollows="1" w:id="868"/>
        <w:t>g</w:t>
      </w:r>
      <w:r>
        <w:rPr/>
        <w:t>.</w:t>
        <w:br/>
        <w:t xml:space="preserve">{{field-off:bible}} </w:t>
        <w:br/>
        <w:t>[[@BibleTOBIBLE:Ps 67:4]]</w:t>
      </w:r>
      <w:r>
        <w:rPr>
          <w:b/>
        </w:rPr>
        <w:t>4</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w:t>
      </w:r>
      <w:r>
        <w:rPr>
          <w:rStyle w:val="Funotenanker"/>
        </w:rPr>
        <w:footnoteReference w:customMarkFollows="1" w:id="869"/>
        <w:t>h</w:t>
      </w:r>
      <w:r>
        <w:rPr/>
        <w:t>, Gott,</w:t>
        <w:br/>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67:5]]</w:t>
      </w:r>
      <w:r>
        <w:rPr>
          <w:b/>
        </w:rPr>
        <w:t>5</w:t>
      </w:r>
      <w:r>
        <w:rPr/>
        <w:t xml:space="preserve"> {{field-on:bible}} </w:t>
        <w:br/>
      </w:r>
      <w:r>
        <w:rPr>
          <w:b/>
          <w:color w:val="808080"/>
        </w:rPr>
        <w:t>[</w:t>
      </w:r>
      <w:r>
        <w:rPr/>
        <w:t>Die</w:t>
      </w:r>
      <w:r>
        <w:rPr>
          <w:b/>
          <w:color w:val="808080"/>
        </w:rPr>
        <w:t>]</w:t>
      </w:r>
      <w:r>
        <w:rPr/>
        <w:t xml:space="preserve"> Völker </w:t>
      </w:r>
      <w:r>
        <w:rPr>
          <w:color w:val="808080"/>
        </w:rPr>
        <w:t>(Völkerschaften)</w:t>
      </w:r>
      <w:r>
        <w:rPr/>
        <w:t xml:space="preserve"> sollen </w:t>
      </w:r>
      <w:r>
        <w:rPr>
          <w:color w:val="808080"/>
        </w:rPr>
        <w:t>(mögen, werden)</w:t>
      </w:r>
      <w:r>
        <w:rPr/>
        <w:t xml:space="preserve"> sich freuen und singen, denn du richtest </w:t>
      </w:r>
      <w:r>
        <w:rPr>
          <w:color w:val="808080"/>
        </w:rPr>
        <w:t>(wirst richten)</w:t>
      </w:r>
      <w:r>
        <w:rPr/>
        <w:t xml:space="preserve"> </w:t>
      </w:r>
      <w:r>
        <w:rPr>
          <w:b/>
          <w:color w:val="808080"/>
        </w:rPr>
        <w:t>[</w:t>
      </w:r>
      <w:r>
        <w:rPr/>
        <w:t>die</w:t>
      </w:r>
      <w:r>
        <w:rPr>
          <w:b/>
          <w:color w:val="808080"/>
        </w:rPr>
        <w:t>]</w:t>
      </w:r>
      <w:r>
        <w:rPr/>
        <w:t xml:space="preserve"> Völker gerecht </w:t>
      </w:r>
      <w:r>
        <w:rPr>
          <w:color w:val="808080"/>
        </w:rPr>
        <w:t>(</w:t>
      </w:r>
      <w:r>
        <w:rPr>
          <w:b/>
          <w:color w:val="808080"/>
        </w:rPr>
        <w:t>[</w:t>
      </w:r>
      <w:r>
        <w:rPr>
          <w:color w:val="808080"/>
        </w:rPr>
        <w:t>mit</w:t>
      </w:r>
      <w:r>
        <w:rPr>
          <w:b/>
          <w:color w:val="808080"/>
        </w:rPr>
        <w:t>]</w:t>
      </w:r>
      <w:r>
        <w:rPr>
          <w:color w:val="808080"/>
        </w:rPr>
        <w:t xml:space="preserve"> Gerechtigkeit)</w:t>
      </w:r>
      <w:r>
        <w:rPr/>
        <w:t xml:space="preserve"> </w:t>
      </w:r>
      <w:r>
        <w:rPr>
          <w:rStyle w:val="Funotenanker"/>
        </w:rPr>
        <w:footnoteReference w:customMarkFollows="1" w:id="870"/>
        <w:t>i</w:t>
      </w:r>
      <w:r>
        <w:rPr/>
        <w:t xml:space="preserve">, und </w:t>
      </w:r>
      <w:r>
        <w:rPr>
          <w:b/>
          <w:color w:val="808080"/>
        </w:rPr>
        <w:t>[</w:t>
      </w:r>
      <w:r>
        <w:rPr/>
        <w:t>die</w:t>
      </w:r>
      <w:r>
        <w:rPr>
          <w:b/>
          <w:color w:val="808080"/>
        </w:rPr>
        <w:t>]</w:t>
      </w:r>
      <w:r>
        <w:rPr/>
        <w:t xml:space="preserve"> Völker </w:t>
      </w:r>
      <w:r>
        <w:rPr>
          <w:color w:val="808080"/>
        </w:rPr>
        <w:t>(Völkerschaften)</w:t>
      </w:r>
      <w:r>
        <w:rPr/>
        <w:t xml:space="preserve"> auf der Erde </w:t>
      </w:r>
      <w:r>
        <w:rPr>
          <w:color w:val="808080"/>
        </w:rPr>
        <w:t>(im Land)</w:t>
      </w:r>
      <w:r>
        <w:rPr/>
        <w:t xml:space="preserve"> führst </w:t>
      </w:r>
      <w:r>
        <w:rPr>
          <w:color w:val="808080"/>
        </w:rPr>
        <w:t>(geleitest, regierst; wirst führen)</w:t>
      </w:r>
      <w:r>
        <w:rPr/>
        <w:t xml:space="preserve"> du </w:t>
      </w:r>
      <w:r>
        <w:rPr>
          <w:strike/>
          <w:color w:val="808080"/>
        </w:rPr>
        <w:t>{sie}</w:t>
      </w:r>
      <w:r>
        <w:rPr/>
        <w:t>.</w:t>
      </w:r>
      <w:r>
        <w:rPr>
          <w:rStyle w:val="Funotenanker"/>
        </w:rPr>
        <w:footnoteReference w:customMarkFollows="1" w:id="871"/>
        <w:t>j</w:t>
      </w:r>
      <w:r>
        <w:rPr/>
        <w:t xml:space="preserve"> Sela </w:t>
        <w:br/>
        <w:t xml:space="preserve">{{field-off:bible}} </w:t>
        <w:br/>
        <w:t>[[@BibleTOBIBLE:Ps 67:6]]</w:t>
      </w:r>
      <w:r>
        <w:rPr>
          <w:b/>
        </w:rPr>
        <w:t>6</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Gott, </w:t>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67:7]]</w:t>
      </w:r>
      <w:r>
        <w:rPr>
          <w:b/>
        </w:rPr>
        <w:t>7</w:t>
      </w:r>
      <w:r>
        <w:rPr/>
        <w:t xml:space="preserve"> {{field-on:bible}} </w:t>
        <w:br/>
      </w:r>
      <w:r>
        <w:rPr>
          <w:b/>
          <w:color w:val="808080"/>
        </w:rPr>
        <w:t>[</w:t>
      </w:r>
      <w:r>
        <w:rPr/>
        <w:t>Das</w:t>
      </w:r>
      <w:r>
        <w:rPr>
          <w:b/>
          <w:color w:val="808080"/>
        </w:rPr>
        <w:t>]</w:t>
      </w:r>
      <w:r>
        <w:rPr/>
        <w:t xml:space="preserve"> Land </w:t>
      </w:r>
      <w:r>
        <w:rPr>
          <w:color w:val="808080"/>
        </w:rPr>
        <w:t>(</w:t>
      </w:r>
      <w:r>
        <w:rPr>
          <w:b/>
          <w:color w:val="808080"/>
        </w:rPr>
        <w:t>[</w:t>
      </w:r>
      <w:r>
        <w:rPr>
          <w:color w:val="808080"/>
        </w:rPr>
        <w:t>die</w:t>
      </w:r>
      <w:r>
        <w:rPr>
          <w:b/>
          <w:color w:val="808080"/>
        </w:rPr>
        <w:t>]</w:t>
      </w:r>
      <w:r>
        <w:rPr>
          <w:color w:val="808080"/>
        </w:rPr>
        <w:t xml:space="preserve"> Erde)</w:t>
      </w:r>
      <w:r>
        <w:rPr/>
        <w:t xml:space="preserve"> hat </w:t>
      </w:r>
      <w:r>
        <w:rPr>
          <w:color w:val="808080"/>
        </w:rPr>
        <w:t>(gibt)</w:t>
      </w:r>
      <w:r>
        <w:rPr/>
        <w:t xml:space="preserve"> seinen Ertrag </w:t>
      </w:r>
      <w:r>
        <w:rPr>
          <w:color w:val="808080"/>
        </w:rPr>
        <w:t>(ihre Frucht)</w:t>
      </w:r>
      <w:r>
        <w:rPr/>
        <w:t xml:space="preserve"> gegeben.</w:t>
      </w:r>
      <w:r>
        <w:rPr>
          <w:position w:val="8"/>
          <w:sz w:val="19"/>
        </w:rPr>
        <w:t>[[ ℘ &gt;&gt; BibleTOBIBLE:Le 26:4]]</w:t>
      </w:r>
      <w:r>
        <w:rPr/>
        <w:t xml:space="preserve"> Es segne uns </w:t>
      </w:r>
      <w:r>
        <w:rPr>
          <w:color w:val="808080"/>
        </w:rPr>
        <w:t>(segnet uns; wird, möge uns segnen)</w:t>
      </w:r>
      <w:r>
        <w:rPr/>
        <w:t xml:space="preserve"> Gott, unser Gott!</w:t>
      </w:r>
      <w:r>
        <w:rPr>
          <w:rStyle w:val="Funotenanker"/>
        </w:rPr>
        <w:footnoteReference w:customMarkFollows="1" w:id="872"/>
        <w:t>k</w:t>
      </w:r>
      <w:r>
        <w:rPr/>
        <w:t xml:space="preserve"> </w:t>
      </w:r>
      <w:r>
        <w:rPr>
          <w:position w:val="8"/>
          <w:sz w:val="19"/>
        </w:rPr>
        <w:t>[[ ℘ &gt;&gt; BibleTOBIBLE:Zec 8:12]]</w:t>
      </w:r>
      <w:r>
        <w:rPr/>
        <w:t xml:space="preserve"> </w:t>
        <w:br/>
        <w:t xml:space="preserve">{{field-off:bible}} </w:t>
        <w:br/>
        <w:t>[[@BibleTOBIBLE:Ps 67:8]]</w:t>
      </w:r>
      <w:r>
        <w:rPr>
          <w:b/>
        </w:rPr>
        <w:t>8</w:t>
      </w:r>
      <w:r>
        <w:rPr/>
        <w:t xml:space="preserve"> {{field-on:bible}} </w:t>
        <w:br/>
        <w:t xml:space="preserve">Es segne uns </w:t>
      </w:r>
      <w:r>
        <w:rPr>
          <w:color w:val="808080"/>
        </w:rPr>
        <w:t>(möge, wird uns segnen, segnet uns)</w:t>
      </w:r>
      <w:r>
        <w:rPr/>
        <w:t xml:space="preserve"> Gott, so dass </w:t>
      </w:r>
      <w:r>
        <w:rPr>
          <w:color w:val="808080"/>
        </w:rPr>
        <w:t>(damit, und)</w:t>
      </w:r>
      <w:r>
        <w:rPr/>
        <w:t xml:space="preserve"> alle Enden der Erde </w:t>
      </w:r>
      <w:r>
        <w:rPr>
          <w:color w:val="808080"/>
        </w:rPr>
        <w:t>(die ganze Welt)</w:t>
      </w:r>
      <w:r>
        <w:rPr/>
        <w:t xml:space="preserve"> ihn fürchten</w:t>
      </w:r>
      <w:r>
        <w:rPr>
          <w:rStyle w:val="Funotenanker"/>
        </w:rPr>
        <w:footnoteReference w:customMarkFollows="1" w:id="873"/>
        <w:t>l</w:t>
      </w:r>
      <w:r>
        <w:rPr/>
        <w:t>!</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874"/>
        <w:t>Status</w:t>
      </w:r>
      <w:r>
        <w:rPr/>
        <w:t xml:space="preserve"> Ein Gebet von Mose, dem Mann Gottes: </w:t>
        <w:br/>
      </w:r>
      <w:r>
        <w:rPr>
          <w:smallCaps/>
          <w:color w:val="FF0000"/>
        </w:rPr>
        <w:t>Herr</w:t>
      </w:r>
      <w:r>
        <w:rPr/>
        <w:t xml:space="preserve">, eine Wohnung </w:t>
      </w:r>
      <w:r>
        <w:rPr>
          <w:color w:val="808080"/>
        </w:rPr>
        <w:t>(Zufluchtsort)</w:t>
      </w:r>
      <w:r>
        <w:rPr/>
        <w:t xml:space="preserve"> bist du für uns gewesen </w:t>
      </w:r>
      <w:r>
        <w:rPr>
          <w:color w:val="808080"/>
        </w:rPr>
        <w:t>(bist du, warst du)</w:t>
      </w:r>
      <w:r>
        <w:rPr/>
        <w:t xml:space="preserve"> von Generation </w:t>
      </w:r>
      <w:r>
        <w:rPr>
          <w:color w:val="808080"/>
        </w:rPr>
        <w:t>(Zeitalter, Zeit, Geschlecht, Zeitspanne)</w:t>
      </w:r>
      <w:r>
        <w:rPr/>
        <w:t xml:space="preserve"> zu Generation</w:t>
      </w:r>
      <w:r>
        <w:rPr>
          <w:rStyle w:val="Funotenanker"/>
        </w:rPr>
        <w:footnoteReference w:customMarkFollows="1" w:id="875"/>
        <w:t>a</w:t>
      </w:r>
      <w:r>
        <w:rPr/>
        <w:t xml:space="preserve">. </w:t>
        <w:br/>
        <w:t xml:space="preserve">{{field-off:bible}} </w:t>
        <w:br/>
        <w:t>[[@BibleTOBIBLE:Ps 90:2]]</w:t>
      </w:r>
      <w:r>
        <w:rPr>
          <w:b/>
        </w:rPr>
        <w:t>2</w:t>
      </w:r>
      <w:r>
        <w:rPr/>
        <w:t xml:space="preserve"> {{field-on:bible}} </w:t>
        <w:br/>
        <w:t xml:space="preserve">Bevor </w:t>
      </w:r>
      <w:r>
        <w:rPr>
          <w:b/>
          <w:color w:val="808080"/>
        </w:rPr>
        <w:t>[</w:t>
      </w:r>
      <w:r>
        <w:rPr/>
        <w:t>die</w:t>
      </w:r>
      <w:r>
        <w:rPr>
          <w:b/>
          <w:color w:val="808080"/>
        </w:rPr>
        <w:t>]</w:t>
      </w:r>
      <w:r>
        <w:rPr/>
        <w:t xml:space="preserve"> Berge geboren waren </w:t>
      </w:r>
      <w:r>
        <w:rPr>
          <w:color w:val="808080"/>
        </w:rPr>
        <w:t>(wurden)</w:t>
      </w:r>
      <w:r>
        <w:rPr/>
        <w:t xml:space="preserve"> und du die Erde und die </w:t>
      </w:r>
      <w:r>
        <w:rPr>
          <w:b/>
          <w:color w:val="808080"/>
        </w:rPr>
        <w:t>[</w:t>
      </w:r>
      <w:r>
        <w:rPr/>
        <w:t>irdische</w:t>
      </w:r>
      <w:r>
        <w:rPr>
          <w:b/>
          <w:color w:val="808080"/>
        </w:rPr>
        <w:t>]</w:t>
      </w:r>
      <w:r>
        <w:rPr/>
        <w:t xml:space="preserve"> Welt</w:t>
      </w:r>
      <w:r>
        <w:rPr>
          <w:rStyle w:val="Funotenanker"/>
        </w:rPr>
        <w:footnoteReference w:customMarkFollows="1" w:id="876"/>
        <w:t>b</w:t>
      </w:r>
      <w:r>
        <w:rPr/>
        <w:t xml:space="preserve"> hervorgebracht </w:t>
      </w:r>
      <w:r>
        <w:rPr>
          <w:color w:val="808080"/>
        </w:rPr>
        <w:t>(geboren)</w:t>
      </w:r>
      <w:r>
        <w:rPr/>
        <w:t xml:space="preserve"> </w:t>
      </w:r>
      <w:r>
        <w:rPr>
          <w:rStyle w:val="Funotenanker"/>
        </w:rPr>
        <w:footnoteReference w:customMarkFollows="1" w:id="877"/>
        <w:t>c</w:t>
      </w:r>
      <w:r>
        <w:rPr/>
        <w:t xml:space="preserve"> hattest</w:t>
      </w:r>
      <w:r>
        <w:rPr>
          <w:rStyle w:val="Funotenanker"/>
        </w:rPr>
        <w:footnoteReference w:customMarkFollows="1" w:id="878"/>
        <w:t>d</w:t>
      </w:r>
      <w:r>
        <w:rPr/>
        <w:t xml:space="preserve"> </w:t>
      </w:r>
      <w:r>
        <w:rPr>
          <w:color w:val="808080"/>
        </w:rPr>
        <w:t>(hervorbrachtest)</w:t>
      </w:r>
      <w:r>
        <w:rPr/>
        <w:t xml:space="preserve">, </w:t>
      </w:r>
      <w:r>
        <w:rPr>
          <w:strike/>
          <w:color w:val="808080"/>
        </w:rPr>
        <w:t>{und}</w:t>
      </w:r>
      <w:r>
        <w:rPr/>
        <w:t xml:space="preserve"> von Ewigkeit zu Ewigkeit bist du Gott </w:t>
      </w:r>
      <w:r>
        <w:rPr>
          <w:color w:val="808080"/>
        </w:rPr>
        <w:t>(bist du, Gott)</w:t>
      </w:r>
      <w:r>
        <w:rPr/>
        <w:t xml:space="preserve"> </w:t>
      </w:r>
      <w:r>
        <w:rPr>
          <w:rStyle w:val="Funotenanker"/>
        </w:rPr>
        <w:footnoteReference w:customMarkFollows="1" w:id="879"/>
        <w:t>e</w:t>
      </w:r>
      <w:r>
        <w:rPr/>
        <w:t>.</w:t>
        <w:br/>
        <w:t xml:space="preserve">{{field-off:bible}} </w:t>
        <w:br/>
        <w:t>[[@BibleTOBIBLE:Ps 90:3]]</w:t>
      </w:r>
      <w:r>
        <w:rPr>
          <w:b/>
        </w:rPr>
        <w:t>3</w:t>
      </w:r>
      <w:r>
        <w:rPr/>
        <w:t xml:space="preserve"> {{field-on:bible}} </w:t>
        <w:br/>
        <w:t xml:space="preserve">Du lässt </w:t>
      </w:r>
      <w:r>
        <w:rPr>
          <w:b/>
          <w:color w:val="808080"/>
        </w:rPr>
        <w:t>[</w:t>
      </w:r>
      <w:r>
        <w:rPr/>
        <w:t>den</w:t>
      </w:r>
      <w:r>
        <w:rPr>
          <w:b/>
          <w:color w:val="808080"/>
        </w:rPr>
        <w:t>]</w:t>
      </w:r>
      <w:r>
        <w:rPr/>
        <w:t xml:space="preserve"> Menschen zum Staub zurückkehren</w:t>
      </w:r>
      <w:r>
        <w:rPr>
          <w:rStyle w:val="Funotenanker"/>
        </w:rPr>
        <w:footnoteReference w:customMarkFollows="1" w:id="880"/>
        <w:t>f</w:t>
      </w:r>
      <w:r>
        <w:rPr/>
        <w:t xml:space="preserve"> </w:t>
      </w:r>
      <w:r>
        <w:rPr>
          <w:position w:val="8"/>
          <w:sz w:val="19"/>
        </w:rPr>
        <w:t>[[ ℘ &gt;&gt; BibleTOBIBLE:Ge 3:19]]</w:t>
      </w:r>
      <w:r>
        <w:rPr/>
        <w:t xml:space="preserve"> und sprichst: „Kehrt zurück </w:t>
      </w:r>
      <w:r>
        <w:rPr>
          <w:color w:val="808080"/>
        </w:rPr>
        <w:t>(kehrt um)</w:t>
      </w:r>
      <w:r>
        <w:rPr/>
        <w:t xml:space="preserve">, ihr Kinder </w:t>
      </w:r>
      <w:r>
        <w:rPr>
          <w:color w:val="808080"/>
        </w:rPr>
        <w:t>(Söhne)</w:t>
      </w:r>
      <w:r>
        <w:rPr/>
        <w:t xml:space="preserve"> des Menschen </w:t>
      </w:r>
      <w:r>
        <w:rPr>
          <w:color w:val="808080"/>
        </w:rPr>
        <w:t>(Adams)</w:t>
      </w:r>
      <w:r>
        <w:rPr/>
        <w:t xml:space="preserve"> </w:t>
      </w:r>
      <w:r>
        <w:rPr>
          <w:color w:val="808080"/>
        </w:rPr>
        <w:t>(Menschenkinder)</w:t>
      </w:r>
      <w:r>
        <w:rPr/>
        <w:t>!“</w:t>
        <w:br/>
        <w:t xml:space="preserve">{{field-off:bible}} </w:t>
        <w:br/>
        <w:t>[[@BibleTOBIBLE:Ps 90:4]]</w:t>
      </w:r>
      <w:r>
        <w:rPr>
          <w:b/>
        </w:rPr>
        <w:t>4</w:t>
      </w:r>
      <w:r>
        <w:rPr/>
        <w:t xml:space="preserve"> {{field-on:bible}} </w:t>
        <w:br/>
        <w:t xml:space="preserve">Denn </w:t>
      </w:r>
      <w:r>
        <w:rPr>
          <w:color w:val="808080"/>
        </w:rPr>
        <w:t>(ja)</w:t>
      </w:r>
      <w:r>
        <w:rPr/>
        <w:t xml:space="preserve"> tausend Jahre </w:t>
      </w:r>
      <w:r>
        <w:rPr>
          <w:b/>
          <w:color w:val="808080"/>
        </w:rPr>
        <w:t>[</w:t>
      </w:r>
      <w:r>
        <w:rPr/>
        <w:t>sind</w:t>
      </w:r>
      <w:r>
        <w:rPr>
          <w:b/>
          <w:color w:val="808080"/>
        </w:rPr>
        <w:t>]</w:t>
      </w:r>
      <w:r>
        <w:rPr/>
        <w:t xml:space="preserve"> in deinen Augen wie </w:t>
      </w:r>
      <w:r>
        <w:rPr>
          <w:b/>
          <w:color w:val="808080"/>
        </w:rPr>
        <w:t>[</w:t>
      </w:r>
      <w:r>
        <w:rPr/>
        <w:t>der</w:t>
      </w:r>
      <w:r>
        <w:rPr>
          <w:b/>
          <w:color w:val="808080"/>
        </w:rPr>
        <w:t>]</w:t>
      </w:r>
      <w:r>
        <w:rPr/>
        <w:t xml:space="preserve"> gestrige Tag, wenn er vergangen ist</w:t>
      </w:r>
      <w:r>
        <w:rPr>
          <w:rStyle w:val="Funotenanker"/>
        </w:rPr>
        <w:footnoteReference w:customMarkFollows="1" w:id="881"/>
        <w:t>g</w:t>
      </w:r>
      <w:r>
        <w:rPr/>
        <w:t xml:space="preserve">, oder </w:t>
      </w:r>
      <w:r>
        <w:rPr>
          <w:color w:val="808080"/>
        </w:rPr>
        <w:t>(und)</w:t>
      </w:r>
      <w:r>
        <w:rPr/>
        <w:t xml:space="preserve"> eine Wache in der Nacht </w:t>
      </w:r>
      <w:r>
        <w:rPr>
          <w:color w:val="808080"/>
        </w:rPr>
        <w:t>(Nachtwache)</w:t>
      </w:r>
      <w:r>
        <w:rPr/>
        <w:t xml:space="preserve"> </w:t>
      </w:r>
      <w:r>
        <w:rPr>
          <w:rStyle w:val="Funotenanker"/>
        </w:rPr>
        <w:footnoteReference w:customMarkFollows="1" w:id="882"/>
        <w:t>h</w:t>
      </w:r>
      <w:r>
        <w:rPr/>
        <w:t xml:space="preserve">. </w:t>
        <w:br/>
        <w:t xml:space="preserve">{{field-off:bible}} </w:t>
        <w:br/>
        <w:t>[[@BibleTOBIBLE:Ps 90:5]]</w:t>
      </w:r>
      <w:r>
        <w:rPr>
          <w:b/>
        </w:rPr>
        <w:t>5</w:t>
      </w:r>
      <w:r>
        <w:rPr/>
        <w:t xml:space="preserve"> {{field-on:bible}} </w:t>
        <w:br/>
        <w:t>Du schwemmst sie weg</w:t>
      </w:r>
      <w:r>
        <w:rPr>
          <w:rStyle w:val="Funotenanker"/>
        </w:rPr>
        <w:footnoteReference w:customMarkFollows="1" w:id="883"/>
        <w:t>i</w:t>
      </w:r>
      <w:r>
        <w:rPr/>
        <w:t xml:space="preserve">, sie sind </w:t>
      </w:r>
      <w:r>
        <w:rPr>
          <w:b/>
          <w:color w:val="808080"/>
        </w:rPr>
        <w:t>[</w:t>
      </w:r>
      <w:r>
        <w:rPr/>
        <w:t>wie</w:t>
      </w:r>
      <w:r>
        <w:rPr>
          <w:b/>
          <w:color w:val="808080"/>
        </w:rPr>
        <w:t>]</w:t>
      </w:r>
      <w:r>
        <w:rPr/>
        <w:t xml:space="preserve"> Schlaf </w:t>
      </w:r>
      <w:r>
        <w:rPr>
          <w:color w:val="808080"/>
        </w:rPr>
        <w:t xml:space="preserve">(Du schwemmst sie weg </w:t>
      </w:r>
      <w:r>
        <w:rPr>
          <w:b/>
          <w:color w:val="808080"/>
        </w:rPr>
        <w:t>[</w:t>
      </w:r>
      <w:r>
        <w:rPr>
          <w:color w:val="808080"/>
        </w:rPr>
        <w:t>wie</w:t>
      </w:r>
      <w:r>
        <w:rPr>
          <w:b/>
          <w:color w:val="808080"/>
        </w:rPr>
        <w:t>]</w:t>
      </w:r>
      <w:r>
        <w:rPr>
          <w:color w:val="808080"/>
        </w:rPr>
        <w:t xml:space="preserve"> Schlaf)</w:t>
      </w:r>
      <w:r>
        <w:rPr/>
        <w:t>, am Morgen wie Gras</w:t>
      </w:r>
      <w:r>
        <w:rPr>
          <w:rStyle w:val="Funotenanker"/>
        </w:rPr>
        <w:footnoteReference w:customMarkFollows="1" w:id="884"/>
        <w:t>j</w:t>
      </w:r>
      <w:r>
        <w:rPr/>
        <w:t xml:space="preserve">, </w:t>
      </w:r>
      <w:r>
        <w:rPr>
          <w:b/>
          <w:color w:val="808080"/>
        </w:rPr>
        <w:t>[</w:t>
      </w:r>
      <w:r>
        <w:rPr/>
        <w:t>das</w:t>
      </w:r>
      <w:r>
        <w:rPr>
          <w:b/>
          <w:color w:val="808080"/>
        </w:rPr>
        <w:t>]</w:t>
      </w:r>
      <w:r>
        <w:rPr/>
        <w:t xml:space="preserve"> aufsprosst </w:t>
      </w:r>
      <w:r>
        <w:rPr>
          <w:color w:val="808080"/>
        </w:rPr>
        <w:t xml:space="preserve">(sie sind am Morgen wie Gras, </w:t>
      </w:r>
      <w:r>
        <w:rPr>
          <w:b/>
          <w:color w:val="808080"/>
        </w:rPr>
        <w:t>[</w:t>
      </w:r>
      <w:r>
        <w:rPr>
          <w:color w:val="808080"/>
        </w:rPr>
        <w:t>das</w:t>
      </w:r>
      <w:r>
        <w:rPr>
          <w:b/>
          <w:color w:val="808080"/>
        </w:rPr>
        <w:t>]</w:t>
      </w:r>
      <w:r>
        <w:rPr>
          <w:color w:val="808080"/>
        </w:rPr>
        <w:t xml:space="preserve"> aufsprosst)</w:t>
      </w:r>
      <w:r>
        <w:rPr/>
        <w:t>.</w:t>
      </w:r>
      <w:r>
        <w:rPr>
          <w:rStyle w:val="Funotenanker"/>
        </w:rPr>
        <w:footnoteReference w:customMarkFollows="1" w:id="885"/>
        <w:t>k</w:t>
      </w:r>
      <w:r>
        <w:rPr/>
        <w:t xml:space="preserve"> </w:t>
        <w:br/>
        <w:t xml:space="preserve">{{field-off:bible}} </w:t>
        <w:br/>
        <w:t>[[@BibleTOBIBLE:Ps 90:6]]</w:t>
      </w:r>
      <w:r>
        <w:rPr>
          <w:b/>
        </w:rPr>
        <w:t>6</w:t>
      </w:r>
      <w:r>
        <w:rPr/>
        <w:t xml:space="preserve"> {{field-on:bible}} </w:t>
        <w:br/>
        <w:t xml:space="preserve">Am Morgen blüht </w:t>
      </w:r>
      <w:r>
        <w:rPr>
          <w:color w:val="808080"/>
        </w:rPr>
        <w:t>(grünt)</w:t>
      </w:r>
      <w:r>
        <w:rPr/>
        <w:t xml:space="preserve"> es und sprosst auf </w:t>
      </w:r>
      <w:r>
        <w:rPr>
          <w:color w:val="808080"/>
        </w:rPr>
        <w:t>(blüht)</w:t>
      </w:r>
      <w:r>
        <w:rPr/>
        <w:t>, zum Abend verwelkt</w:t>
      </w:r>
      <w:r>
        <w:rPr>
          <w:rStyle w:val="Funotenanker"/>
        </w:rPr>
        <w:footnoteReference w:customMarkFollows="1" w:id="886"/>
        <w:t>l</w:t>
      </w:r>
      <w:r>
        <w:rPr/>
        <w:t xml:space="preserve"> und verdorrt </w:t>
      </w:r>
      <w:r>
        <w:rPr>
          <w:color w:val="808080"/>
        </w:rPr>
        <w:t>(vertrocknet)</w:t>
      </w:r>
      <w:r>
        <w:rPr/>
        <w:t xml:space="preserve"> es. </w:t>
        <w:br/>
        <w:t xml:space="preserve">{{field-off:bible}} </w:t>
        <w:br/>
        <w:t>[[@BibleTOBIBLE:Ps 90:7]]</w:t>
      </w:r>
      <w:r>
        <w:rPr>
          <w:b/>
        </w:rPr>
        <w:t>7</w:t>
      </w:r>
      <w:r>
        <w:rPr/>
        <w:t xml:space="preserve"> {{field-on:bible}} </w:t>
        <w:br/>
        <w:t xml:space="preserve">Denn </w:t>
      </w:r>
      <w:r>
        <w:rPr>
          <w:color w:val="808080"/>
        </w:rPr>
        <w:t>(ja)</w:t>
      </w:r>
      <w:r>
        <w:rPr/>
        <w:t xml:space="preserve"> wir vergehen durch deinen Zorn </w:t>
      </w:r>
      <w:r>
        <w:rPr>
          <w:color w:val="808080"/>
        </w:rPr>
        <w:t>(Gesicht)</w:t>
      </w:r>
      <w:r>
        <w:rPr/>
        <w:t xml:space="preserve">, und durch deine Zorneshitze </w:t>
      </w:r>
      <w:r>
        <w:rPr>
          <w:color w:val="808080"/>
        </w:rPr>
        <w:t>(Zorn, Grimm, Hitze)</w:t>
      </w:r>
      <w:r>
        <w:rPr/>
        <w:t xml:space="preserve"> </w:t>
      </w:r>
      <w:r>
        <w:rPr>
          <w:rStyle w:val="Funotenanker"/>
        </w:rPr>
        <w:footnoteReference w:customMarkFollows="1" w:id="887"/>
        <w:t>m</w:t>
      </w:r>
      <w:r>
        <w:rPr/>
        <w:t xml:space="preserve"> werden wir verstört.</w:t>
        <w:br/>
        <w:t xml:space="preserve">{{field-off:bible}} </w:t>
        <w:br/>
        <w:t>[[@BibleTOBIBLE:Ps 90:8]]</w:t>
      </w:r>
      <w:r>
        <w:rPr>
          <w:b/>
        </w:rPr>
        <w:t>8</w:t>
      </w:r>
      <w:r>
        <w:rPr/>
        <w:t xml:space="preserve"> {{field-on:bible}} </w:t>
        <w:br/>
        <w:t xml:space="preserve">Du stellst </w:t>
      </w:r>
      <w:r>
        <w:rPr>
          <w:color w:val="808080"/>
        </w:rPr>
        <w:t>(hast gestellt)</w:t>
      </w:r>
      <w:r>
        <w:rPr/>
        <w:t xml:space="preserve"> unsere Fehler </w:t>
      </w:r>
      <w:r>
        <w:rPr>
          <w:color w:val="808080"/>
        </w:rPr>
        <w:t>(Missetaten, Ungerechtigkeiten)</w:t>
      </w:r>
      <w:r>
        <w:rPr/>
        <w:t xml:space="preserve"> vor dich, unsere Geheimnisse </w:t>
      </w:r>
      <w:r>
        <w:rPr>
          <w:color w:val="808080"/>
        </w:rPr>
        <w:t xml:space="preserve">(verborgenen </w:t>
      </w:r>
      <w:r>
        <w:rPr>
          <w:b/>
          <w:color w:val="808080"/>
        </w:rPr>
        <w:t>[</w:t>
      </w:r>
      <w:r>
        <w:rPr>
          <w:color w:val="808080"/>
        </w:rPr>
        <w:t>Dinge</w:t>
      </w:r>
      <w:r>
        <w:rPr>
          <w:b/>
          <w:color w:val="808080"/>
        </w:rPr>
        <w:t>]</w:t>
      </w:r>
      <w:r>
        <w:rPr>
          <w:color w:val="808080"/>
        </w:rPr>
        <w:t>; was wir verborgen haben)</w:t>
      </w:r>
      <w:r>
        <w:rPr/>
        <w:t xml:space="preserve"> vor das Licht deiner Gegenwart </w:t>
      </w:r>
      <w:r>
        <w:rPr>
          <w:color w:val="808080"/>
        </w:rPr>
        <w:t>(deines Gesichts)</w:t>
      </w:r>
      <w:r>
        <w:rPr/>
        <w:t xml:space="preserve">. </w:t>
        <w:br/>
        <w:t xml:space="preserve">{{field-off:bible}} </w:t>
        <w:br/>
        <w:t>[[@BibleTOBIBLE:Ps 90:9]]</w:t>
      </w:r>
      <w:r>
        <w:rPr>
          <w:b/>
        </w:rPr>
        <w:t>9</w:t>
      </w:r>
      <w:r>
        <w:rPr/>
        <w:t xml:space="preserve"> {{field-on:bible}} </w:t>
        <w:br/>
        <w:t xml:space="preserve">Ja </w:t>
      </w:r>
      <w:r>
        <w:rPr>
          <w:color w:val="808080"/>
        </w:rPr>
        <w:t>(denn)</w:t>
      </w:r>
      <w:r>
        <w:rPr/>
        <w:t xml:space="preserve">, alle unsere Tage fahren dahin </w:t>
      </w:r>
      <w:r>
        <w:rPr>
          <w:color w:val="808080"/>
        </w:rPr>
        <w:t>(verschwinden)</w:t>
      </w:r>
      <w:r>
        <w:rPr/>
        <w:t xml:space="preserve"> </w:t>
      </w:r>
      <w:r>
        <w:rPr>
          <w:color w:val="808080"/>
        </w:rPr>
        <w:t>(sind dahingefahren)</w:t>
      </w:r>
      <w:r>
        <w:rPr/>
        <w:t xml:space="preserve"> durch deinen Zorn </w:t>
      </w:r>
      <w:r>
        <w:rPr>
          <w:color w:val="808080"/>
        </w:rPr>
        <w:t>(Grimm)</w:t>
      </w:r>
      <w:r>
        <w:rPr/>
        <w:t xml:space="preserve">, wir vollenden </w:t>
      </w:r>
      <w:r>
        <w:rPr>
          <w:color w:val="808080"/>
        </w:rPr>
        <w:t>(haben vollendet)</w:t>
      </w:r>
      <w:r>
        <w:rPr/>
        <w:t xml:space="preserve"> unsere Jahre wie einen Seufzer </w:t>
      </w:r>
      <w:r>
        <w:rPr>
          <w:color w:val="808080"/>
        </w:rPr>
        <w:t>(Stöhnen)</w:t>
      </w:r>
      <w:r>
        <w:rPr/>
        <w:t xml:space="preserve">. </w:t>
        <w:br/>
        <w:t xml:space="preserve">{{field-off:bible}} </w:t>
        <w:br/>
        <w:t>[[@BibleTOBIBLE:Ps 90:10]]</w:t>
      </w:r>
      <w:r>
        <w:rPr>
          <w:b/>
        </w:rPr>
        <w:t>10</w:t>
      </w:r>
      <w:r>
        <w:rPr/>
        <w:t xml:space="preserve"> {{field-on:bible}} </w:t>
        <w:br/>
        <w:t xml:space="preserve">Die Tage unserer Jahre, in ihnen </w:t>
      </w:r>
      <w:r>
        <w:rPr>
          <w:b/>
          <w:color w:val="808080"/>
        </w:rPr>
        <w:t>[</w:t>
      </w:r>
      <w:r>
        <w:rPr/>
        <w:t>sind</w:t>
      </w:r>
      <w:r>
        <w:rPr>
          <w:b/>
          <w:color w:val="808080"/>
        </w:rPr>
        <w:t>]</w:t>
      </w:r>
      <w:r>
        <w:rPr/>
        <w:t xml:space="preserve"> siebzig Jahre, und, wenn in Kraft,</w:t>
      </w:r>
      <w:r>
        <w:rPr>
          <w:rStyle w:val="Funotenanker"/>
        </w:rPr>
        <w:footnoteReference w:customMarkFollows="1" w:id="888"/>
        <w:t>n</w:t>
      </w:r>
      <w:r>
        <w:rPr/>
        <w:t xml:space="preserve"> achtzig Jahre.</w:t>
        <w:br/>
      </w:r>
      <w:r>
        <w:rPr>
          <w:strike/>
          <w:color w:val="808080"/>
        </w:rPr>
        <w:t>{und}</w:t>
      </w:r>
      <w:r>
        <w:rPr/>
        <w:t xml:space="preserve"> Ihr Stolz</w:t>
      </w:r>
      <w:r>
        <w:rPr>
          <w:rStyle w:val="Funotenanker"/>
        </w:rPr>
        <w:footnoteReference w:customMarkFollows="1" w:id="889"/>
        <w:t>o</w:t>
      </w:r>
      <w:r>
        <w:rPr/>
        <w:t xml:space="preserve"> </w:t>
      </w:r>
      <w:r>
        <w:rPr>
          <w:b/>
          <w:color w:val="808080"/>
        </w:rPr>
        <w:t>[</w:t>
      </w:r>
      <w:r>
        <w:rPr/>
        <w:t>ist</w:t>
      </w:r>
      <w:r>
        <w:rPr>
          <w:b/>
          <w:color w:val="808080"/>
        </w:rPr>
        <w:t>]</w:t>
      </w:r>
      <w:r>
        <w:rPr/>
        <w:t xml:space="preserve"> Mühe und Beschwerde </w:t>
      </w:r>
      <w:r>
        <w:rPr>
          <w:color w:val="808080"/>
        </w:rPr>
        <w:t>(Unglück, Nichtigkeit, Last)</w:t>
      </w:r>
      <w:r>
        <w:rPr/>
        <w:t xml:space="preserve">, denn </w:t>
      </w:r>
      <w:r>
        <w:rPr>
          <w:color w:val="808080"/>
        </w:rPr>
        <w:t>(ja)</w:t>
      </w:r>
      <w:r>
        <w:rPr/>
        <w:t xml:space="preserve"> er ist </w:t>
      </w:r>
      <w:r>
        <w:rPr>
          <w:color w:val="808080"/>
        </w:rPr>
        <w:t>(vergeht)</w:t>
      </w:r>
      <w:r>
        <w:rPr/>
        <w:t xml:space="preserve"> schnell vergangen und wir fliegen </w:t>
      </w:r>
      <w:r>
        <w:rPr>
          <w:b/>
          <w:color w:val="808080"/>
        </w:rPr>
        <w:t>[</w:t>
      </w:r>
      <w:r>
        <w:rPr/>
        <w:t>davon</w:t>
      </w:r>
      <w:r>
        <w:rPr>
          <w:b/>
          <w:color w:val="808080"/>
        </w:rPr>
        <w:t>]</w:t>
      </w:r>
      <w:r>
        <w:rPr/>
        <w:t xml:space="preserve"> </w:t>
      </w:r>
      <w:r>
        <w:rPr>
          <w:color w:val="808080"/>
        </w:rPr>
        <w:t>(</w:t>
      </w:r>
      <w:r>
        <w:rPr>
          <w:b/>
          <w:color w:val="808080"/>
        </w:rPr>
        <w:t>[</w:t>
      </w:r>
      <w:r>
        <w:rPr>
          <w:color w:val="808080"/>
        </w:rPr>
        <w:t>dahin</w:t>
      </w:r>
      <w:r>
        <w:rPr>
          <w:b/>
          <w:color w:val="808080"/>
        </w:rPr>
        <w:t>]</w:t>
      </w:r>
      <w:r>
        <w:rPr>
          <w:color w:val="808080"/>
        </w:rPr>
        <w:t>)</w:t>
      </w:r>
      <w:r>
        <w:rPr/>
        <w:t>.</w:t>
        <w:br/>
        <w:t xml:space="preserve">{{field-off:bible}} </w:t>
        <w:br/>
        <w:t>[[@BibleTOBIBLE:Ps 90:11]]</w:t>
      </w:r>
      <w:r>
        <w:rPr>
          <w:b/>
        </w:rPr>
        <w:t>11</w:t>
      </w:r>
      <w:r>
        <w:rPr/>
        <w:t xml:space="preserve"> {{field-on:bible}} </w:t>
        <w:br/>
        <w:t xml:space="preserve">Wer erkennt die Stärke deines Zorns? </w:t>
      </w:r>
      <w:r>
        <w:rPr>
          <w:strike/>
          <w:color w:val="808080"/>
        </w:rPr>
        <w:t>{und}</w:t>
      </w:r>
      <w:r>
        <w:rPr/>
        <w:t xml:space="preserve"> Wie deine Furcht</w:t>
      </w:r>
      <w:r>
        <w:rPr>
          <w:rStyle w:val="Funotenanker"/>
        </w:rPr>
        <w:footnoteReference w:customMarkFollows="1" w:id="890"/>
        <w:t>p</w:t>
      </w:r>
      <w:r>
        <w:rPr/>
        <w:t xml:space="preserve"> </w:t>
      </w:r>
      <w:r>
        <w:rPr>
          <w:b/>
          <w:color w:val="808080"/>
        </w:rPr>
        <w:t>[</w:t>
      </w:r>
      <w:r>
        <w:rPr/>
        <w:t>ist</w:t>
      </w:r>
      <w:r>
        <w:rPr>
          <w:b/>
          <w:color w:val="808080"/>
        </w:rPr>
        <w:t>]</w:t>
      </w:r>
      <w:r>
        <w:rPr/>
        <w:t xml:space="preserve"> dein Grimm </w:t>
      </w:r>
      <w:r>
        <w:rPr>
          <w:color w:val="808080"/>
        </w:rPr>
        <w:t>(Zorn)</w:t>
      </w:r>
      <w:r>
        <w:rPr/>
        <w:t xml:space="preserve"> </w:t>
      </w:r>
      <w:r>
        <w:rPr>
          <w:color w:val="808080"/>
        </w:rPr>
        <w:t>(und gemäß deiner Furcht deinen Grimm?)</w:t>
      </w:r>
      <w:r>
        <w:rPr/>
        <w:t>.</w:t>
        <w:br/>
        <w:t xml:space="preserve">{{field-off:bible}} </w:t>
        <w:br/>
        <w:t>[[@BibleTOBIBLE:Ps 90:12]]</w:t>
      </w:r>
      <w:r>
        <w:rPr>
          <w:b/>
        </w:rPr>
        <w:t>12</w:t>
      </w:r>
      <w:r>
        <w:rPr/>
        <w:t xml:space="preserve"> {{field-on:bible}} </w:t>
        <w:br/>
        <w:t xml:space="preserve">Darum </w:t>
      </w:r>
      <w:r>
        <w:rPr>
          <w:color w:val="808080"/>
        </w:rPr>
        <w:t>(also, so)</w:t>
      </w:r>
      <w:r>
        <w:rPr/>
        <w:t xml:space="preserve"> lehre uns, unsere Tage zu zählen, damit </w:t>
      </w:r>
      <w:r>
        <w:rPr>
          <w:color w:val="808080"/>
        </w:rPr>
        <w:t>(dann, und)</w:t>
      </w:r>
      <w:r>
        <w:rPr/>
        <w:t xml:space="preserve"> wir ein Herz der Weisheit </w:t>
      </w:r>
      <w:r>
        <w:rPr>
          <w:color w:val="808080"/>
        </w:rPr>
        <w:t>(weises Herz)</w:t>
      </w:r>
      <w:r>
        <w:rPr/>
        <w:t xml:space="preserve"> bekommen </w:t>
      </w:r>
      <w:r>
        <w:rPr>
          <w:color w:val="808080"/>
        </w:rPr>
        <w:t>(erlangen, gewinnen)</w:t>
      </w:r>
      <w:r>
        <w:rPr/>
        <w:t xml:space="preserve">. </w:t>
        <w:br/>
        <w:t xml:space="preserve">{{field-off:bible}} </w:t>
        <w:br/>
        <w:t>[[@BibleTOBIBLE:Ps 90:13]]</w:t>
      </w:r>
      <w:r>
        <w:rPr>
          <w:b/>
        </w:rPr>
        <w:t>13</w:t>
      </w:r>
      <w:r>
        <w:rPr/>
        <w:t xml:space="preserve"> {{field-on:bible}} </w:t>
        <w:br/>
        <w:t xml:space="preserve">Kehre doch </w:t>
      </w:r>
      <w:r>
        <w:rPr>
          <w:color w:val="808080"/>
        </w:rPr>
        <w:t xml:space="preserve">(Wende dich doch </w:t>
      </w:r>
      <w:r>
        <w:rPr>
          <w:b/>
          <w:color w:val="808080"/>
        </w:rPr>
        <w:t>[</w:t>
      </w:r>
      <w:r>
        <w:rPr>
          <w:color w:val="808080"/>
        </w:rPr>
        <w:t>zu uns</w:t>
      </w:r>
      <w:r>
        <w:rPr>
          <w:b/>
          <w:color w:val="808080"/>
        </w:rPr>
        <w:t>]</w:t>
      </w:r>
      <w:r>
        <w:rPr>
          <w:color w:val="808080"/>
        </w:rPr>
        <w:t>)</w:t>
      </w:r>
      <w:r>
        <w:rPr/>
        <w:t xml:space="preserve"> zurück, </w:t>
      </w:r>
      <w:r>
        <w:rPr>
          <w:smallCaps/>
          <w:color w:val="FF0000"/>
        </w:rPr>
        <w:t>JHWH</w:t>
      </w:r>
      <w:r>
        <w:rPr/>
        <w:t xml:space="preserve">! Wie lange </w:t>
      </w:r>
      <w:r>
        <w:rPr>
          <w:color w:val="808080"/>
        </w:rPr>
        <w:t>(bis wann)</w:t>
      </w:r>
      <w:r>
        <w:rPr/>
        <w:t xml:space="preserve">? </w:t>
      </w:r>
      <w:r>
        <w:rPr>
          <w:strike/>
          <w:color w:val="808080"/>
        </w:rPr>
        <w:t>{und}</w:t>
      </w:r>
      <w:r>
        <w:rPr/>
        <w:t xml:space="preserve"> Habe Mitleid mit deinen Knechten </w:t>
      </w:r>
      <w:r>
        <w:rPr>
          <w:color w:val="808080"/>
        </w:rPr>
        <w:t>(Sklaven, Dienern)</w:t>
      </w:r>
      <w:r>
        <w:rPr/>
        <w:t xml:space="preserve">! </w:t>
        <w:br/>
        <w:t xml:space="preserve">{{field-off:bible}} </w:t>
        <w:br/>
        <w:t>[[@BibleTOBIBLE:Ps 90:14]]</w:t>
      </w:r>
      <w:r>
        <w:rPr>
          <w:b/>
        </w:rPr>
        <w:t>14</w:t>
      </w:r>
      <w:r>
        <w:rPr/>
        <w:t xml:space="preserve"> {{field-on:bible}} </w:t>
        <w:br/>
        <w:t xml:space="preserve">Sättige uns am Morgen </w:t>
      </w:r>
      <w:r>
        <w:rPr>
          <w:b/>
          <w:color w:val="808080"/>
        </w:rPr>
        <w:t>[</w:t>
      </w:r>
      <w:r>
        <w:rPr/>
        <w:t>mit</w:t>
      </w:r>
      <w:r>
        <w:rPr>
          <w:b/>
          <w:color w:val="808080"/>
        </w:rPr>
        <w:t>]</w:t>
      </w:r>
      <w:r>
        <w:rPr/>
        <w:t xml:space="preserve"> deiner Güte </w:t>
      </w:r>
      <w:r>
        <w:rPr>
          <w:color w:val="808080"/>
        </w:rPr>
        <w:t>(liebenden Treue, Gnade, Liebe)</w:t>
      </w:r>
      <w:r>
        <w:rPr/>
        <w:t xml:space="preserve">, dann </w:t>
      </w:r>
      <w:r>
        <w:rPr>
          <w:color w:val="808080"/>
        </w:rPr>
        <w:t>(so dass, damit; und)</w:t>
      </w:r>
      <w:r>
        <w:rPr/>
        <w:t xml:space="preserve"> werden wir jubeln und uns freuen an allen unseren Tagen! </w:t>
        <w:br/>
        <w:t xml:space="preserve">{{field-off:bible}} </w:t>
        <w:br/>
        <w:t>[[@BibleTOBIBLE:Ps 90:15]]</w:t>
      </w:r>
      <w:r>
        <w:rPr>
          <w:b/>
        </w:rPr>
        <w:t>15</w:t>
      </w:r>
      <w:r>
        <w:rPr/>
        <w:t xml:space="preserve"> {{field-on:bible}} </w:t>
        <w:br/>
        <w:t xml:space="preserve">Erfreue uns so </w:t>
      </w:r>
      <w:r>
        <w:rPr>
          <w:b/>
          <w:color w:val="808080"/>
        </w:rPr>
        <w:t>[</w:t>
      </w:r>
      <w:r>
        <w:rPr/>
        <w:t>viele</w:t>
      </w:r>
      <w:r>
        <w:rPr>
          <w:b/>
          <w:color w:val="808080"/>
        </w:rPr>
        <w:t>]</w:t>
      </w:r>
      <w:r>
        <w:rPr/>
        <w:t xml:space="preserve"> Tage, </w:t>
      </w:r>
      <w:r>
        <w:rPr>
          <w:b/>
          <w:color w:val="808080"/>
        </w:rPr>
        <w:t>[</w:t>
      </w:r>
      <w:r>
        <w:rPr/>
        <w:t>wie</w:t>
      </w:r>
      <w:r>
        <w:rPr>
          <w:b/>
          <w:color w:val="808080"/>
        </w:rPr>
        <w:t>]</w:t>
      </w:r>
      <w:r>
        <w:rPr/>
        <w:t xml:space="preserve"> du uns bedrückt hast </w:t>
      </w:r>
      <w:r>
        <w:rPr>
          <w:color w:val="808080"/>
        </w:rPr>
        <w:t>(hast Leiden lassen, gebeugt hast)</w:t>
      </w:r>
      <w:r>
        <w:rPr/>
        <w:t xml:space="preserve">, </w:t>
      </w:r>
      <w:r>
        <w:rPr>
          <w:b/>
          <w:color w:val="808080"/>
        </w:rPr>
        <w:t>[</w:t>
      </w:r>
      <w:r>
        <w:rPr/>
        <w:t>so viele</w:t>
      </w:r>
      <w:r>
        <w:rPr>
          <w:b/>
          <w:color w:val="808080"/>
        </w:rPr>
        <w:t>]</w:t>
      </w:r>
      <w:r>
        <w:rPr/>
        <w:t xml:space="preserve"> Jahre, </w:t>
      </w:r>
      <w:r>
        <w:rPr>
          <w:b/>
          <w:color w:val="808080"/>
        </w:rPr>
        <w:t>[</w:t>
      </w:r>
      <w:r>
        <w:rPr/>
        <w:t>wie</w:t>
      </w:r>
      <w:r>
        <w:rPr>
          <w:b/>
          <w:color w:val="808080"/>
        </w:rPr>
        <w:t>]</w:t>
      </w:r>
      <w:r>
        <w:rPr/>
        <w:t xml:space="preserve"> </w:t>
      </w:r>
      <w:r>
        <w:rPr>
          <w:rStyle w:val="Funotenanker"/>
        </w:rPr>
        <w:footnoteReference w:customMarkFollows="1" w:id="891"/>
        <w:t>q</w:t>
      </w:r>
      <w:r>
        <w:rPr/>
        <w:t xml:space="preserve"> wir Unglück </w:t>
      </w:r>
      <w:r>
        <w:rPr>
          <w:color w:val="808080"/>
        </w:rPr>
        <w:t>(Böses, Unheil)</w:t>
      </w:r>
      <w:r>
        <w:rPr/>
        <w:t xml:space="preserve"> gesehen haben! </w:t>
        <w:br/>
        <w:t xml:space="preserve">{{field-off:bible}} </w:t>
        <w:br/>
        <w:t>[[@BibleTOBIBLE:Ps 90:16]]</w:t>
      </w:r>
      <w:r>
        <w:rPr>
          <w:b/>
        </w:rPr>
        <w:t>16</w:t>
      </w:r>
      <w:r>
        <w:rPr/>
        <w:t xml:space="preserve"> {{field-on:bible}} </w:t>
        <w:br/>
        <w:t xml:space="preserve">Zeige </w:t>
      </w:r>
      <w:r>
        <w:rPr>
          <w:color w:val="808080"/>
        </w:rPr>
        <w:t>(lass sehen)</w:t>
      </w:r>
      <w:r>
        <w:rPr/>
        <w:t xml:space="preserve"> </w:t>
      </w:r>
      <w:r>
        <w:rPr>
          <w:rStyle w:val="Funotenanker"/>
        </w:rPr>
        <w:footnoteReference w:customMarkFollows="1" w:id="892"/>
        <w:t>r</w:t>
      </w:r>
      <w:r>
        <w:rPr/>
        <w:t xml:space="preserve"> deinen Knechten </w:t>
      </w:r>
      <w:r>
        <w:rPr>
          <w:color w:val="808080"/>
        </w:rPr>
        <w:t>(Sklaven, Dienern)</w:t>
      </w:r>
      <w:r>
        <w:rPr/>
        <w:t xml:space="preserve"> dein Handeln und deine Herrlichkeit </w:t>
      </w:r>
      <w:r>
        <w:rPr>
          <w:color w:val="808080"/>
        </w:rPr>
        <w:t>(Majestät, Macht)</w:t>
      </w:r>
      <w:r>
        <w:rPr/>
        <w:t xml:space="preserve"> ihre Kindern </w:t>
      </w:r>
      <w:r>
        <w:rPr>
          <w:color w:val="808080"/>
        </w:rPr>
        <w:t>(Söhnen)</w:t>
      </w:r>
      <w:r>
        <w:rPr/>
        <w:t xml:space="preserve">! </w:t>
        <w:br/>
        <w:t xml:space="preserve">{{field-off:bible}} </w:t>
        <w:br/>
        <w:t>[[@BibleTOBIBLE:Ps 90:17]]</w:t>
      </w:r>
      <w:r>
        <w:rPr>
          <w:b/>
        </w:rPr>
        <w:t>17</w:t>
      </w:r>
      <w:r>
        <w:rPr/>
        <w:t xml:space="preserve"> {{field-on:bible}} </w:t>
        <w:br/>
        <w:t xml:space="preserve">Die Freundlichkeit </w:t>
      </w:r>
      <w:r>
        <w:rPr>
          <w:color w:val="808080"/>
        </w:rPr>
        <w:t>(Gunst)</w:t>
      </w:r>
      <w:r>
        <w:rPr/>
        <w:t xml:space="preserve"> des </w:t>
      </w:r>
      <w:r>
        <w:rPr>
          <w:smallCaps/>
          <w:color w:val="FF0000"/>
        </w:rPr>
        <w:t>Herrn</w:t>
      </w:r>
      <w:r>
        <w:rPr/>
        <w:t xml:space="preserve">, unseres Gottes </w:t>
      </w:r>
      <w:r>
        <w:rPr>
          <w:b/>
          <w:color w:val="808080"/>
        </w:rPr>
        <w:t>[</w:t>
      </w:r>
      <w:r>
        <w:rPr/>
        <w:t>sei</w:t>
      </w:r>
      <w:r>
        <w:rPr>
          <w:b/>
          <w:color w:val="808080"/>
        </w:rPr>
        <w:t>]</w:t>
      </w:r>
      <w:r>
        <w:rPr/>
        <w:t xml:space="preserve"> über uns! </w:t>
      </w:r>
      <w:r>
        <w:rPr>
          <w:strike/>
          <w:color w:val="808080"/>
        </w:rPr>
        <w:t>{und}</w:t>
      </w:r>
      <w:r>
        <w:rPr/>
        <w:t xml:space="preserve"> Das Werk unserer Hände festige</w:t>
      </w:r>
      <w:r>
        <w:rPr>
          <w:rStyle w:val="Funotenanker"/>
        </w:rPr>
        <w:footnoteReference w:customMarkFollows="1" w:id="893"/>
        <w:t>s</w:t>
      </w:r>
      <w:r>
        <w:rPr/>
        <w:t xml:space="preserve"> über uns, und </w:t>
      </w:r>
      <w:r>
        <w:rPr>
          <w:color w:val="808080"/>
        </w:rPr>
        <w:t>(ja)</w:t>
      </w:r>
      <w:r>
        <w:rPr/>
        <w:t xml:space="preserve"> das Werk unserer Hände, festige es! </w:t>
        <w:br/>
        <w:t xml:space="preserve">{{field-off:bible}} </w:t>
      </w:r>
    </w:p>
    <w:p>
      <w:pPr>
        <w:pStyle w:val="Berschrift3"/>
        <w:rPr/>
      </w:pPr>
      <w:r>
        <w:rPr/>
        <w:t>[[@BibleTOBIBLE:Ps 100]]Kapitel 100</w:t>
      </w:r>
    </w:p>
    <w:p>
      <w:pPr>
        <w:pStyle w:val="Textkrper"/>
        <w:rPr/>
      </w:pPr>
      <w:r>
        <w:rPr/>
        <w:br/>
        <w:t>[[@BibleTOBIBLE:Ps 100:1]]</w:t>
      </w:r>
      <w:r>
        <w:rPr>
          <w:b/>
        </w:rPr>
        <w:t>1</w:t>
      </w:r>
      <w:r>
        <w:rPr/>
        <w:t xml:space="preserve"> {{field-on:bible}} </w:t>
      </w:r>
      <w:r>
        <w:rPr>
          <w:rStyle w:val="Funotenanker"/>
        </w:rPr>
        <w:footnoteReference w:customMarkFollows="1" w:id="894"/>
        <w:t>Status</w:t>
      </w:r>
      <w:r>
        <w:rPr/>
        <w:t xml:space="preserve"> Ein Psalm </w:t>
      </w:r>
      <w:r>
        <w:rPr>
          <w:color w:val="808080"/>
        </w:rPr>
        <w:t>(begleitetes Lied)</w:t>
      </w:r>
      <w:r>
        <w:rPr/>
        <w:t xml:space="preserve"> zum Dank </w:t>
      </w:r>
      <w:r>
        <w:rPr>
          <w:color w:val="808080"/>
        </w:rPr>
        <w:t>(zum Dankopfer, zum Dankgottesdienst, Preis, Lob, Wechselgesang?</w:t>
      </w:r>
      <w:r>
        <w:rPr/>
        <w:t xml:space="preserve"> </w:t>
      </w:r>
      <w:r>
        <w:rPr>
          <w:rStyle w:val="Funotenanker"/>
        </w:rPr>
        <w:footnoteReference w:customMarkFollows="1" w:id="895"/>
        <w:t>a</w:t>
      </w:r>
      <w:r>
        <w:rPr/>
        <w:t xml:space="preserve"> </w:t>
      </w:r>
      <w:r>
        <w:rPr>
          <w:color w:val="808080"/>
        </w:rPr>
        <w:t>)</w:t>
      </w:r>
      <w:r>
        <w:rPr/>
        <w:t xml:space="preserve"> </w:t>
      </w:r>
      <w:r>
        <w:rPr>
          <w:rStyle w:val="Funotenanker"/>
        </w:rPr>
        <w:footnoteReference w:customMarkFollows="1" w:id="896"/>
        <w:t>b</w:t>
      </w:r>
      <w:r>
        <w:rPr/>
        <w:t xml:space="preserve">. </w:t>
        <w:br/>
        <w:t xml:space="preserve">Jubelt </w:t>
      </w:r>
      <w:r>
        <w:rPr>
          <w:color w:val="808080"/>
        </w:rPr>
        <w:t>(schreit vor Freude)</w:t>
      </w:r>
      <w:r>
        <w:rPr/>
        <w:t xml:space="preserve"> </w:t>
      </w:r>
      <w:r>
        <w:rPr>
          <w:rStyle w:val="Funotenanker"/>
        </w:rPr>
        <w:footnoteReference w:customMarkFollows="1" w:id="897"/>
        <w:t>c</w:t>
      </w:r>
      <w:r>
        <w:rPr/>
        <w:t xml:space="preserve"> </w:t>
      </w:r>
      <w:r>
        <w:rPr>
          <w:color w:val="808080"/>
        </w:rPr>
        <w:t>(über)</w:t>
      </w:r>
      <w:r>
        <w:rPr/>
        <w:t xml:space="preserve"> </w:t>
      </w:r>
      <w:r>
        <w:rPr>
          <w:smallCaps/>
          <w:color w:val="FF0000"/>
        </w:rPr>
        <w:t>JHWH</w:t>
      </w:r>
      <w:r>
        <w:rPr/>
        <w:t xml:space="preserve"> zu, du ganze Erde </w:t>
      </w:r>
      <w:r>
        <w:rPr>
          <w:color w:val="808080"/>
        </w:rPr>
        <w:t>(du ganzes Land)</w:t>
      </w:r>
      <w:r>
        <w:rPr/>
        <w:t xml:space="preserve"> </w:t>
      </w:r>
      <w:r>
        <w:rPr>
          <w:rStyle w:val="Funotenanker"/>
        </w:rPr>
        <w:footnoteReference w:customMarkFollows="1" w:id="898"/>
        <w:t>d</w:t>
      </w:r>
      <w:r>
        <w:rPr/>
        <w:t xml:space="preserve">! </w:t>
        <w:br/>
        <w:t xml:space="preserve">{{field-off:bible}} </w:t>
        <w:br/>
        <w:t>[[@BibleTOBIBLE:Ps 100:2]]</w:t>
      </w:r>
      <w:r>
        <w:rPr>
          <w:b/>
        </w:rPr>
        <w:t>2</w:t>
      </w:r>
      <w:r>
        <w:rPr/>
        <w:t xml:space="preserve"> {{field-on:bible}} </w:t>
        <w:br/>
        <w:t xml:space="preserve">Dient </w:t>
      </w:r>
      <w:r>
        <w:rPr>
          <w:color w:val="808080"/>
        </w:rPr>
        <w:t>(feiert Gottesdienst, feiert, verehrt)</w:t>
      </w:r>
      <w:r>
        <w:rPr/>
        <w:t xml:space="preserve"> </w:t>
      </w:r>
      <w:r>
        <w:rPr>
          <w:smallCaps/>
          <w:color w:val="FF0000"/>
        </w:rPr>
        <w:t>JHWH</w:t>
      </w:r>
      <w:r>
        <w:rPr/>
        <w:t xml:space="preserve"> in Freude </w:t>
      </w:r>
      <w:r>
        <w:rPr>
          <w:color w:val="808080"/>
        </w:rPr>
        <w:t>(Fröhlichkeit, Lustigkeit)</w:t>
      </w:r>
      <w:r>
        <w:rPr/>
        <w:t xml:space="preserve"> </w:t>
      </w:r>
      <w:r>
        <w:rPr>
          <w:rStyle w:val="Funotenanker"/>
        </w:rPr>
        <w:footnoteReference w:customMarkFollows="1" w:id="899"/>
        <w:t>e</w:t>
      </w:r>
      <w:r>
        <w:rPr/>
        <w:t xml:space="preserve"> kommt </w:t>
      </w:r>
      <w:r>
        <w:rPr>
          <w:color w:val="808080"/>
        </w:rPr>
        <w:t>(hinein)</w:t>
      </w:r>
      <w:r>
        <w:rPr/>
        <w:t xml:space="preserve"> vor ihn </w:t>
      </w:r>
      <w:r>
        <w:rPr>
          <w:color w:val="808080"/>
        </w:rPr>
        <w:t>(in seine Wohnung, in sein Heiligtum)</w:t>
      </w:r>
      <w:r>
        <w:rPr/>
        <w:t xml:space="preserve"> </w:t>
      </w:r>
      <w:r>
        <w:rPr>
          <w:rStyle w:val="Funotenanker"/>
        </w:rPr>
        <w:footnoteReference w:customMarkFollows="1" w:id="900"/>
        <w:t>f</w:t>
      </w:r>
      <w:r>
        <w:rPr/>
        <w:t xml:space="preserve"> in Freudengeschrei </w:t>
      </w:r>
      <w:r>
        <w:rPr>
          <w:color w:val="808080"/>
        </w:rPr>
        <w:t>(Freudenliedern)</w:t>
      </w:r>
      <w:r>
        <w:rPr/>
        <w:t xml:space="preserve"> </w:t>
      </w:r>
      <w:r>
        <w:rPr>
          <w:rStyle w:val="Funotenanker"/>
        </w:rPr>
        <w:footnoteReference w:customMarkFollows="1" w:id="901"/>
        <w:t>g</w:t>
      </w:r>
      <w:r>
        <w:rPr/>
        <w:t xml:space="preserve"> </w:t>
        <w:br/>
        <w:t xml:space="preserve">{{field-off:bible}} </w:t>
        <w:br/>
        <w:t>[[@BibleTOBIBLE:Ps 100:3]]</w:t>
      </w:r>
      <w:r>
        <w:rPr>
          <w:b/>
        </w:rPr>
        <w:t>3</w:t>
      </w:r>
      <w:r>
        <w:rPr/>
        <w:t xml:space="preserve"> {{field-on:bible}} </w:t>
        <w:br/>
        <w:t xml:space="preserve">Erkennt </w:t>
      </w:r>
      <w:r>
        <w:rPr>
          <w:color w:val="808080"/>
        </w:rPr>
        <w:t>(Bekennt)</w:t>
      </w:r>
      <w:r>
        <w:rPr/>
        <w:t xml:space="preserve">, dass </w:t>
      </w:r>
      <w:r>
        <w:rPr>
          <w:color w:val="808080"/>
        </w:rPr>
        <w:t>(: Wahrlich!, denn)</w:t>
      </w:r>
      <w:r>
        <w:rPr/>
        <w:t xml:space="preserve"> </w:t>
      </w:r>
      <w:r>
        <w:rPr>
          <w:smallCaps/>
          <w:color w:val="FF0000"/>
        </w:rPr>
        <w:t>JHWH</w:t>
      </w:r>
      <w:r>
        <w:rPr/>
        <w:t xml:space="preserve"> Gott ist</w:t>
      </w:r>
      <w:r>
        <w:rPr>
          <w:rStyle w:val="Funotenanker"/>
        </w:rPr>
        <w:footnoteReference w:customMarkFollows="1" w:id="902"/>
        <w:t>h</w:t>
      </w:r>
      <w:r>
        <w:rPr/>
        <w:t>!</w:t>
        <w:br/>
        <w:br/>
        <w:t xml:space="preserve">Er hat uns erschaffen, sein sind wir </w:t>
      </w:r>
      <w:r>
        <w:rPr>
          <w:color w:val="808080"/>
        </w:rPr>
        <w:t>(und nicht wir)</w:t>
      </w:r>
      <w:r>
        <w:rPr/>
        <w:t xml:space="preserve"> </w:t>
      </w:r>
      <w:r>
        <w:rPr>
          <w:rStyle w:val="Funotenanker"/>
        </w:rPr>
        <w:footnoteReference w:customMarkFollows="1" w:id="903"/>
        <w:t>i</w:t>
      </w:r>
      <w:r>
        <w:rPr/>
        <w:t xml:space="preserve"> </w:t>
      </w:r>
      <w:r>
        <w:rPr>
          <w:b/>
          <w:color w:val="808080"/>
        </w:rPr>
        <w:t>[</w:t>
      </w:r>
      <w:r>
        <w:rPr/>
        <w:t>wir sind</w:t>
      </w:r>
      <w:r>
        <w:rPr>
          <w:b/>
          <w:color w:val="808080"/>
        </w:rPr>
        <w:t>]</w:t>
      </w:r>
      <w:r>
        <w:rPr/>
        <w:t xml:space="preserve"> </w:t>
      </w:r>
      <w:r>
        <w:rPr>
          <w:rStyle w:val="Funotenanker"/>
        </w:rPr>
        <w:footnoteReference w:customMarkFollows="1" w:id="904"/>
        <w:t>j</w:t>
      </w:r>
      <w:r>
        <w:rPr/>
        <w:t xml:space="preserve"> sein Volk und die Herde seiner Weide</w:t>
      </w:r>
      <w:r>
        <w:rPr>
          <w:rStyle w:val="Funotenanker"/>
        </w:rPr>
        <w:footnoteReference w:customMarkFollows="1" w:id="905"/>
        <w:t>k</w:t>
      </w:r>
      <w:r>
        <w:rPr/>
        <w:t>.</w:t>
      </w:r>
      <w:r>
        <w:rPr>
          <w:rStyle w:val="Funotenanker"/>
        </w:rPr>
        <w:footnoteReference w:customMarkFollows="1" w:id="906"/>
        <w:t>l</w:t>
      </w:r>
      <w:r>
        <w:rPr/>
        <w:t xml:space="preserve"> </w:t>
        <w:br/>
        <w:br/>
        <w:t xml:space="preserve">{{field-off:bible}} </w:t>
        <w:br/>
        <w:t>[[@BibleTOBIBLE:Ps 100:4]]</w:t>
      </w:r>
      <w:r>
        <w:rPr>
          <w:b/>
        </w:rPr>
        <w:t>4</w:t>
      </w:r>
      <w:r>
        <w:rPr/>
        <w:t xml:space="preserve"> {{field-on:bible}} </w:t>
        <w:br/>
        <w:t xml:space="preserve">Kommt </w:t>
      </w:r>
      <w:r>
        <w:rPr>
          <w:color w:val="808080"/>
        </w:rPr>
        <w:t>(hinein)</w:t>
      </w:r>
      <w:r>
        <w:rPr/>
        <w:t xml:space="preserve"> durch seine Tore </w:t>
      </w:r>
      <w:r>
        <w:rPr>
          <w:color w:val="808080"/>
        </w:rPr>
        <w:t>(die Tore seiner Wohnung/seines Heiligtums)</w:t>
      </w:r>
      <w:r>
        <w:rPr/>
        <w:t xml:space="preserve"> </w:t>
      </w:r>
      <w:r>
        <w:rPr>
          <w:rStyle w:val="Funotenanker"/>
        </w:rPr>
        <w:footnoteReference w:customMarkFollows="1" w:id="907"/>
        <w:t>m</w:t>
      </w:r>
      <w:r>
        <w:rPr/>
        <w:t xml:space="preserve"> mit Danklied </w:t>
      </w:r>
      <w:r>
        <w:rPr>
          <w:color w:val="808080"/>
        </w:rPr>
        <w:t>(Dankopfer, Loblied)</w:t>
      </w:r>
      <w:r>
        <w:rPr/>
        <w:t xml:space="preserve"> </w:t>
      </w:r>
      <w:r>
        <w:rPr>
          <w:rStyle w:val="Funotenanker"/>
        </w:rPr>
        <w:footnoteReference w:customMarkFollows="1" w:id="908"/>
        <w:t>n</w:t>
      </w:r>
      <w:r>
        <w:rPr/>
        <w:t xml:space="preserve">! </w:t>
      </w:r>
      <w:r>
        <w:rPr>
          <w:b/>
          <w:color w:val="808080"/>
        </w:rPr>
        <w:t>[</w:t>
      </w:r>
      <w:r>
        <w:rPr/>
        <w:t xml:space="preserve">Kommt </w:t>
      </w:r>
      <w:r>
        <w:rPr>
          <w:color w:val="808080"/>
        </w:rPr>
        <w:t>(hinein)</w:t>
      </w:r>
      <w:r>
        <w:rPr>
          <w:b/>
          <w:color w:val="808080"/>
        </w:rPr>
        <w:t>]</w:t>
      </w:r>
      <w:r>
        <w:rPr/>
        <w:t xml:space="preserve"> </w:t>
      </w:r>
      <w:r>
        <w:rPr>
          <w:rStyle w:val="Funotenanker"/>
        </w:rPr>
        <w:footnoteReference w:customMarkFollows="1" w:id="909"/>
        <w:t>o</w:t>
      </w:r>
      <w:r>
        <w:rPr/>
        <w:t xml:space="preserve"> in seine Höfe </w:t>
      </w:r>
      <w:r>
        <w:rPr>
          <w:color w:val="808080"/>
        </w:rPr>
        <w:t>(die Höfe seiner Wohnung/seines Heiligtums)</w:t>
      </w:r>
      <w:r>
        <w:rPr/>
        <w:t xml:space="preserve"> mit Lobgesang </w:t>
      </w:r>
      <w:r>
        <w:rPr>
          <w:color w:val="808080"/>
        </w:rPr>
        <w:t>(Lobpreis)</w:t>
      </w:r>
      <w:r>
        <w:rPr/>
        <w:t xml:space="preserve">! Preist ihn, lobsingt </w:t>
      </w:r>
      <w:r>
        <w:rPr>
          <w:color w:val="808080"/>
        </w:rPr>
        <w:t>(segnet)</w:t>
      </w:r>
      <w:r>
        <w:rPr/>
        <w:t xml:space="preserve"> </w:t>
      </w:r>
      <w:r>
        <w:rPr>
          <w:rStyle w:val="Funotenanker"/>
        </w:rPr>
        <w:footnoteReference w:customMarkFollows="1" w:id="910"/>
        <w:t>p</w:t>
      </w:r>
      <w:r>
        <w:rPr/>
        <w:t xml:space="preserve"> seinem Namen </w:t>
      </w:r>
      <w:r>
        <w:rPr>
          <w:color w:val="808080"/>
        </w:rPr>
        <w:t>(ihm)</w:t>
      </w:r>
      <w:r>
        <w:rPr/>
        <w:t xml:space="preserve"> </w:t>
      </w:r>
      <w:r>
        <w:rPr>
          <w:rStyle w:val="Funotenanker"/>
        </w:rPr>
        <w:footnoteReference w:customMarkFollows="1" w:id="911"/>
        <w:t>q</w:t>
      </w:r>
      <w:r>
        <w:rPr/>
        <w:t>!</w:t>
        <w:br/>
        <w:br/>
        <w:t xml:space="preserve">{{field-off:bible}} </w:t>
        <w:br/>
        <w:t>[[@BibleTOBIBLE:Ps 100:5]]</w:t>
      </w:r>
      <w:r>
        <w:rPr>
          <w:b/>
        </w:rPr>
        <w:t>5</w:t>
      </w:r>
      <w:r>
        <w:rPr/>
        <w:t xml:space="preserve"> {{field-on:bible}} </w:t>
        <w:br/>
      </w:r>
      <w:r>
        <w:rPr>
          <w:strike/>
          <w:color w:val="808080"/>
        </w:rPr>
        <w:t>{Ja! (Denn)}</w:t>
      </w:r>
      <w:r>
        <w:rPr/>
        <w:t xml:space="preserve"> </w:t>
      </w:r>
      <w:r>
        <w:rPr>
          <w:rStyle w:val="Funotenanker"/>
        </w:rPr>
        <w:footnoteReference w:customMarkFollows="1" w:id="912"/>
        <w:t>r</w:t>
      </w:r>
      <w:r>
        <w:rPr/>
        <w:t xml:space="preserve"> </w:t>
      </w:r>
      <w:r>
        <w:rPr>
          <w:smallCaps/>
          <w:color w:val="FF0000"/>
        </w:rPr>
        <w:t>JHWH</w:t>
      </w:r>
      <w:r>
        <w:rPr/>
        <w:t xml:space="preserve"> ist gut! Für immer ist </w:t>
      </w:r>
      <w:r>
        <w:rPr>
          <w:color w:val="808080"/>
        </w:rPr>
        <w:t>(währt)</w:t>
      </w:r>
      <w:r>
        <w:rPr/>
        <w:t xml:space="preserve"> seine Huld und von Generation zu Generation ist </w:t>
      </w:r>
      <w:r>
        <w:rPr>
          <w:color w:val="808080"/>
        </w:rPr>
        <w:t>(währt)</w:t>
      </w:r>
      <w:r>
        <w:rPr/>
        <w:t xml:space="preserve"> seine Treue </w:t>
      </w:r>
      <w:r>
        <w:rPr>
          <w:color w:val="808080"/>
        </w:rPr>
        <w:t>(Verlässlichkeit)</w:t>
      </w:r>
      <w:r>
        <w:rPr/>
        <w:t>!</w:t>
        <w:br/>
        <w:t xml:space="preserve">{{field-off:bible}} </w:t>
      </w:r>
    </w:p>
    <w:p>
      <w:pPr>
        <w:pStyle w:val="Berschrift3"/>
        <w:rPr/>
      </w:pPr>
      <w:r>
        <w:rPr/>
        <w:t>[[@BibleTOBIBLE:Ps 131]]Kapitel 131</w:t>
      </w:r>
    </w:p>
    <w:p>
      <w:pPr>
        <w:pStyle w:val="Textkrper"/>
        <w:rPr/>
      </w:pPr>
      <w:r>
        <w:rPr/>
        <w:br/>
        <w:t>[[@BibleTOBIBLE:Ps 131:1]]</w:t>
      </w:r>
      <w:r>
        <w:rPr>
          <w:b/>
        </w:rPr>
        <w:t>1</w:t>
      </w:r>
      <w:r>
        <w:rPr/>
        <w:t xml:space="preserve"> {{field-on:bible}} </w:t>
      </w:r>
      <w:r>
        <w:rPr>
          <w:rStyle w:val="Funotenanker"/>
        </w:rPr>
        <w:footnoteReference w:customMarkFollows="1" w:id="913"/>
        <w:t>Status</w:t>
      </w:r>
      <w:r>
        <w:rPr/>
        <w:t xml:space="preserve"> Ein Wallfahrtslied </w:t>
      </w:r>
      <w:r>
        <w:rPr>
          <w:color w:val="808080"/>
        </w:rPr>
        <w:t>(Stufenlied, Reiselied)</w:t>
      </w:r>
      <w:r>
        <w:rPr/>
        <w:t xml:space="preserve"> </w:t>
      </w:r>
      <w:r>
        <w:rPr>
          <w:rStyle w:val="Funotenanker"/>
        </w:rPr>
        <w:footnoteReference w:customMarkFollows="1" w:id="914"/>
        <w:t>a</w:t>
      </w:r>
      <w:r>
        <w:rPr/>
        <w:t xml:space="preserve">. Von </w:t>
      </w:r>
      <w:r>
        <w:rPr>
          <w:color w:val="808080"/>
        </w:rPr>
        <w:t>(für, über, nach Art von)</w:t>
      </w:r>
      <w:r>
        <w:rPr/>
        <w:t xml:space="preserve"> David. </w:t>
        <w:br/>
      </w:r>
      <w:r>
        <w:rPr>
          <w:smallCaps/>
          <w:color w:val="FF0000"/>
        </w:rPr>
        <w:t>JHWH</w:t>
      </w:r>
      <w:r>
        <w:rPr/>
        <w:t xml:space="preserve"> </w:t>
      </w:r>
      <w:r>
        <w:rPr>
          <w:rStyle w:val="Funotenanker"/>
        </w:rPr>
        <w:footnoteReference w:customMarkFollows="1" w:id="915"/>
        <w:t>b</w:t>
      </w:r>
      <w:r>
        <w:rPr/>
        <w:t xml:space="preserve">, mein Herz </w:t>
      </w:r>
      <w:r>
        <w:rPr>
          <w:color w:val="808080"/>
        </w:rPr>
        <w:t>(ich)</w:t>
      </w:r>
      <w:r>
        <w:rPr/>
        <w:t xml:space="preserve"> </w:t>
      </w:r>
      <w:r>
        <w:rPr>
          <w:rStyle w:val="Funotenanker"/>
        </w:rPr>
        <w:footnoteReference w:customMarkFollows="1" w:id="916"/>
        <w:t>c</w:t>
      </w:r>
      <w:r>
        <w:rPr/>
        <w:t xml:space="preserve"> ist </w:t>
      </w:r>
      <w:r>
        <w:rPr>
          <w:color w:val="808080"/>
        </w:rPr>
        <w:t>(war)</w:t>
      </w:r>
      <w:r>
        <w:rPr/>
        <w:t xml:space="preserve"> nicht </w:t>
      </w:r>
      <w:r>
        <w:rPr>
          <w:color w:val="808080"/>
        </w:rPr>
        <w:t>(nie)</w:t>
      </w:r>
      <w:r>
        <w:rPr/>
        <w:t xml:space="preserve"> </w:t>
      </w:r>
      <w:r>
        <w:rPr>
          <w:b/>
          <w:color w:val="808080"/>
        </w:rPr>
        <w:t>[</w:t>
      </w:r>
      <w:r>
        <w:rPr/>
        <w:t>mehr</w:t>
      </w:r>
      <w:r>
        <w:rPr>
          <w:b/>
          <w:color w:val="808080"/>
        </w:rPr>
        <w:t>]</w:t>
      </w:r>
      <w:r>
        <w:rPr/>
        <w:t xml:space="preserve"> </w:t>
      </w:r>
      <w:r>
        <w:rPr>
          <w:rStyle w:val="Funotenanker"/>
        </w:rPr>
        <w:footnoteReference w:customMarkFollows="1" w:id="917"/>
        <w:t>d</w:t>
      </w:r>
      <w:r>
        <w:rPr/>
        <w:t xml:space="preserve"> anmaßend </w:t>
      </w:r>
      <w:r>
        <w:rPr>
          <w:color w:val="808080"/>
        </w:rPr>
        <w:t>(hochmütig, hybrid)</w:t>
      </w:r>
      <w:r>
        <w:rPr/>
        <w:t>,</w:t>
      </w:r>
      <w:r>
        <w:rPr>
          <w:position w:val="8"/>
          <w:sz w:val="19"/>
        </w:rPr>
        <w:t>[[ ℘ &gt;&gt; BibleTOBIBLE:Dt 17:20]][[ ℘ &gt;&gt; BibleTOBIBLE:2Ch 26:16]][[ ℘ &gt;&gt; BibleTOBIBLE:2Ch 32:25]][[ ℘ &gt;&gt; BibleTOBIBLE:Ps 101:5]][[ ℘ &gt;&gt; BibleTOBIBLE:Pr 30:13]][[ ℘ &gt;&gt; BibleTOBIBLE:Eze 28:2]]</w:t>
      </w:r>
      <w:r>
        <w:rPr/>
        <w:t xml:space="preserve"> </w:t>
      </w:r>
      <w:r>
        <w:rPr>
          <w:strike/>
          <w:color w:val="808080"/>
        </w:rPr>
        <w:t>{und}</w:t>
      </w:r>
      <w:r>
        <w:rPr/>
        <w:t xml:space="preserve"> meine Augen </w:t>
      </w:r>
      <w:r>
        <w:rPr>
          <w:color w:val="808080"/>
        </w:rPr>
        <w:t>(ich)</w:t>
      </w:r>
      <w:r>
        <w:rPr/>
        <w:t xml:space="preserve"> </w:t>
      </w:r>
      <w:r>
        <w:rPr>
          <w:rStyle w:val="Funotenanker"/>
        </w:rPr>
        <w:footnoteReference w:customMarkFollows="1" w:id="918"/>
        <w:t>e</w:t>
      </w:r>
      <w:r>
        <w:rPr/>
        <w:t xml:space="preserve"> sind </w:t>
      </w:r>
      <w:r>
        <w:rPr>
          <w:color w:val="808080"/>
        </w:rPr>
        <w:t>(waren)</w:t>
      </w:r>
      <w:r>
        <w:rPr/>
        <w:t xml:space="preserve"> nicht </w:t>
      </w:r>
      <w:r>
        <w:rPr>
          <w:color w:val="808080"/>
        </w:rPr>
        <w:t>(nie)</w:t>
      </w:r>
      <w:r>
        <w:rPr/>
        <w:t xml:space="preserve"> </w:t>
      </w:r>
      <w:r>
        <w:rPr>
          <w:b/>
          <w:color w:val="808080"/>
        </w:rPr>
        <w:t>[</w:t>
      </w:r>
      <w:r>
        <w:rPr/>
        <w:t>mehr</w:t>
      </w:r>
      <w:r>
        <w:rPr>
          <w:b/>
          <w:color w:val="808080"/>
        </w:rPr>
        <w:t>]</w:t>
      </w:r>
      <w:r>
        <w:rPr/>
        <w:t xml:space="preserve"> vermessen </w:t>
      </w:r>
      <w:r>
        <w:rPr>
          <w:color w:val="808080"/>
        </w:rPr>
        <w:t>(stolz, hoffärtig, hoch erhoben)</w:t>
      </w:r>
      <w:r>
        <w:rPr/>
        <w:t xml:space="preserve"> </w:t>
      </w:r>
      <w:r>
        <w:rPr>
          <w:position w:val="8"/>
          <w:sz w:val="19"/>
        </w:rPr>
        <w:t>[[ ℘ &gt;&gt; BibleTOBIBLE:Ps 18:28]][[ ℘ &gt;&gt; BibleTOBIBLE:Ps 101:5]][[ ℘ &gt;&gt; BibleTOBIBLE:Pr 6:17]][[ ℘ &gt;&gt; BibleTOBIBLE:Pr 18:12]]</w:t>
      </w:r>
      <w:r>
        <w:rPr/>
        <w:t xml:space="preserve"> </w:t>
        <w:br/>
      </w:r>
      <w:r>
        <w:rPr>
          <w:strike/>
          <w:color w:val="808080"/>
        </w:rPr>
        <w:t>{und}</w:t>
      </w:r>
      <w:r>
        <w:rPr/>
        <w:t xml:space="preserve"> ich gehe </w:t>
      </w:r>
      <w:r>
        <w:rPr>
          <w:color w:val="808080"/>
        </w:rPr>
        <w:t>(ging)</w:t>
      </w:r>
      <w:r>
        <w:rPr/>
        <w:t xml:space="preserve"> nicht </w:t>
      </w:r>
      <w:r>
        <w:rPr>
          <w:color w:val="808080"/>
        </w:rPr>
        <w:t>(nie)</w:t>
      </w:r>
      <w:r>
        <w:rPr/>
        <w:t xml:space="preserve"> </w:t>
      </w:r>
      <w:r>
        <w:rPr>
          <w:b/>
          <w:color w:val="808080"/>
        </w:rPr>
        <w:t>[</w:t>
      </w:r>
      <w:r>
        <w:rPr/>
        <w:t>mehr</w:t>
      </w:r>
      <w:r>
        <w:rPr>
          <w:b/>
          <w:color w:val="808080"/>
        </w:rPr>
        <w:t>]</w:t>
      </w:r>
      <w:r>
        <w:rPr/>
        <w:t xml:space="preserve"> nach </w:t>
      </w:r>
      <w:r>
        <w:rPr>
          <w:color w:val="808080"/>
        </w:rPr>
        <w:t>(gehe um mit, gehe in)</w:t>
      </w:r>
      <w:r>
        <w:rPr/>
        <w:t xml:space="preserve"> </w:t>
      </w:r>
      <w:r>
        <w:rPr>
          <w:rStyle w:val="Funotenanker"/>
        </w:rPr>
        <w:footnoteReference w:customMarkFollows="1" w:id="919"/>
        <w:t>f</w:t>
      </w:r>
      <w:r>
        <w:rPr/>
        <w:t xml:space="preserve"> </w:t>
      </w:r>
      <w:r>
        <w:rPr>
          <w:b/>
          <w:color w:val="808080"/>
        </w:rPr>
        <w:t>[</w:t>
      </w:r>
      <w:r>
        <w:rPr/>
        <w:t>für mich zu</w:t>
      </w:r>
      <w:r>
        <w:rPr>
          <w:b/>
          <w:color w:val="808080"/>
        </w:rPr>
        <w:t>]</w:t>
      </w:r>
      <w:r>
        <w:rPr/>
        <w:t xml:space="preserve"> </w:t>
      </w:r>
      <w:r>
        <w:rPr>
          <w:rStyle w:val="Funotenanker"/>
        </w:rPr>
        <w:footnoteReference w:customMarkFollows="1" w:id="920"/>
        <w:t>g</w:t>
      </w:r>
      <w:r>
        <w:rPr/>
        <w:t xml:space="preserve"> großen Zielen </w:t>
      </w:r>
      <w:r>
        <w:rPr>
          <w:color w:val="808080"/>
        </w:rPr>
        <w:t>(Großem, großen Dingen)</w:t>
      </w:r>
      <w:r>
        <w:rPr/>
        <w:t xml:space="preserve"> </w:t>
      </w:r>
      <w:r>
        <w:rPr>
          <w:rStyle w:val="Funotenanker"/>
        </w:rPr>
        <w:footnoteReference w:customMarkFollows="1" w:id="921"/>
        <w:t>h</w:t>
      </w:r>
      <w:r>
        <w:rPr/>
        <w:t xml:space="preserve"> und für mich zu wunderbaren </w:t>
      </w:r>
      <w:r>
        <w:rPr>
          <w:color w:val="808080"/>
        </w:rPr>
        <w:t>(für mich unmöglichen, zu schwierigen)</w:t>
      </w:r>
      <w:r>
        <w:rPr/>
        <w:t xml:space="preserve"> Dingen. </w:t>
      </w:r>
      <w:r>
        <w:rPr>
          <w:position w:val="8"/>
          <w:sz w:val="19"/>
        </w:rPr>
        <w:t>[[ ℘ &gt;&gt; BibleTOBIBLE:Ro 12:16]]</w:t>
      </w:r>
      <w:r>
        <w:rPr/>
        <w:t xml:space="preserve"> </w:t>
        <w:br/>
        <w:br/>
        <w:t xml:space="preserve">{{field-off:bible}} </w:t>
        <w:br/>
        <w:t>[[@BibleTOBIBLE:Ps 131:2]]</w:t>
      </w:r>
      <w:r>
        <w:rPr>
          <w:b/>
        </w:rPr>
        <w:t>2</w:t>
      </w:r>
      <w:r>
        <w:rPr/>
        <w:t xml:space="preserve"> {{field-on:bible}} </w:t>
        <w:br/>
        <w:t xml:space="preserve">Nein, nicht </w:t>
      </w:r>
      <w:r>
        <w:rPr>
          <w:b/>
          <w:color w:val="808080"/>
        </w:rPr>
        <w:t>[</w:t>
      </w:r>
      <w:r>
        <w:rPr/>
        <w:t>mehr</w:t>
      </w:r>
      <w:r>
        <w:rPr>
          <w:b/>
          <w:color w:val="808080"/>
        </w:rPr>
        <w:t>]</w:t>
      </w:r>
      <w:r>
        <w:rPr/>
        <w:t xml:space="preserve">! Sondern </w:t>
      </w:r>
      <w:r>
        <w:rPr>
          <w:color w:val="808080"/>
        </w:rPr>
        <w:t>(Gewiss, wenn nicht)</w:t>
      </w:r>
      <w:r>
        <w:rPr/>
        <w:t xml:space="preserve"> </w:t>
      </w:r>
      <w:r>
        <w:rPr>
          <w:rStyle w:val="Funotenanker"/>
        </w:rPr>
        <w:footnoteReference w:customMarkFollows="1" w:id="922"/>
        <w:t>i</w:t>
      </w:r>
      <w:r>
        <w:rPr/>
        <w:t xml:space="preserve"> ich habe meine Seele </w:t>
      </w:r>
      <w:r>
        <w:rPr>
          <w:color w:val="808080"/>
        </w:rPr>
        <w:t>(mich)</w:t>
      </w:r>
      <w:r>
        <w:rPr/>
        <w:t xml:space="preserve"> </w:t>
      </w:r>
      <w:r>
        <w:rPr>
          <w:rStyle w:val="Funotenanker"/>
        </w:rPr>
        <w:footnoteReference w:customMarkFollows="1" w:id="923"/>
        <w:t>j</w:t>
      </w:r>
      <w:r>
        <w:rPr/>
        <w:t xml:space="preserve"> besänftigt </w:t>
      </w:r>
      <w:r>
        <w:rPr>
          <w:color w:val="808080"/>
        </w:rPr>
        <w:t>(beschwichtigt)</w:t>
      </w:r>
      <w:r>
        <w:rPr/>
        <w:t xml:space="preserve"> und beruhigt:</w:t>
      </w:r>
      <w:r>
        <w:rPr>
          <w:position w:val="8"/>
          <w:sz w:val="19"/>
        </w:rPr>
        <w:t>[[ ℘ &gt;&gt; BibleTOBIBLE:Ps 42:6]][[ ℘ &gt;&gt; BibleTOBIBLE:Ps 42:12]][[ ℘ &gt;&gt; BibleTOBIBLE:Ps 43:5]][[ ℘ &gt;&gt; BibleTOBIBLE:Mt 11:29]]</w:t>
      </w:r>
      <w:r>
        <w:rPr/>
        <w:t xml:space="preserve"> </w:t>
        <w:br/>
        <w:t xml:space="preserve">Wie ein entwöhntes Kind </w:t>
      </w:r>
      <w:r>
        <w:rPr>
          <w:color w:val="808080"/>
        </w:rPr>
        <w:t>(ein Kleinkind, das Kleinkind</w:t>
      </w:r>
      <w:r>
        <w:rPr/>
        <w:t xml:space="preserve"> </w:t>
      </w:r>
      <w:r>
        <w:rPr>
          <w:rStyle w:val="Funotenanker"/>
        </w:rPr>
        <w:footnoteReference w:customMarkFollows="1" w:id="924"/>
        <w:t>k</w:t>
      </w:r>
      <w:r>
        <w:rPr/>
        <w:t xml:space="preserve"> </w:t>
      </w:r>
      <w:r>
        <w:rPr>
          <w:color w:val="808080"/>
        </w:rPr>
        <w:t>)</w:t>
      </w:r>
      <w:r>
        <w:rPr/>
        <w:t xml:space="preserve"> auf </w:t>
      </w:r>
      <w:r>
        <w:rPr>
          <w:color w:val="808080"/>
        </w:rPr>
        <w:t xml:space="preserve">(auf </w:t>
      </w:r>
      <w:r>
        <w:rPr>
          <w:b/>
          <w:color w:val="808080"/>
        </w:rPr>
        <w:t>[</w:t>
      </w:r>
      <w:r>
        <w:rPr>
          <w:color w:val="808080"/>
        </w:rPr>
        <w:t>dem Schoß</w:t>
      </w:r>
      <w:r>
        <w:rPr>
          <w:b/>
          <w:color w:val="808080"/>
        </w:rPr>
        <w:t>]</w:t>
      </w:r>
      <w:r>
        <w:rPr>
          <w:color w:val="808080"/>
        </w:rPr>
        <w:t xml:space="preserve">, auf </w:t>
      </w:r>
      <w:r>
        <w:rPr>
          <w:b/>
          <w:color w:val="808080"/>
        </w:rPr>
        <w:t>[</w:t>
      </w:r>
      <w:r>
        <w:rPr>
          <w:color w:val="808080"/>
        </w:rPr>
        <w:t>den Schultern</w:t>
      </w:r>
      <w:r>
        <w:rPr>
          <w:b/>
          <w:color w:val="808080"/>
        </w:rPr>
        <w:t>]</w:t>
      </w:r>
      <w:r>
        <w:rPr>
          <w:color w:val="808080"/>
        </w:rPr>
        <w:t>)</w:t>
      </w:r>
      <w:r>
        <w:rPr/>
        <w:t xml:space="preserve"> seiner Mutter </w:t>
      </w:r>
      <w:r>
        <w:rPr>
          <w:color w:val="808080"/>
        </w:rPr>
        <w:t>(mir, seiner Mutter)</w:t>
      </w:r>
      <w:r>
        <w:rPr/>
        <w:t>, Wie ein solches</w:t>
      </w:r>
      <w:r>
        <w:rPr>
          <w:rStyle w:val="Funotenanker"/>
        </w:rPr>
        <w:footnoteReference w:customMarkFollows="1" w:id="925"/>
        <w:t>l</w:t>
      </w:r>
      <w:r>
        <w:rPr/>
        <w:t xml:space="preserve"> entwöhntes Kind </w:t>
      </w:r>
      <w:r>
        <w:rPr>
          <w:color w:val="808080"/>
        </w:rPr>
        <w:t>(Kleinkind, wie das Kind, das auf mir ist,)</w:t>
      </w:r>
      <w:r>
        <w:rPr/>
        <w:t xml:space="preserve"> </w:t>
      </w:r>
      <w:r>
        <w:rPr>
          <w:b/>
          <w:color w:val="808080"/>
        </w:rPr>
        <w:t>[</w:t>
      </w:r>
      <w:r>
        <w:rPr/>
        <w:t>ist</w:t>
      </w:r>
      <w:r>
        <w:rPr>
          <w:b/>
          <w:color w:val="808080"/>
        </w:rPr>
        <w:t>]</w:t>
      </w:r>
      <w:r>
        <w:rPr/>
        <w:t xml:space="preserve"> auf mir meine Seele. </w:t>
      </w:r>
      <w:r>
        <w:rPr>
          <w:position w:val="8"/>
          <w:sz w:val="19"/>
        </w:rPr>
        <w:t>[[ ℘ &gt;&gt; BibleTOBIBLE:Dt 1:31]][[ ℘ &gt;&gt; BibleTOBIBLE:Mt 18:3]]</w:t>
      </w:r>
      <w:r>
        <w:rPr/>
        <w:t xml:space="preserve"> </w:t>
        <w:br/>
        <w:br/>
        <w:t xml:space="preserve">{{field-off:bible}} </w:t>
        <w:br/>
        <w:t>[[@BibleTOBIBLE:Ps 131:3]]</w:t>
      </w:r>
      <w:r>
        <w:rPr>
          <w:b/>
        </w:rPr>
        <w:t>3</w:t>
      </w:r>
      <w:r>
        <w:rPr/>
        <w:t xml:space="preserve"> {{field-on:bible}} </w:t>
        <w:br/>
        <w:t xml:space="preserve">Warte </w:t>
      </w:r>
      <w:r>
        <w:rPr>
          <w:color w:val="808080"/>
        </w:rPr>
        <w:t>(hoffe)</w:t>
      </w:r>
      <w:r>
        <w:rPr/>
        <w:t xml:space="preserve"> </w:t>
      </w:r>
      <w:r>
        <w:rPr>
          <w:rStyle w:val="Funotenanker"/>
        </w:rPr>
        <w:footnoteReference w:customMarkFollows="1" w:id="926"/>
        <w:t>m</w:t>
      </w:r>
      <w:r>
        <w:rPr/>
        <w:t xml:space="preserve"> </w:t>
      </w:r>
      <w:r>
        <w:rPr>
          <w:b/>
          <w:color w:val="808080"/>
        </w:rPr>
        <w:t>[</w:t>
      </w:r>
      <w:r>
        <w:rPr/>
        <w:t>auch du</w:t>
      </w:r>
      <w:r>
        <w:rPr>
          <w:b/>
          <w:color w:val="808080"/>
        </w:rPr>
        <w:t>]</w:t>
      </w:r>
      <w:r>
        <w:rPr/>
        <w:t xml:space="preserve"> </w:t>
      </w:r>
      <w:r>
        <w:rPr>
          <w:rStyle w:val="Funotenanker"/>
        </w:rPr>
        <w:footnoteReference w:customMarkFollows="1" w:id="927"/>
        <w:t>n</w:t>
      </w:r>
      <w:r>
        <w:rPr/>
        <w:t xml:space="preserve">, Israel, auf </w:t>
      </w:r>
      <w:r>
        <w:rPr>
          <w:smallCaps/>
          <w:color w:val="FF0000"/>
        </w:rPr>
        <w:t>JHWH</w:t>
      </w:r>
      <w:r>
        <w:rPr/>
        <w:t xml:space="preserve"> - </w:t>
      </w:r>
      <w:r>
        <w:rPr>
          <w:position w:val="8"/>
          <w:sz w:val="19"/>
        </w:rPr>
        <w:t>[[ ℘ &gt;&gt; BibleTOBIBLE:Ps 43:5]][[ ℘ &gt;&gt; BibleTOBIBLE:Ps 62:1]][[ ℘ &gt;&gt; BibleTOBIBLE:Ps 115:9]][[ ℘ &gt;&gt; BibleTOBIBLE:Ps 130:7]][[ ℘ &gt;&gt; BibleTOBIBLE:Is 26:4]][[ ℘ &gt;&gt; BibleTOBIBLE:Is 30:15]][[ ℘ &gt;&gt; BibleTOBIBLE:La 3:26]][[ ℘ &gt;&gt; BibleTOBIBLE:Zep 3:12]]</w:t>
      </w:r>
      <w:r>
        <w:rPr/>
        <w:t xml:space="preserve"> von nun an und für immer!</w:t>
      </w:r>
      <w:r>
        <w:rPr>
          <w:position w:val="8"/>
          <w:sz w:val="19"/>
        </w:rPr>
        <w:t>[[ ℘ &gt;&gt; BibleTOBIBLE:Ps 113:2]][[ ℘ &gt;&gt; BibleTOBIBLE:Ps 115:18]][[ ℘ &gt;&gt; BibleTOBIBLE:Ps 121:8]][[ ℘ &gt;&gt; BibleTOBIBLE:Ps 125:2]][[ ℘ &gt;&gt; BibleTOBIBLE:Is 26:4]]</w:t>
      </w:r>
      <w:r>
        <w:rPr/>
        <w:t xml:space="preserve"> </w:t>
        <w:br/>
        <w:t xml:space="preserve">{{field-off:bible}} </w:t>
      </w:r>
    </w:p>
    <w:p>
      <w:pPr>
        <w:pStyle w:val="Berschrift3"/>
        <w:rPr/>
      </w:pPr>
      <w:r>
        <w:rPr/>
        <w:t>[[@BibleTOBIBLE:Ps 138]]Kapitel 138</w:t>
      </w:r>
    </w:p>
    <w:p>
      <w:pPr>
        <w:pStyle w:val="Textkrper"/>
        <w:rPr/>
      </w:pPr>
      <w:r>
        <w:rPr/>
        <w:br/>
        <w:t>[[@BibleTOBIBLE:Ps 138:1]]</w:t>
      </w:r>
      <w:r>
        <w:rPr>
          <w:b/>
        </w:rPr>
        <w:t>1</w:t>
      </w:r>
      <w:r>
        <w:rPr/>
        <w:t xml:space="preserve"> {{field-on:bible}} </w:t>
      </w:r>
      <w:r>
        <w:rPr>
          <w:rStyle w:val="Funotenanker"/>
        </w:rPr>
        <w:footnoteReference w:customMarkFollows="1" w:id="928"/>
        <w:t>Status</w:t>
      </w:r>
      <w:r>
        <w:rPr/>
        <w:t xml:space="preserve"> Von </w:t>
      </w:r>
      <w:r>
        <w:rPr>
          <w:color w:val="808080"/>
        </w:rPr>
        <w:t>(für, über, nach Art von)</w:t>
      </w:r>
      <w:r>
        <w:rPr/>
        <w:t xml:space="preserve"> David. </w:t>
        <w:br/>
        <w:t xml:space="preserve">Ich will dich mit </w:t>
      </w:r>
      <w:r>
        <w:rPr>
          <w:color w:val="808080"/>
        </w:rPr>
        <w:t>(von)</w:t>
      </w:r>
      <w:r>
        <w:rPr/>
        <w:t xml:space="preserve"> meinem ganzem Herzen preisen </w:t>
      </w:r>
      <w:r>
        <w:rPr>
          <w:color w:val="808080"/>
        </w:rPr>
        <w:t>(preise, werde preisen)</w:t>
      </w:r>
      <w:r>
        <w:rPr/>
        <w:t xml:space="preserve">, </w:t>
        <w:br/>
        <w:t xml:space="preserve">gegenüber </w:t>
      </w:r>
      <w:r>
        <w:rPr>
          <w:color w:val="808080"/>
        </w:rPr>
        <w:t>(vor)</w:t>
      </w:r>
      <w:r>
        <w:rPr/>
        <w:t xml:space="preserve"> Göttern </w:t>
      </w:r>
      <w:r>
        <w:rPr>
          <w:color w:val="808080"/>
        </w:rPr>
        <w:t>(</w:t>
      </w:r>
      <w:r>
        <w:rPr>
          <w:b/>
          <w:color w:val="808080"/>
        </w:rPr>
        <w:t>[</w:t>
      </w:r>
      <w:r>
        <w:rPr>
          <w:color w:val="808080"/>
        </w:rPr>
        <w:t>der</w:t>
      </w:r>
      <w:r>
        <w:rPr>
          <w:b/>
          <w:color w:val="808080"/>
        </w:rPr>
        <w:t>]</w:t>
      </w:r>
      <w:r>
        <w:rPr>
          <w:color w:val="808080"/>
        </w:rPr>
        <w:t xml:space="preserve"> himmlischen Versammlung, Gott; in deinem Tempel)</w:t>
      </w:r>
      <w:r>
        <w:rPr/>
        <w:t xml:space="preserve"> </w:t>
      </w:r>
      <w:r>
        <w:rPr>
          <w:rStyle w:val="Funotenanker"/>
        </w:rPr>
        <w:footnoteReference w:customMarkFollows="1" w:id="929"/>
        <w:t>a</w:t>
      </w:r>
      <w:r>
        <w:rPr/>
        <w:t xml:space="preserve"> will ich ich dir lobsingen </w:t>
      </w:r>
      <w:r>
        <w:rPr>
          <w:color w:val="808080"/>
        </w:rPr>
        <w:t>(ein Lob auf dich singen, dir musizieren; singe, werde singen)</w:t>
      </w:r>
      <w:r>
        <w:rPr/>
        <w:t>!</w:t>
      </w:r>
      <w:r>
        <w:rPr>
          <w:position w:val="8"/>
          <w:sz w:val="19"/>
        </w:rPr>
        <w:t>[[ ℘ &gt;&gt; BibleTOBIBLE:1Co 11:10]]</w:t>
      </w:r>
      <w:r>
        <w:rPr/>
        <w:t xml:space="preserve"> </w:t>
        <w:br/>
        <w:t xml:space="preserve">{{field-off:bible}} </w:t>
        <w:br/>
        <w:t>[[@BibleTOBIBLE:Ps 138:2]]</w:t>
      </w:r>
      <w:r>
        <w:rPr>
          <w:b/>
        </w:rPr>
        <w:t>2</w:t>
      </w:r>
      <w:r>
        <w:rPr/>
        <w:t xml:space="preserve"> {{field-on:bible}} </w:t>
        <w:br/>
        <w:t xml:space="preserve">Ich will mich in Richtung </w:t>
      </w:r>
      <w:r>
        <w:rPr>
          <w:color w:val="808080"/>
        </w:rPr>
        <w:t>(in</w:t>
      </w:r>
      <w:r>
        <w:rPr/>
        <w:t xml:space="preserve"> </w:t>
      </w:r>
      <w:r>
        <w:rPr>
          <w:rStyle w:val="Funotenanker"/>
        </w:rPr>
        <w:footnoteReference w:customMarkFollows="1" w:id="930"/>
        <w:t>b</w:t>
      </w:r>
      <w:r>
        <w:rPr/>
        <w:t xml:space="preserve"> </w:t>
      </w:r>
      <w:r>
        <w:rPr>
          <w:color w:val="808080"/>
        </w:rPr>
        <w:t>)</w:t>
      </w:r>
      <w:r>
        <w:rPr/>
        <w:t xml:space="preserve"> deines heiligen Tempels niederwerfen </w:t>
      </w:r>
      <w:r>
        <w:rPr>
          <w:color w:val="808080"/>
        </w:rPr>
        <w:t>(beten, mich verbeugen; werfe mich nieder, werde mich niederwerfen)</w:t>
      </w:r>
      <w:r>
        <w:rPr/>
        <w:t xml:space="preserve"> </w:t>
        <w:br/>
        <w:t xml:space="preserve">und deinen Namen </w:t>
      </w:r>
      <w:r>
        <w:rPr>
          <w:color w:val="808080"/>
        </w:rPr>
        <w:t>(dich)</w:t>
      </w:r>
      <w:r>
        <w:rPr/>
        <w:t xml:space="preserve"> </w:t>
      </w:r>
      <w:r>
        <w:rPr>
          <w:rStyle w:val="Funotenanker"/>
        </w:rPr>
        <w:footnoteReference w:customMarkFollows="1" w:id="931"/>
        <w:t>c</w:t>
      </w:r>
      <w:r>
        <w:rPr/>
        <w:t xml:space="preserve"> für deine Liebe </w:t>
      </w:r>
      <w:r>
        <w:rPr>
          <w:color w:val="808080"/>
        </w:rPr>
        <w:t>(Güte, Gnade, liebende Treue, Bundestreue)</w:t>
      </w:r>
      <w:r>
        <w:rPr/>
        <w:t xml:space="preserve"> </w:t>
      </w:r>
      <w:r>
        <w:rPr>
          <w:rStyle w:val="Funotenanker"/>
        </w:rPr>
        <w:footnoteReference w:customMarkFollows="1" w:id="932"/>
        <w:t>d</w:t>
      </w:r>
      <w:r>
        <w:rPr/>
        <w:t xml:space="preserve"> und </w:t>
      </w:r>
      <w:r>
        <w:rPr>
          <w:strike/>
          <w:color w:val="808080"/>
        </w:rPr>
        <w:t>{für deine}</w:t>
      </w:r>
      <w:r>
        <w:rPr/>
        <w:t xml:space="preserve"> Treue </w:t>
      </w:r>
      <w:r>
        <w:rPr>
          <w:color w:val="808080"/>
        </w:rPr>
        <w:t>(Verlässlichkeit, Ehrlichkeit)</w:t>
      </w:r>
      <w:r>
        <w:rPr/>
        <w:t xml:space="preserve"> preisen </w:t>
      </w:r>
      <w:r>
        <w:rPr>
          <w:color w:val="808080"/>
        </w:rPr>
        <w:t>(bekennen, danken; preise, werde preisen)</w:t>
      </w:r>
      <w:r>
        <w:rPr/>
        <w:t>,</w:t>
      </w:r>
      <w:r>
        <w:rPr>
          <w:position w:val="8"/>
          <w:sz w:val="19"/>
        </w:rPr>
        <w:t>[[ ℘ &gt;&gt; BibleTOBIBLE:Ex 34:6]]</w:t>
      </w:r>
      <w:r>
        <w:rPr/>
        <w:t xml:space="preserve"> </w:t>
        <w:br/>
        <w:t xml:space="preserve">denn </w:t>
      </w:r>
      <w:r>
        <w:rPr>
          <w:color w:val="808080"/>
        </w:rPr>
        <w:t>(dass, ja)</w:t>
      </w:r>
      <w:r>
        <w:rPr/>
        <w:t xml:space="preserve"> du hast dein Wort </w:t>
      </w:r>
      <w:r>
        <w:rPr>
          <w:color w:val="808080"/>
        </w:rPr>
        <w:t>(Versprechen)</w:t>
      </w:r>
      <w:r>
        <w:rPr/>
        <w:t xml:space="preserve"> noch über all dein Ansehen </w:t>
      </w:r>
      <w:r>
        <w:rPr>
          <w:color w:val="808080"/>
        </w:rPr>
        <w:t>(Namen)</w:t>
      </w:r>
      <w:r>
        <w:rPr/>
        <w:t xml:space="preserve"> hinaus bekannt gemacht </w:t>
      </w:r>
      <w:r>
        <w:rPr>
          <w:color w:val="808080"/>
        </w:rPr>
        <w:t>(gerühmt, groß/erhaben gemacht; machst bekannt)</w:t>
      </w:r>
      <w:r>
        <w:rPr/>
        <w:t>!</w:t>
      </w:r>
      <w:r>
        <w:rPr>
          <w:rStyle w:val="Funotenanker"/>
        </w:rPr>
        <w:footnoteReference w:customMarkFollows="1" w:id="933"/>
        <w:t>e</w:t>
      </w:r>
      <w:r>
        <w:rPr/>
        <w:t xml:space="preserve"> </w:t>
        <w:br/>
        <w:t xml:space="preserve">{{field-off:bible}} </w:t>
        <w:br/>
        <w:t>[[@BibleTOBIBLE:Ps 138:3]]</w:t>
      </w:r>
      <w:r>
        <w:rPr>
          <w:b/>
        </w:rPr>
        <w:t>3</w:t>
      </w:r>
      <w:r>
        <w:rPr/>
        <w:t xml:space="preserve"> {{field-on:bible}} </w:t>
        <w:br/>
        <w:t xml:space="preserve">Als </w:t>
      </w:r>
      <w:r>
        <w:rPr>
          <w:color w:val="808080"/>
        </w:rPr>
        <w:t xml:space="preserve">(An </w:t>
      </w:r>
      <w:r>
        <w:rPr>
          <w:b/>
          <w:color w:val="808080"/>
        </w:rPr>
        <w:t>[</w:t>
      </w:r>
      <w:r>
        <w:rPr>
          <w:color w:val="808080"/>
        </w:rPr>
        <w:t>dem</w:t>
      </w:r>
      <w:r>
        <w:rPr>
          <w:b/>
          <w:color w:val="808080"/>
        </w:rPr>
        <w:t>]</w:t>
      </w:r>
      <w:r>
        <w:rPr>
          <w:color w:val="808080"/>
        </w:rPr>
        <w:t xml:space="preserve"> Tag, </w:t>
      </w:r>
      <w:r>
        <w:rPr>
          <w:b/>
          <w:color w:val="808080"/>
        </w:rPr>
        <w:t>[</w:t>
      </w:r>
      <w:r>
        <w:rPr>
          <w:color w:val="808080"/>
        </w:rPr>
        <w:t>an dem</w:t>
      </w:r>
      <w:r>
        <w:rPr>
          <w:b/>
          <w:color w:val="808080"/>
        </w:rPr>
        <w:t>]</w:t>
      </w:r>
      <w:r>
        <w:rPr>
          <w:color w:val="808080"/>
        </w:rPr>
        <w:t>)</w:t>
      </w:r>
      <w:r>
        <w:rPr/>
        <w:t xml:space="preserve"> </w:t>
      </w:r>
      <w:r>
        <w:rPr>
          <w:rStyle w:val="Funotenanker"/>
        </w:rPr>
        <w:footnoteReference w:customMarkFollows="1" w:id="934"/>
        <w:t>f</w:t>
      </w:r>
      <w:r>
        <w:rPr/>
        <w:t xml:space="preserve"> ich gerufen habe </w:t>
      </w:r>
      <w:r>
        <w:rPr>
          <w:color w:val="808080"/>
        </w:rPr>
        <w:t>(rufe)</w:t>
      </w:r>
      <w:r>
        <w:rPr/>
        <w:t xml:space="preserve">, hast du mir geantwortet </w:t>
      </w:r>
      <w:r>
        <w:rPr>
          <w:color w:val="808080"/>
        </w:rPr>
        <w:t>(antwortest du mir, hast du mich erhört)</w:t>
      </w:r>
      <w:r>
        <w:rPr/>
        <w:t xml:space="preserve"> </w:t>
      </w:r>
      <w:r>
        <w:rPr>
          <w:rStyle w:val="Funotenanker"/>
        </w:rPr>
        <w:footnoteReference w:customMarkFollows="1" w:id="935"/>
        <w:t>g</w:t>
      </w:r>
      <w:r>
        <w:rPr/>
        <w:t xml:space="preserve">, </w:t>
        <w:br/>
        <w:t xml:space="preserve">hast mich ermutigt </w:t>
      </w:r>
      <w:r>
        <w:rPr>
          <w:color w:val="808080"/>
        </w:rPr>
        <w:t>(ermutigst)</w:t>
      </w:r>
      <w:r>
        <w:rPr/>
        <w:t xml:space="preserve"> mit </w:t>
      </w:r>
      <w:r>
        <w:rPr>
          <w:strike/>
          <w:color w:val="808080"/>
        </w:rPr>
        <w:t>{meiner}</w:t>
      </w:r>
      <w:r>
        <w:rPr/>
        <w:t xml:space="preserve"> Seelenkraft </w:t>
      </w:r>
      <w:r>
        <w:rPr>
          <w:color w:val="808080"/>
        </w:rPr>
        <w:t>(hast mir in meiner Seele Kraft gegeben)</w:t>
      </w:r>
      <w:r>
        <w:rPr/>
        <w:t xml:space="preserve"> </w:t>
      </w:r>
      <w:r>
        <w:rPr>
          <w:rStyle w:val="Funotenanker"/>
        </w:rPr>
        <w:footnoteReference w:customMarkFollows="1" w:id="936"/>
        <w:t>h</w:t>
      </w:r>
      <w:r>
        <w:rPr/>
        <w:t xml:space="preserve">! </w:t>
        <w:br/>
        <w:t xml:space="preserve">{{field-off:bible}} </w:t>
        <w:br/>
        <w:t>[[@BibleTOBIBLE:Ps 138:4]]</w:t>
      </w:r>
      <w:r>
        <w:rPr>
          <w:b/>
        </w:rPr>
        <w:t>4</w:t>
      </w:r>
      <w:r>
        <w:rPr/>
        <w:t xml:space="preserve"> {{field-on:bible}} </w:t>
        <w:br/>
        <w:t xml:space="preserve">Dich, </w:t>
      </w:r>
      <w:r>
        <w:rPr>
          <w:smallCaps/>
          <w:color w:val="FF0000"/>
        </w:rPr>
        <w:t>JHWH</w:t>
      </w:r>
      <w:r>
        <w:rPr/>
        <w:t xml:space="preserve">, sollen </w:t>
      </w:r>
      <w:r>
        <w:rPr>
          <w:color w:val="808080"/>
        </w:rPr>
        <w:t>(werden)</w:t>
      </w:r>
      <w:r>
        <w:rPr/>
        <w:t xml:space="preserve"> alle Könige der Erde </w:t>
      </w:r>
      <w:r>
        <w:rPr>
          <w:color w:val="808080"/>
        </w:rPr>
        <w:t>(des Landes)</w:t>
      </w:r>
      <w:r>
        <w:rPr/>
        <w:t xml:space="preserve"> anerkennen </w:t>
      </w:r>
      <w:r>
        <w:rPr>
          <w:color w:val="808080"/>
        </w:rPr>
        <w:t>(preisen, danken)</w:t>
      </w:r>
      <w:r>
        <w:rPr/>
        <w:t>,</w:t>
      </w:r>
      <w:r>
        <w:rPr>
          <w:position w:val="8"/>
          <w:sz w:val="19"/>
        </w:rPr>
        <w:t>[[ ℘ &gt;&gt; BibleTOBIBLE:Ps 102:15]]</w:t>
      </w:r>
      <w:r>
        <w:rPr/>
        <w:t xml:space="preserve"> </w:t>
        <w:br/>
        <w:t xml:space="preserve">wenn </w:t>
      </w:r>
      <w:r>
        <w:rPr>
          <w:color w:val="808080"/>
        </w:rPr>
        <w:t>(weil)</w:t>
      </w:r>
      <w:r>
        <w:rPr/>
        <w:t xml:space="preserve"> sie die Worte </w:t>
      </w:r>
      <w:r>
        <w:rPr>
          <w:color w:val="808080"/>
        </w:rPr>
        <w:t>(Worte)</w:t>
      </w:r>
      <w:r>
        <w:rPr/>
        <w:t xml:space="preserve"> </w:t>
      </w:r>
      <w:r>
        <w:rPr>
          <w:b/>
          <w:color w:val="808080"/>
        </w:rPr>
        <w:t>[</w:t>
      </w:r>
      <w:r>
        <w:rPr/>
        <w:t>aus</w:t>
      </w:r>
      <w:r>
        <w:rPr>
          <w:b/>
          <w:color w:val="808080"/>
        </w:rPr>
        <w:t>]</w:t>
      </w:r>
      <w:r>
        <w:rPr/>
        <w:t xml:space="preserve"> deinem Mund</w:t>
      </w:r>
      <w:r>
        <w:rPr>
          <w:rStyle w:val="Funotenanker"/>
        </w:rPr>
        <w:footnoteReference w:customMarkFollows="1" w:id="937"/>
        <w:t>i</w:t>
      </w:r>
      <w:r>
        <w:rPr/>
        <w:t xml:space="preserve"> gehört haben </w:t>
      </w:r>
      <w:r>
        <w:rPr>
          <w:color w:val="808080"/>
        </w:rPr>
        <w:t>(hören)</w:t>
      </w:r>
      <w:r>
        <w:rPr/>
        <w:t>,</w:t>
      </w:r>
      <w:r>
        <w:rPr>
          <w:position w:val="8"/>
          <w:sz w:val="19"/>
        </w:rPr>
        <w:t>[[ ℘ &gt;&gt; BibleTOBIBLE:Ps 119:13]][[ ℘ &gt;&gt; BibleTOBIBLE:Ps 119:72]][[ ℘ &gt;&gt; BibleTOBIBLE:Ps 119:88]]</w:t>
      </w:r>
      <w:r>
        <w:rPr/>
        <w:t xml:space="preserve"> </w:t>
        <w:br/>
        <w:t xml:space="preserve">{{field-off:bible}} </w:t>
        <w:br/>
        <w:t>[[@BibleTOBIBLE:Ps 138:5]]</w:t>
      </w:r>
      <w:r>
        <w:rPr>
          <w:b/>
        </w:rPr>
        <w:t>5</w:t>
      </w:r>
      <w:r>
        <w:rPr/>
        <w:t xml:space="preserve"> {{field-on:bible}} </w:t>
        <w:br/>
        <w:t xml:space="preserve">und </w:t>
      </w:r>
      <w:r>
        <w:rPr>
          <w:strike/>
          <w:color w:val="808080"/>
        </w:rPr>
        <w:t>{sie sollen (werden)}</w:t>
      </w:r>
      <w:r>
        <w:rPr/>
        <w:t xml:space="preserve"> von </w:t>
      </w:r>
      <w:r>
        <w:rPr>
          <w:color w:val="808080"/>
        </w:rPr>
        <w:t>(auf)</w:t>
      </w:r>
      <w:r>
        <w:rPr/>
        <w:t xml:space="preserve"> </w:t>
      </w:r>
      <w:r>
        <w:rPr>
          <w:smallCaps/>
          <w:color w:val="FF0000"/>
        </w:rPr>
        <w:t>JHWH</w:t>
      </w:r>
      <w:r>
        <w:rPr/>
        <w:t xml:space="preserve">s Walten </w:t>
      </w:r>
      <w:r>
        <w:rPr>
          <w:color w:val="808080"/>
        </w:rPr>
        <w:t>(Wegen)</w:t>
      </w:r>
      <w:r>
        <w:rPr/>
        <w:t xml:space="preserve"> </w:t>
      </w:r>
      <w:r>
        <w:rPr>
          <w:rStyle w:val="Funotenanker"/>
        </w:rPr>
        <w:footnoteReference w:customMarkFollows="1" w:id="938"/>
        <w:t>j</w:t>
      </w:r>
      <w:r>
        <w:rPr/>
        <w:t xml:space="preserve"> singen. </w:t>
        <w:br/>
        <w:t xml:space="preserve">Wie </w:t>
      </w:r>
      <w:r>
        <w:rPr>
          <w:color w:val="808080"/>
        </w:rPr>
        <w:t>(denn, ja)</w:t>
      </w:r>
      <w:r>
        <w:rPr/>
        <w:t xml:space="preserve"> groß</w:t>
      </w:r>
      <w:r>
        <w:rPr>
          <w:rStyle w:val="Funotenanker"/>
        </w:rPr>
        <w:footnoteReference w:customMarkFollows="1" w:id="939"/>
        <w:t>k</w:t>
      </w:r>
      <w:r>
        <w:rPr/>
        <w:t xml:space="preserve"> </w:t>
      </w:r>
      <w:r>
        <w:rPr>
          <w:b/>
          <w:color w:val="808080"/>
        </w:rPr>
        <w:t>[</w:t>
      </w:r>
      <w:r>
        <w:rPr/>
        <w:t>ist</w:t>
      </w:r>
      <w:r>
        <w:rPr>
          <w:b/>
          <w:color w:val="808080"/>
        </w:rPr>
        <w:t>]</w:t>
      </w:r>
      <w:r>
        <w:rPr/>
        <w:t xml:space="preserve"> </w:t>
      </w:r>
      <w:r>
        <w:rPr>
          <w:smallCaps/>
          <w:color w:val="FF0000"/>
        </w:rPr>
        <w:t>JHWH</w:t>
      </w:r>
      <w:r>
        <w:rPr/>
        <w:t>s Herrlichkeit!</w:t>
      </w:r>
      <w:r>
        <w:rPr>
          <w:position w:val="8"/>
          <w:sz w:val="19"/>
        </w:rPr>
        <w:t>[[ ℘ &gt;&gt; BibleTOBIBLE:Ps 102:15]]</w:t>
      </w:r>
      <w:r>
        <w:rPr/>
        <w:t xml:space="preserve"> </w:t>
        <w:br/>
        <w:t xml:space="preserve">{{field-off:bible}} </w:t>
        <w:br/>
        <w:t>[[@BibleTOBIBLE:Ps 138:6]]</w:t>
      </w:r>
      <w:r>
        <w:rPr>
          <w:b/>
        </w:rPr>
        <w:t>6</w:t>
      </w:r>
      <w:r>
        <w:rPr/>
        <w:t xml:space="preserve"> {{field-on:bible}} </w:t>
        <w:br/>
        <w:t xml:space="preserve">Obwohl </w:t>
      </w:r>
      <w:r>
        <w:rPr>
          <w:color w:val="808080"/>
        </w:rPr>
        <w:t>(ja, denn)</w:t>
      </w:r>
      <w:r>
        <w:rPr/>
        <w:t xml:space="preserve">, </w:t>
      </w:r>
      <w:r>
        <w:rPr>
          <w:smallCaps/>
          <w:color w:val="FF0000"/>
        </w:rPr>
        <w:t>JHWH</w:t>
      </w:r>
      <w:r>
        <w:rPr/>
        <w:t xml:space="preserve"> erhaben </w:t>
      </w:r>
      <w:r>
        <w:rPr>
          <w:color w:val="808080"/>
        </w:rPr>
        <w:t>(erhöht)</w:t>
      </w:r>
      <w:r>
        <w:rPr/>
        <w:t xml:space="preserve"> </w:t>
      </w:r>
      <w:r>
        <w:rPr>
          <w:b/>
          <w:color w:val="808080"/>
        </w:rPr>
        <w:t>[</w:t>
      </w:r>
      <w:r>
        <w:rPr/>
        <w:t>ist</w:t>
      </w:r>
      <w:r>
        <w:rPr>
          <w:b/>
          <w:color w:val="808080"/>
        </w:rPr>
        <w:t>]</w:t>
      </w:r>
      <w:r>
        <w:rPr/>
        <w:t>,</w:t>
        <w:br/>
      </w:r>
      <w:r>
        <w:rPr>
          <w:strike/>
          <w:color w:val="808080"/>
        </w:rPr>
        <w:t>{und}</w:t>
      </w:r>
      <w:r>
        <w:rPr/>
        <w:t xml:space="preserve"> </w:t>
      </w:r>
      <w:r>
        <w:rPr>
          <w:rStyle w:val="Funotenanker"/>
        </w:rPr>
        <w:footnoteReference w:customMarkFollows="1" w:id="940"/>
        <w:t>l</w:t>
      </w:r>
      <w:r>
        <w:rPr/>
        <w:t xml:space="preserve"> nimmt er </w:t>
      </w:r>
      <w:r>
        <w:rPr>
          <w:color w:val="808080"/>
        </w:rPr>
        <w:t>(sieht; wird wahrnehmen)</w:t>
      </w:r>
      <w:r>
        <w:rPr/>
        <w:t xml:space="preserve"> den Unbedeutenden </w:t>
      </w:r>
      <w:r>
        <w:rPr>
          <w:color w:val="808080"/>
        </w:rPr>
        <w:t>(Geringen, Niedrigen; Niedriges)</w:t>
      </w:r>
      <w:r>
        <w:rPr/>
        <w:t xml:space="preserve"> wahr, </w:t>
        <w:br/>
        <w:t xml:space="preserve">doch </w:t>
      </w:r>
      <w:r>
        <w:rPr>
          <w:color w:val="808080"/>
        </w:rPr>
        <w:t>(und, aber)</w:t>
      </w:r>
      <w:r>
        <w:rPr/>
        <w:t xml:space="preserve"> den Wichtigen </w:t>
      </w:r>
      <w:r>
        <w:rPr>
          <w:color w:val="808080"/>
        </w:rPr>
        <w:t>(Hochmütigen, Hohen; der Hohe)</w:t>
      </w:r>
      <w:r>
        <w:rPr/>
        <w:t xml:space="preserve"> kennt </w:t>
      </w:r>
      <w:r>
        <w:rPr>
          <w:color w:val="808080"/>
        </w:rPr>
        <w:t>(erkennt; wird kennen)</w:t>
      </w:r>
      <w:r>
        <w:rPr/>
        <w:t xml:space="preserve"> </w:t>
      </w:r>
      <w:r>
        <w:rPr>
          <w:color w:val="808080"/>
        </w:rPr>
        <w:t xml:space="preserve">(und </w:t>
      </w:r>
      <w:r>
        <w:rPr>
          <w:b/>
          <w:color w:val="808080"/>
        </w:rPr>
        <w:t>[</w:t>
      </w:r>
      <w:r>
        <w:rPr>
          <w:color w:val="808080"/>
        </w:rPr>
        <w:t>er ist</w:t>
      </w:r>
      <w:r>
        <w:rPr>
          <w:b/>
          <w:color w:val="808080"/>
        </w:rPr>
        <w:t>]</w:t>
      </w:r>
      <w:r>
        <w:rPr>
          <w:color w:val="808080"/>
        </w:rPr>
        <w:t xml:space="preserve"> hoch, </w:t>
      </w:r>
      <w:r>
        <w:rPr>
          <w:b/>
          <w:color w:val="808080"/>
        </w:rPr>
        <w:t>[</w:t>
      </w:r>
      <w:r>
        <w:rPr>
          <w:color w:val="808080"/>
        </w:rPr>
        <w:t>aber</w:t>
      </w:r>
      <w:r>
        <w:rPr>
          <w:b/>
          <w:color w:val="808080"/>
        </w:rPr>
        <w:t>]</w:t>
      </w:r>
      <w:r>
        <w:rPr>
          <w:color w:val="808080"/>
        </w:rPr>
        <w:t xml:space="preserve"> er kennt)</w:t>
      </w:r>
      <w:r>
        <w:rPr/>
        <w:t xml:space="preserve"> </w:t>
      </w:r>
      <w:r>
        <w:rPr>
          <w:rStyle w:val="Funotenanker"/>
        </w:rPr>
        <w:footnoteReference w:customMarkFollows="1" w:id="941"/>
        <w:t>m</w:t>
      </w:r>
      <w:r>
        <w:rPr/>
        <w:t xml:space="preserve"> er aus der Ferne </w:t>
      </w:r>
      <w:r>
        <w:rPr>
          <w:color w:val="808080"/>
        </w:rPr>
        <w:t>(Entfernung; von fern)</w:t>
      </w:r>
      <w:r>
        <w:rPr/>
        <w:t>.</w:t>
      </w:r>
      <w:r>
        <w:rPr>
          <w:position w:val="8"/>
          <w:sz w:val="19"/>
        </w:rPr>
        <w:t>[[ ℘ &gt;&gt; BibleTOBIBLE:Ps 102:15]]</w:t>
      </w:r>
      <w:r>
        <w:rPr/>
        <w:t xml:space="preserve"> </w:t>
        <w:br/>
        <w:t xml:space="preserve">{{field-off:bible}} </w:t>
        <w:br/>
        <w:t>[[@BibleTOBIBLE:Ps 138:7]]</w:t>
      </w:r>
      <w:r>
        <w:rPr>
          <w:b/>
        </w:rPr>
        <w:t>7</w:t>
      </w:r>
      <w:r>
        <w:rPr/>
        <w:t xml:space="preserve"> {{field-on:bible}} </w:t>
        <w:br/>
        <w:t xml:space="preserve">Wenn </w:t>
      </w:r>
      <w:r>
        <w:rPr>
          <w:color w:val="808080"/>
        </w:rPr>
        <w:t>(Auch wenn, obwohl)</w:t>
      </w:r>
      <w:r>
        <w:rPr/>
        <w:t xml:space="preserve"> ich mitten in </w:t>
      </w:r>
      <w:r>
        <w:rPr>
          <w:color w:val="808080"/>
        </w:rPr>
        <w:t>(durch)</w:t>
      </w:r>
      <w:r>
        <w:rPr/>
        <w:t xml:space="preserve"> Gefahr </w:t>
      </w:r>
      <w:r>
        <w:rPr>
          <w:color w:val="808080"/>
        </w:rPr>
        <w:t>(Schwierigkeiten, Bedrängnis, Gefahr)</w:t>
      </w:r>
      <w:r>
        <w:rPr/>
        <w:t xml:space="preserve"> hineinlaufe </w:t>
      </w:r>
      <w:r>
        <w:rPr>
          <w:color w:val="808080"/>
        </w:rPr>
        <w:t>(stecke, mich befinde; hineinlaufen werde)</w:t>
      </w:r>
      <w:r>
        <w:rPr/>
        <w:t>,</w:t>
      </w:r>
      <w:r>
        <w:rPr>
          <w:rStyle w:val="Funotenanker"/>
        </w:rPr>
        <w:footnoteReference w:customMarkFollows="1" w:id="942"/>
        <w:t>n</w:t>
      </w:r>
      <w:r>
        <w:rPr/>
        <w:t xml:space="preserve"> </w:t>
        <w:br/>
        <w:t xml:space="preserve">bewahrst du mein </w:t>
      </w:r>
      <w:r>
        <w:rPr>
          <w:color w:val="808080"/>
        </w:rPr>
        <w:t>(erhältst du mich am; wirst/mögest du bewahren)</w:t>
      </w:r>
      <w:r>
        <w:rPr/>
        <w:t xml:space="preserve"> Leben trotz der </w:t>
      </w:r>
      <w:r>
        <w:rPr>
          <w:color w:val="808080"/>
        </w:rPr>
        <w:t>(Gegen die)</w:t>
      </w:r>
      <w:r>
        <w:rPr/>
        <w:t xml:space="preserve"> Wut meiner Feinde! </w:t>
        <w:br/>
        <w:t xml:space="preserve">Du streckst deine </w:t>
      </w:r>
      <w:r>
        <w:rPr>
          <w:b/>
          <w:color w:val="808080"/>
        </w:rPr>
        <w:t>[</w:t>
      </w:r>
      <w:r>
        <w:rPr/>
        <w:t>linke</w:t>
      </w:r>
      <w:r>
        <w:rPr>
          <w:b/>
          <w:color w:val="808080"/>
        </w:rPr>
        <w:t>]</w:t>
      </w:r>
      <w:r>
        <w:rPr/>
        <w:t xml:space="preserve"> Hand aus </w:t>
      </w:r>
      <w:r>
        <w:rPr>
          <w:color w:val="808080"/>
        </w:rPr>
        <w:t>(wirst/mögest ausstrecken)</w:t>
      </w:r>
      <w:r>
        <w:rPr/>
        <w:t>,</w:t>
      </w:r>
      <w:r>
        <w:rPr>
          <w:rStyle w:val="Funotenanker"/>
        </w:rPr>
        <w:footnoteReference w:customMarkFollows="1" w:id="943"/>
        <w:t>o</w:t>
      </w:r>
      <w:r>
        <w:rPr/>
        <w:t xml:space="preserve"> </w:t>
        <w:br/>
        <w:t xml:space="preserve">und deine rechte Hand rettet mich </w:t>
      </w:r>
      <w:r>
        <w:rPr>
          <w:color w:val="808080"/>
        </w:rPr>
        <w:t>(hilft mir; wird/möge mich retten)</w:t>
      </w:r>
      <w:r>
        <w:rPr/>
        <w:t>!</w:t>
      </w:r>
      <w:r>
        <w:rPr>
          <w:rStyle w:val="Funotenanker"/>
        </w:rPr>
        <w:footnoteReference w:customMarkFollows="1" w:id="944"/>
        <w:t>p</w:t>
      </w:r>
      <w:r>
        <w:rPr/>
        <w:t xml:space="preserve"> </w:t>
        <w:br/>
        <w:t xml:space="preserve">{{field-off:bible}} </w:t>
        <w:br/>
        <w:t>[[@BibleTOBIBLE:Ps 138:8]]</w:t>
      </w:r>
      <w:r>
        <w:rPr>
          <w:b/>
        </w:rPr>
        <w:t>8</w:t>
      </w:r>
      <w:r>
        <w:rPr/>
        <w:t xml:space="preserve"> {{field-on:bible}} </w:t>
        <w:br/>
      </w:r>
      <w:r>
        <w:rPr>
          <w:smallCaps/>
          <w:color w:val="FF0000"/>
        </w:rPr>
        <w:t>JHWH</w:t>
      </w:r>
      <w:r>
        <w:rPr/>
        <w:t xml:space="preserve"> wird meine Sache führen </w:t>
      </w:r>
      <w:r>
        <w:rPr>
          <w:color w:val="808080"/>
        </w:rPr>
        <w:t>(es für mich vollbringen, mich rächen; möge führen/führt meine Sache)</w:t>
      </w:r>
      <w:r>
        <w:rPr/>
        <w:t>!</w:t>
      </w:r>
      <w:r>
        <w:rPr>
          <w:rStyle w:val="Funotenanker"/>
        </w:rPr>
        <w:footnoteReference w:customMarkFollows="1" w:id="945"/>
        <w:t>q</w:t>
      </w:r>
      <w:r>
        <w:rPr/>
        <w:t xml:space="preserve"> </w:t>
        <w:br/>
      </w:r>
      <w:r>
        <w:rPr>
          <w:smallCaps/>
          <w:color w:val="FF0000"/>
        </w:rPr>
        <w:t>JHWH</w:t>
      </w:r>
      <w:r>
        <w:rPr/>
        <w:t xml:space="preserve">, deine Güte </w:t>
      </w:r>
      <w:r>
        <w:rPr>
          <w:color w:val="808080"/>
        </w:rPr>
        <w:t>(Liebe, liebende Treue, Gnade, Bundestreue)</w:t>
      </w:r>
      <w:r>
        <w:rPr/>
        <w:t xml:space="preserve"> </w:t>
      </w:r>
      <w:r>
        <w:rPr>
          <w:b/>
          <w:color w:val="808080"/>
        </w:rPr>
        <w:t>[</w:t>
      </w:r>
      <w:r>
        <w:rPr/>
        <w:t xml:space="preserve">währt </w:t>
      </w:r>
      <w:r>
        <w:rPr>
          <w:color w:val="808080"/>
        </w:rPr>
        <w:t>(reicht)</w:t>
      </w:r>
      <w:r>
        <w:rPr>
          <w:b/>
          <w:color w:val="808080"/>
        </w:rPr>
        <w:t>]</w:t>
      </w:r>
      <w:r>
        <w:rPr/>
        <w:t xml:space="preserve"> bis in Ewigkeit </w:t>
      </w:r>
      <w:r>
        <w:rPr>
          <w:color w:val="808080"/>
        </w:rPr>
        <w:t>(ewig)</w:t>
      </w:r>
      <w:r>
        <w:rPr/>
        <w:t xml:space="preserve">! </w:t>
        <w:br/>
        <w:t xml:space="preserve">Die Werke </w:t>
      </w:r>
      <w:r>
        <w:rPr>
          <w:color w:val="808080"/>
        </w:rPr>
        <w:t>(das Werk, Wirken)</w:t>
      </w:r>
      <w:r>
        <w:rPr/>
        <w:t xml:space="preserve"> deiner Hände gib </w:t>
      </w:r>
      <w:r>
        <w:rPr>
          <w:color w:val="808080"/>
        </w:rPr>
        <w:t>(Du wirst aufgeben; lass im Stich, lass ab von, lass fallen)</w:t>
      </w:r>
      <w:r>
        <w:rPr/>
        <w:t xml:space="preserve"> niemals auf</w:t>
      </w:r>
      <w:r>
        <w:rPr>
          <w:rStyle w:val="Funotenanker"/>
        </w:rPr>
        <w:footnoteReference w:customMarkFollows="1" w:id="946"/>
        <w:t>r</w:t>
      </w:r>
      <w:r>
        <w:rPr/>
        <w:t>!</w:t>
      </w:r>
      <w:r>
        <w:rPr>
          <w:position w:val="8"/>
          <w:sz w:val="19"/>
        </w:rPr>
        <w:t>[[ ℘ &gt;&gt; BibleTOBIBLE:Php 1:6]]</w:t>
      </w:r>
      <w:r>
        <w:rPr/>
        <w:t xml:space="preserve"> </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br/>
      </w:r>
      <w:r>
        <w:rPr>
          <w:rStyle w:val="Funotenanker"/>
        </w:rPr>
        <w:footnoteReference w:customMarkFollows="1" w:id="947"/>
        <w:t>Status</w:t>
      </w:r>
      <w:r>
        <w:rPr/>
        <w:t xml:space="preserve"> Halleluja </w:t>
      </w:r>
      <w:r>
        <w:rPr>
          <w:color w:val="808080"/>
        </w:rPr>
        <w:t xml:space="preserve">(Preist Jah, Preist </w:t>
      </w:r>
      <w:r>
        <w:rPr>
          <w:smallCaps/>
          <w:color w:val="FF0000"/>
        </w:rPr>
        <w:t>JHWH</w:t>
      </w:r>
      <w:r>
        <w:rPr>
          <w:color w:val="808080"/>
        </w:rPr>
        <w:t>)</w:t>
      </w:r>
      <w:r>
        <w:rPr/>
        <w:t>!</w:t>
        <w:br/>
        <w:br/>
        <w:t xml:space="preserve">Singt </w:t>
      </w:r>
      <w:r>
        <w:rPr>
          <w:smallCaps/>
          <w:color w:val="FF0000"/>
        </w:rPr>
        <w:t>JHWH</w:t>
      </w:r>
      <w:r>
        <w:rPr/>
        <w:t xml:space="preserve"> ein neues Lied,</w:t>
      </w:r>
      <w:r>
        <w:rPr>
          <w:rStyle w:val="Funotenanker"/>
        </w:rPr>
        <w:footnoteReference w:customMarkFollows="1" w:id="948"/>
        <w:t>a</w:t>
      </w:r>
      <w:r>
        <w:rPr/>
        <w:t xml:space="preserve"> </w:t>
      </w:r>
      <w:r>
        <w:rPr>
          <w:b/>
          <w:color w:val="808080"/>
        </w:rPr>
        <w:t>[</w:t>
      </w:r>
      <w:r>
        <w:rPr/>
        <w:t>singt</w:t>
      </w:r>
      <w:r>
        <w:rPr>
          <w:b/>
          <w:color w:val="808080"/>
        </w:rPr>
        <w:t>]</w:t>
      </w:r>
      <w:r>
        <w:rPr/>
        <w:t xml:space="preserve"> </w:t>
      </w:r>
      <w:r>
        <w:rPr>
          <w:rStyle w:val="Funotenanker"/>
        </w:rPr>
        <w:footnoteReference w:customMarkFollows="1" w:id="949"/>
        <w:t>b</w:t>
      </w:r>
      <w:r>
        <w:rPr/>
        <w:t xml:space="preserve"> seinen Lob</w:t>
      </w:r>
      <w:r>
        <w:rPr>
          <w:color w:val="808080"/>
        </w:rPr>
        <w:t>(-preis, Ruhm)</w:t>
      </w:r>
      <w:r>
        <w:rPr/>
        <w:t xml:space="preserve"> in der Gemeinde </w:t>
      </w:r>
      <w:r>
        <w:rPr>
          <w:color w:val="808080"/>
        </w:rPr>
        <w:t>(Truppe)</w:t>
      </w:r>
      <w:r>
        <w:rPr/>
        <w:t xml:space="preserve"> </w:t>
      </w:r>
      <w:r>
        <w:rPr>
          <w:rStyle w:val="Funotenanker"/>
        </w:rPr>
        <w:footnoteReference w:customMarkFollows="1" w:id="950"/>
        <w:t>c</w:t>
      </w:r>
      <w:r>
        <w:rPr/>
        <w:t xml:space="preserve"> der Getreuen </w:t>
      </w:r>
      <w:r>
        <w:rPr>
          <w:color w:val="808080"/>
        </w:rPr>
        <w:t>(Frommen, Heiligen?)</w:t>
      </w:r>
      <w:r>
        <w:rPr/>
        <w:t xml:space="preserve"> </w:t>
        <w:br/>
        <w:t xml:space="preserve">{{field-off:bible}} </w:t>
        <w:br/>
        <w:t>[[@BibleTOBIBLE:Ps 149:2]]</w:t>
      </w:r>
      <w:r>
        <w:rPr>
          <w:b/>
        </w:rPr>
        <w:t>2</w:t>
      </w:r>
      <w:r>
        <w:rPr/>
        <w:t xml:space="preserve"> {{field-on:bible}} </w:t>
        <w:br/>
        <w:t>Israel soll sich seines Schöpfers</w:t>
      </w:r>
      <w:r>
        <w:rPr>
          <w:rStyle w:val="Funotenanker"/>
        </w:rPr>
        <w:footnoteReference w:customMarkFollows="1" w:id="951"/>
        <w:t>d</w:t>
      </w:r>
      <w:r>
        <w:rPr/>
        <w:t xml:space="preserve"> freuen, ob ihres Königs sollen Zion’s Söhne </w:t>
      </w:r>
      <w:r>
        <w:rPr>
          <w:color w:val="808080"/>
        </w:rPr>
        <w:t>(Kinder)</w:t>
      </w:r>
      <w:r>
        <w:rPr/>
        <w:t xml:space="preserve"> frohlocken</w:t>
      </w:r>
      <w:r>
        <w:rPr>
          <w:color w:val="808080"/>
        </w:rPr>
        <w:t>(jubeln, jauchzen)</w:t>
      </w:r>
      <w:r>
        <w:rPr/>
        <w:t>.</w:t>
        <w:br/>
        <w:t xml:space="preserve">{{field-off:bible}} </w:t>
        <w:br/>
        <w:t>[[@BibleTOBIBLE:Ps 149:3]]</w:t>
      </w:r>
      <w:r>
        <w:rPr>
          <w:b/>
        </w:rPr>
        <w:t>3</w:t>
      </w:r>
      <w:r>
        <w:rPr/>
        <w:t xml:space="preserve"> {{field-on:bible}} </w:t>
        <w:br/>
        <w:t xml:space="preserve">Sie sollen seinen Namen </w:t>
      </w:r>
      <w:r>
        <w:rPr>
          <w:color w:val="808080"/>
        </w:rPr>
        <w:t>(ihn)</w:t>
      </w:r>
      <w:r>
        <w:rPr/>
        <w:t xml:space="preserve"> </w:t>
      </w:r>
      <w:r>
        <w:rPr>
          <w:rStyle w:val="Funotenanker"/>
        </w:rPr>
        <w:footnoteReference w:customMarkFollows="1" w:id="952"/>
        <w:t>e</w:t>
      </w:r>
      <w:r>
        <w:rPr/>
        <w:t xml:space="preserve"> preisen mit </w:t>
      </w:r>
      <w:r>
        <w:rPr>
          <w:color w:val="808080"/>
        </w:rPr>
        <w:t>(im</w:t>
      </w:r>
      <w:r>
        <w:rPr/>
        <w:t xml:space="preserve"> </w:t>
      </w:r>
      <w:r>
        <w:rPr>
          <w:rStyle w:val="Funotenanker"/>
        </w:rPr>
        <w:footnoteReference w:customMarkFollows="1" w:id="953"/>
        <w:t>f</w:t>
      </w:r>
      <w:r>
        <w:rPr/>
        <w:t xml:space="preserve"> </w:t>
      </w:r>
      <w:r>
        <w:rPr>
          <w:color w:val="808080"/>
        </w:rPr>
        <w:t>)</w:t>
      </w:r>
      <w:r>
        <w:rPr/>
        <w:t xml:space="preserve"> Tanz </w:t>
      </w:r>
      <w:r>
        <w:rPr>
          <w:color w:val="808080"/>
        </w:rPr>
        <w:t>(Reigen, Isisklapper?</w:t>
      </w:r>
      <w:r>
        <w:rPr/>
        <w:t xml:space="preserve"> </w:t>
      </w:r>
      <w:r>
        <w:rPr>
          <w:rStyle w:val="Funotenanker"/>
        </w:rPr>
        <w:footnoteReference w:customMarkFollows="1" w:id="954"/>
        <w:t>g</w:t>
      </w:r>
      <w:r>
        <w:rPr/>
        <w:t xml:space="preserve"> </w:t>
      </w:r>
      <w:r>
        <w:rPr>
          <w:color w:val="808080"/>
        </w:rPr>
        <w:t>)</w:t>
      </w:r>
      <w:r>
        <w:rPr/>
        <w:t>, mit Tamburin und Zither sollen sie ihm spielen,</w:t>
        <w:br/>
        <w:t xml:space="preserve">{{field-off:bible}} </w:t>
        <w:br/>
        <w:t>[[@BibleTOBIBLE:Ps 149:4]]</w:t>
      </w:r>
      <w:r>
        <w:rPr>
          <w:b/>
        </w:rPr>
        <w:t>4</w:t>
      </w:r>
      <w:r>
        <w:rPr/>
        <w:t xml:space="preserve"> {{field-on:bible}} </w:t>
        <w:br/>
        <w:t xml:space="preserve">Denn </w:t>
      </w:r>
      <w:r>
        <w:rPr>
          <w:color w:val="808080"/>
        </w:rPr>
        <w:t>(Ja!, damit?)</w:t>
      </w:r>
      <w:r>
        <w:rPr/>
        <w:t xml:space="preserve"> </w:t>
      </w:r>
      <w:r>
        <w:rPr>
          <w:rStyle w:val="Funotenanker"/>
        </w:rPr>
        <w:footnoteReference w:customMarkFollows="1" w:id="955"/>
        <w:t>h</w:t>
      </w:r>
      <w:r>
        <w:rPr/>
        <w:t xml:space="preserve"> </w:t>
      </w:r>
      <w:r>
        <w:rPr>
          <w:smallCaps/>
          <w:color w:val="FF0000"/>
        </w:rPr>
        <w:t>JHWH</w:t>
      </w:r>
      <w:r>
        <w:rPr/>
        <w:t xml:space="preserve"> hat Wohlgefallen an seinem Volk, die </w:t>
      </w:r>
      <w:r>
        <w:rPr>
          <w:color w:val="808080"/>
        </w:rPr>
        <w:t>(seine)</w:t>
      </w:r>
      <w:r>
        <w:rPr/>
        <w:t xml:space="preserve"> </w:t>
      </w:r>
      <w:r>
        <w:rPr>
          <w:rStyle w:val="Funotenanker"/>
        </w:rPr>
        <w:footnoteReference w:customMarkFollows="1" w:id="956"/>
        <w:t>i</w:t>
      </w:r>
      <w:r>
        <w:rPr/>
        <w:t xml:space="preserve"> Unterdrückten </w:t>
      </w:r>
      <w:r>
        <w:rPr>
          <w:color w:val="808080"/>
        </w:rPr>
        <w:t>(Gebeugten, Niedrigen, Demütigen, Armen, Hilflosen, Duldern)</w:t>
      </w:r>
      <w:r>
        <w:rPr/>
        <w:t xml:space="preserve"> schmückt </w:t>
      </w:r>
      <w:r>
        <w:rPr>
          <w:color w:val="808080"/>
        </w:rPr>
        <w:t>(verherrlicht, krönt?)</w:t>
      </w:r>
      <w:r>
        <w:rPr/>
        <w:t xml:space="preserve"> </w:t>
      </w:r>
      <w:r>
        <w:rPr>
          <w:rStyle w:val="Funotenanker"/>
        </w:rPr>
        <w:footnoteReference w:customMarkFollows="1" w:id="957"/>
        <w:t>j</w:t>
      </w:r>
      <w:r>
        <w:rPr/>
        <w:t xml:space="preserve"> er mit </w:t>
      </w:r>
      <w:r>
        <w:rPr>
          <w:color w:val="808080"/>
        </w:rPr>
        <w:t>(</w:t>
      </w:r>
      <w:r>
        <w:rPr>
          <w:b/>
          <w:color w:val="808080"/>
        </w:rPr>
        <w:t>[</w:t>
      </w:r>
      <w:r>
        <w:rPr>
          <w:color w:val="808080"/>
        </w:rPr>
        <w:t>seinem</w:t>
      </w:r>
      <w:r>
        <w:rPr>
          <w:b/>
          <w:color w:val="808080"/>
        </w:rPr>
        <w:t>]</w:t>
      </w:r>
      <w:r>
        <w:rPr>
          <w:color w:val="808080"/>
        </w:rPr>
        <w:t>)</w:t>
      </w:r>
      <w:r>
        <w:rPr/>
        <w:t xml:space="preserve"> </w:t>
      </w:r>
      <w:r>
        <w:rPr>
          <w:rStyle w:val="Funotenanker"/>
        </w:rPr>
        <w:footnoteReference w:customMarkFollows="1" w:id="958"/>
        <w:t>k</w:t>
      </w:r>
      <w:r>
        <w:rPr/>
        <w:t xml:space="preserve"> Sieg </w:t>
      </w:r>
      <w:r>
        <w:rPr>
          <w:color w:val="808080"/>
        </w:rPr>
        <w:t>(Heil, Rettung)</w:t>
      </w:r>
      <w:r>
        <w:rPr/>
        <w:t>.</w:t>
        <w:br/>
        <w:br/>
        <w:t xml:space="preserve">{{field-off:bible}} </w:t>
        <w:br/>
        <w:t>[[@BibleTOBIBLE:Ps 149:5]]</w:t>
      </w:r>
      <w:r>
        <w:rPr>
          <w:b/>
        </w:rPr>
        <w:t>5</w:t>
      </w:r>
      <w:r>
        <w:rPr/>
        <w:t xml:space="preserve"> {{field-on:bible}} </w:t>
        <w:br/>
        <w:t xml:space="preserve">Jauchzen sollen die Getreuen </w:t>
      </w:r>
      <w:r>
        <w:rPr>
          <w:color w:val="808080"/>
        </w:rPr>
        <w:t>(Frommen, Heiligen (?))</w:t>
      </w:r>
      <w:r>
        <w:rPr/>
        <w:t xml:space="preserve"> ob </w:t>
      </w:r>
      <w:r>
        <w:rPr>
          <w:b/>
          <w:color w:val="808080"/>
        </w:rPr>
        <w:t>[</w:t>
      </w:r>
      <w:r>
        <w:rPr/>
        <w:t>ihrer</w:t>
      </w:r>
      <w:r>
        <w:rPr>
          <w:b/>
          <w:color w:val="808080"/>
        </w:rPr>
        <w:t>]</w:t>
      </w:r>
      <w:r>
        <w:rPr/>
        <w:t xml:space="preserve"> </w:t>
      </w:r>
      <w:r>
        <w:rPr>
          <w:rStyle w:val="Funotenanker"/>
        </w:rPr>
        <w:footnoteReference w:customMarkFollows="1" w:id="959"/>
        <w:t>l</w:t>
      </w:r>
      <w:r>
        <w:rPr/>
        <w:t xml:space="preserve"> Herrlichkeit </w:t>
      </w:r>
      <w:r>
        <w:rPr>
          <w:color w:val="808080"/>
        </w:rPr>
        <w:t>(Herrlichen, Mächtigen)</w:t>
      </w:r>
      <w:r>
        <w:rPr/>
        <w:t>, jubeln sollen sie auf ihren Lagern</w:t>
      </w:r>
      <w:r>
        <w:rPr>
          <w:rStyle w:val="Funotenanker"/>
        </w:rPr>
        <w:footnoteReference w:customMarkFollows="1" w:id="960"/>
        <w:t>m</w:t>
      </w:r>
      <w:r>
        <w:rPr/>
        <w:t>,</w:t>
      </w:r>
      <w:r>
        <w:rPr>
          <w:color w:val="808080"/>
        </w:rPr>
        <w:t>(-)</w:t>
      </w:r>
      <w:r>
        <w:rPr/>
        <w:t xml:space="preserve"> </w:t>
      </w:r>
      <w:r>
        <w:rPr>
          <w:rStyle w:val="Funotenanker"/>
        </w:rPr>
        <w:footnoteReference w:customMarkFollows="1" w:id="961"/>
        <w:t>n</w:t>
      </w:r>
      <w:r>
        <w:rPr/>
        <w:t xml:space="preserve"> </w:t>
        <w:br/>
        <w:t xml:space="preserve">{{field-off:bible}} </w:t>
        <w:br/>
        <w:t>[[@BibleTOBIBLE:Ps 149:6]]</w:t>
      </w:r>
      <w:r>
        <w:rPr>
          <w:b/>
        </w:rPr>
        <w:t>6</w:t>
      </w:r>
      <w:r>
        <w:rPr/>
        <w:t xml:space="preserve"> {{field-on:bible}} </w:t>
        <w:br/>
        <w:t xml:space="preserve">Loblieder </w:t>
      </w:r>
      <w:r>
        <w:rPr>
          <w:color w:val="808080"/>
        </w:rPr>
        <w:t>(-preisungen, Rühmungen)</w:t>
      </w:r>
      <w:r>
        <w:rPr/>
        <w:t xml:space="preserve"> Gottes </w:t>
      </w:r>
      <w:r>
        <w:rPr>
          <w:color w:val="808080"/>
        </w:rPr>
        <w:t>(auf Gott)</w:t>
      </w:r>
      <w:r>
        <w:rPr/>
        <w:t xml:space="preserve"> </w:t>
      </w:r>
      <w:r>
        <w:rPr>
          <w:b/>
          <w:color w:val="808080"/>
        </w:rPr>
        <w:t>[</w:t>
      </w:r>
      <w:r>
        <w:rPr/>
        <w:t>sollen sein</w:t>
      </w:r>
      <w:r>
        <w:rPr>
          <w:b/>
          <w:color w:val="808080"/>
        </w:rPr>
        <w:t>]</w:t>
      </w:r>
      <w:r>
        <w:rPr/>
        <w:t xml:space="preserve"> in ihrer Kehle </w:t>
      </w:r>
      <w:r>
        <w:rPr>
          <w:color w:val="808080"/>
        </w:rPr>
        <w:t>(ihrem Mund, singend)</w:t>
      </w:r>
      <w:r>
        <w:rPr/>
        <w:t xml:space="preserve"> Und </w:t>
      </w:r>
      <w:r>
        <w:rPr>
          <w:color w:val="808080"/>
        </w:rPr>
        <w:t>(gleich einem, (und) das ist)</w:t>
      </w:r>
      <w:r>
        <w:rPr/>
        <w:t xml:space="preserve"> </w:t>
      </w:r>
      <w:r>
        <w:rPr>
          <w:rStyle w:val="Funotenanker"/>
        </w:rPr>
        <w:footnoteReference w:customMarkFollows="1" w:id="962"/>
        <w:t>o</w:t>
      </w:r>
      <w:r>
        <w:rPr/>
        <w:t xml:space="preserve"> ein zweischneidiges </w:t>
      </w:r>
      <w:r>
        <w:rPr>
          <w:color w:val="808080"/>
        </w:rPr>
        <w:t>(scharfes)</w:t>
      </w:r>
      <w:r>
        <w:rPr/>
        <w:t xml:space="preserve"> Schwert </w:t>
      </w:r>
      <w:r>
        <w:rPr>
          <w:b/>
          <w:color w:val="808080"/>
        </w:rPr>
        <w:t>[</w:t>
      </w:r>
      <w:r>
        <w:rPr/>
        <w:t>soll sein</w:t>
      </w:r>
      <w:r>
        <w:rPr>
          <w:b/>
          <w:color w:val="808080"/>
        </w:rPr>
        <w:t>]</w:t>
      </w:r>
      <w:r>
        <w:rPr/>
        <w:t xml:space="preserve"> in ihrer Hand,</w:t>
      </w:r>
      <w:r>
        <w:rPr>
          <w:color w:val="808080"/>
        </w:rPr>
        <w:t>(-)</w:t>
      </w:r>
      <w:r>
        <w:rPr/>
        <w:t xml:space="preserve"> </w:t>
        <w:br/>
        <w:t xml:space="preserve">{{field-off:bible}} </w:t>
        <w:br/>
        <w:t>[[@BibleTOBIBLE:Ps 149:7]]</w:t>
      </w:r>
      <w:r>
        <w:rPr>
          <w:b/>
        </w:rPr>
        <w:t>7</w:t>
      </w:r>
      <w:r>
        <w:rPr/>
        <w:t xml:space="preserve"> {{field-on:bible}} </w:t>
        <w:br/>
        <w:t xml:space="preserve">auf dass er Rache übe </w:t>
      </w:r>
      <w:r>
        <w:rPr>
          <w:color w:val="808080"/>
        </w:rPr>
        <w:t>(zum Ausüben von Rache)</w:t>
      </w:r>
      <w:r>
        <w:rPr/>
        <w:t xml:space="preserve"> </w:t>
      </w:r>
      <w:r>
        <w:rPr>
          <w:rStyle w:val="Funotenanker"/>
        </w:rPr>
        <w:footnoteReference w:customMarkFollows="1" w:id="963"/>
        <w:t>p</w:t>
      </w:r>
      <w:r>
        <w:rPr/>
        <w:t xml:space="preserve"> an den Völkern </w:t>
      </w:r>
      <w:r>
        <w:rPr>
          <w:color w:val="808080"/>
        </w:rPr>
        <w:t>(Nationen)</w:t>
      </w:r>
      <w:r>
        <w:rPr/>
        <w:t xml:space="preserve">, und Strafgericht </w:t>
      </w:r>
      <w:r>
        <w:rPr>
          <w:color w:val="808080"/>
        </w:rPr>
        <w:t>(Züchtigung)</w:t>
      </w:r>
      <w:r>
        <w:rPr/>
        <w:t xml:space="preserve"> </w:t>
      </w:r>
      <w:r>
        <w:rPr>
          <w:rStyle w:val="Funotenanker"/>
        </w:rPr>
        <w:footnoteReference w:customMarkFollows="1" w:id="964"/>
        <w:t>q</w:t>
      </w:r>
      <w:r>
        <w:rPr/>
        <w:t xml:space="preserve"> an den Nationen </w:t>
      </w:r>
      <w:r>
        <w:rPr>
          <w:color w:val="808080"/>
        </w:rPr>
        <w:t>(Völkern)</w:t>
      </w:r>
      <w:r>
        <w:rPr/>
        <w:t>;</w:t>
        <w:br/>
        <w:t xml:space="preserve">{{field-off:bible}} </w:t>
        <w:br/>
        <w:t>[[@BibleTOBIBLE:Ps 149:8]]</w:t>
      </w:r>
      <w:r>
        <w:rPr>
          <w:b/>
        </w:rPr>
        <w:t>8</w:t>
      </w:r>
      <w:r>
        <w:rPr/>
        <w:t xml:space="preserve"> {{field-on:bible}} </w:t>
        <w:br/>
        <w:t xml:space="preserve">auf dass er binde </w:t>
      </w:r>
      <w:r>
        <w:rPr>
          <w:color w:val="808080"/>
        </w:rPr>
        <w:t>(zum Binden)</w:t>
      </w:r>
      <w:r>
        <w:rPr/>
        <w:t xml:space="preserve"> ihre Könige </w:t>
      </w:r>
      <w:r>
        <w:rPr>
          <w:color w:val="808080"/>
        </w:rPr>
        <w:t>(Herrscher)</w:t>
      </w:r>
      <w:r>
        <w:rPr/>
        <w:t xml:space="preserve"> mit Fesseln </w:t>
      </w:r>
      <w:r>
        <w:rPr>
          <w:color w:val="808080"/>
        </w:rPr>
        <w:t>(Handschellen)</w:t>
      </w:r>
      <w:r>
        <w:rPr/>
        <w:t xml:space="preserve">, und ihre Fürsten </w:t>
      </w:r>
      <w:r>
        <w:rPr>
          <w:color w:val="808080"/>
        </w:rPr>
        <w:t>(Adeligen, Edlen, Beamten)</w:t>
      </w:r>
      <w:r>
        <w:rPr/>
        <w:t xml:space="preserve"> mit eisernen Ketten </w:t>
      </w:r>
      <w:r>
        <w:rPr>
          <w:color w:val="808080"/>
        </w:rPr>
        <w:t>(Fußketten)</w:t>
      </w:r>
      <w:r>
        <w:rPr/>
        <w:t>;</w:t>
        <w:br/>
        <w:t xml:space="preserve">{{field-off:bible}} </w:t>
        <w:br/>
        <w:t>[[@BibleTOBIBLE:Ps 149:9]]</w:t>
      </w:r>
      <w:r>
        <w:rPr>
          <w:b/>
        </w:rPr>
        <w:t>9</w:t>
      </w:r>
      <w:r>
        <w:rPr/>
        <w:t xml:space="preserve"> {{field-on:bible}} </w:t>
        <w:br/>
        <w:t xml:space="preserve">auf dass er Gericht halte </w:t>
      </w:r>
      <w:r>
        <w:rPr>
          <w:color w:val="808080"/>
        </w:rPr>
        <w:t>(spreche, zum Gericht-Halten, zum Halten von geschriebenen Recht)</w:t>
      </w:r>
      <w:r>
        <w:rPr/>
        <w:t xml:space="preserve"> </w:t>
      </w:r>
      <w:r>
        <w:rPr>
          <w:rStyle w:val="Funotenanker"/>
        </w:rPr>
        <w:footnoteReference w:customMarkFollows="1" w:id="965"/>
        <w:t>r</w:t>
      </w:r>
      <w:r>
        <w:rPr/>
        <w:t xml:space="preserve"> wie geschrieben </w:t>
      </w:r>
      <w:r>
        <w:rPr>
          <w:b/>
          <w:color w:val="808080"/>
        </w:rPr>
        <w:t>[</w:t>
      </w:r>
      <w:r>
        <w:rPr/>
        <w:t>steht</w:t>
      </w:r>
      <w:r>
        <w:rPr>
          <w:b/>
          <w:color w:val="808080"/>
        </w:rPr>
        <w:t>]</w:t>
      </w:r>
      <w:r>
        <w:rPr/>
        <w:t xml:space="preserve"> </w:t>
      </w:r>
      <w:r>
        <w:rPr>
          <w:rStyle w:val="Funotenanker"/>
        </w:rPr>
        <w:footnoteReference w:customMarkFollows="1" w:id="966"/>
        <w:t>s</w:t>
      </w:r>
      <w:r>
        <w:rPr/>
        <w:t xml:space="preserve">. Er </w:t>
      </w:r>
      <w:r>
        <w:rPr>
          <w:color w:val="808080"/>
        </w:rPr>
        <w:t>(Das)</w:t>
      </w:r>
      <w:r>
        <w:rPr/>
        <w:t xml:space="preserve"> </w:t>
      </w:r>
      <w:r>
        <w:rPr>
          <w:rStyle w:val="Funotenanker"/>
        </w:rPr>
        <w:footnoteReference w:customMarkFollows="1" w:id="967"/>
        <w:t>t</w:t>
      </w:r>
      <w:r>
        <w:rPr/>
        <w:t xml:space="preserve"> ist </w:t>
      </w:r>
      <w:r>
        <w:rPr>
          <w:color w:val="808080"/>
        </w:rPr>
        <w:t>(bringt)</w:t>
      </w:r>
      <w:r>
        <w:rPr/>
        <w:t xml:space="preserve"> Ehre </w:t>
      </w:r>
      <w:r>
        <w:rPr>
          <w:color w:val="808080"/>
        </w:rPr>
        <w:t>(Herrlichkeit, Pracht, Ruhm, der Mächtige)</w:t>
      </w:r>
      <w:r>
        <w:rPr/>
        <w:t xml:space="preserve"> seinen </w:t>
      </w:r>
      <w:r>
        <w:rPr>
          <w:color w:val="808080"/>
        </w:rPr>
        <w:t>(für seine, seiner)</w:t>
      </w:r>
      <w:r>
        <w:rPr/>
        <w:t xml:space="preserve"> Getreuen </w:t>
      </w:r>
      <w:r>
        <w:rPr>
          <w:color w:val="808080"/>
        </w:rPr>
        <w:t>(Frommen)</w:t>
      </w:r>
      <w:r>
        <w:rPr/>
        <w:t>.</w:t>
        <w:br/>
        <w:br/>
        <w:t xml:space="preserve">Halleluja </w:t>
      </w:r>
      <w:r>
        <w:rPr>
          <w:color w:val="808080"/>
        </w:rPr>
        <w:t xml:space="preserve">(Preist Jah, Preist </w:t>
      </w:r>
      <w:r>
        <w:rPr>
          <w:smallCaps/>
          <w:color w:val="FF0000"/>
        </w:rPr>
        <w:t>JHWH</w:t>
      </w:r>
      <w:r>
        <w:rPr>
          <w:color w:val="808080"/>
        </w:rPr>
        <w:t>)</w:t>
      </w:r>
      <w:r>
        <w:rPr/>
        <w:t>!</w:t>
        <w:br/>
        <w:t xml:space="preserve">{{field-off:bible}} </w:t>
      </w:r>
    </w:p>
    <w:p>
      <w:pPr>
        <w:pStyle w:val="Berschrift2"/>
        <w:rPr/>
      </w:pPr>
      <w:r>
        <w:rPr/>
        <w:t>[[@BibleTOBIBLE:Is]]Jesaja</w:t>
      </w:r>
    </w:p>
    <w:p>
      <w:pPr>
        <w:pStyle w:val="Berschrift3"/>
        <w:rPr/>
      </w:pPr>
      <w:r>
        <w:rPr/>
        <w:t>[[@BibleTOBIBLE:Is 52]]Kapitel 52</w:t>
      </w:r>
    </w:p>
    <w:p>
      <w:pPr>
        <w:pStyle w:val="Textkrper"/>
        <w:rPr/>
      </w:pPr>
      <w:r>
        <w:rPr/>
        <w:br/>
        <w:t>[[@BibleTOBIBLE:Is 52:13]]</w:t>
      </w:r>
      <w:r>
        <w:rPr>
          <w:b/>
        </w:rPr>
        <w:t>13</w:t>
      </w:r>
      <w:r>
        <w:rPr/>
        <w:t xml:space="preserve"> {{field-on:bible}} </w:t>
        <w:br/>
      </w:r>
      <w:r>
        <w:rPr>
          <w:rStyle w:val="Funotenanker"/>
        </w:rPr>
        <w:footnoteReference w:customMarkFollows="1" w:id="968"/>
        <w:t>Status</w:t>
      </w:r>
      <w:r>
        <w:rPr/>
        <w:t xml:space="preserve"> „Siehe </w:t>
      </w:r>
      <w:r>
        <w:rPr>
          <w:color w:val="808080"/>
        </w:rPr>
        <w:t>(</w:t>
      </w:r>
      <w:r>
        <w:rPr>
          <w:strike/>
          <w:color w:val="808080"/>
        </w:rPr>
        <w:t>{Siehe}</w:t>
      </w:r>
      <w:r>
        <w:rPr>
          <w:color w:val="808080"/>
        </w:rPr>
        <w:t>)</w:t>
      </w:r>
      <w:r>
        <w:rPr/>
        <w:t xml:space="preserve"> </w:t>
      </w:r>
      <w:r>
        <w:rPr>
          <w:rStyle w:val="Funotenanker"/>
        </w:rPr>
        <w:footnoteReference w:customMarkFollows="1" w:id="969"/>
        <w:t>a</w:t>
      </w:r>
      <w:r>
        <w:rPr/>
        <w:t xml:space="preserve">, mein Getreuer </w:t>
      </w:r>
      <w:r>
        <w:rPr>
          <w:color w:val="808080"/>
        </w:rPr>
        <w:t>(Diener, Knecht, Sklave)</w:t>
      </w:r>
      <w:r>
        <w:rPr/>
        <w:t xml:space="preserve"> </w:t>
      </w:r>
      <w:r>
        <w:rPr>
          <w:rStyle w:val="Funotenanker"/>
        </w:rPr>
        <w:footnoteReference w:customMarkFollows="1" w:id="970"/>
        <w:t>b</w:t>
      </w:r>
      <w:r>
        <w:rPr/>
        <w:t xml:space="preserve"> wird Erfolg haben </w:t>
      </w:r>
      <w:r>
        <w:rPr>
          <w:color w:val="808080"/>
        </w:rPr>
        <w:t>(klug handeln, verständig sein)</w:t>
      </w:r>
      <w:r>
        <w:rPr/>
        <w:t>,</w:t>
        <w:br/>
        <w:t>erhöht wird er sein, erhoben und sehr erhaben.</w:t>
        <w:br/>
        <w:t xml:space="preserve">{{field-off:bible}} </w:t>
        <w:br/>
        <w:t>[[@BibleTOBIBLE:Is 52:14]]</w:t>
      </w:r>
      <w:r>
        <w:rPr>
          <w:b/>
        </w:rPr>
        <w:t>14</w:t>
      </w:r>
      <w:r>
        <w:rPr/>
        <w:t xml:space="preserve"> {{field-on:bible}} </w:t>
        <w:br/>
        <w:t xml:space="preserve">Wie viele Menschen über dich </w:t>
      </w:r>
      <w:r>
        <w:rPr>
          <w:color w:val="808080"/>
        </w:rPr>
        <w:t>(ihn)</w:t>
      </w:r>
      <w:r>
        <w:rPr/>
        <w:t xml:space="preserve"> </w:t>
      </w:r>
      <w:r>
        <w:rPr>
          <w:rStyle w:val="Funotenanker"/>
        </w:rPr>
        <w:footnoteReference w:customMarkFollows="1" w:id="971"/>
        <w:t>c</w:t>
      </w:r>
      <w:r>
        <w:rPr/>
        <w:t xml:space="preserve"> entsetzt waren!</w:t>
        <w:br/>
        <w:t xml:space="preserve">So entstellt im Vergleich zu einem </w:t>
      </w:r>
      <w:r>
        <w:rPr>
          <w:b/>
          <w:color w:val="808080"/>
        </w:rPr>
        <w:t>[</w:t>
      </w:r>
      <w:r>
        <w:rPr/>
        <w:t>gewöhnlicher</w:t>
      </w:r>
      <w:r>
        <w:rPr>
          <w:b/>
          <w:color w:val="808080"/>
        </w:rPr>
        <w:t>]</w:t>
      </w:r>
      <w:r>
        <w:rPr/>
        <w:t xml:space="preserve"> Mann </w:t>
      </w:r>
      <w:r>
        <w:rPr>
          <w:color w:val="808080"/>
        </w:rPr>
        <w:t>(Mensch)</w:t>
      </w:r>
      <w:r>
        <w:rPr/>
        <w:t xml:space="preserve"> </w:t>
      </w:r>
      <w:r>
        <w:rPr>
          <w:rStyle w:val="Funotenanker"/>
        </w:rPr>
        <w:footnoteReference w:customMarkFollows="1" w:id="972"/>
        <w:t>d</w:t>
      </w:r>
      <w:r>
        <w:rPr/>
        <w:t xml:space="preserve"> war sein Aussehen,</w:t>
        <w:br/>
        <w:t xml:space="preserve">seine Gestalt im Vergleich zu einem Menschenkind </w:t>
      </w:r>
      <w:r>
        <w:rPr>
          <w:color w:val="808080"/>
        </w:rPr>
        <w:t>(einem Sohn eines Menschen)</w:t>
      </w:r>
      <w:r>
        <w:rPr/>
        <w:t>.</w:t>
      </w:r>
      <w:r>
        <w:rPr>
          <w:rStyle w:val="Funotenanker"/>
        </w:rPr>
        <w:footnoteReference w:customMarkFollows="1" w:id="973"/>
        <w:t>e</w:t>
      </w:r>
      <w:r>
        <w:rPr/>
        <w:t xml:space="preserve"> </w:t>
        <w:br/>
        <w:t xml:space="preserve">{{field-off:bible}} </w:t>
        <w:br/>
        <w:t>[[@BibleTOBIBLE:Is 52:15]]</w:t>
      </w:r>
      <w:r>
        <w:rPr>
          <w:b/>
        </w:rPr>
        <w:t>15</w:t>
      </w:r>
      <w:r>
        <w:rPr/>
        <w:t xml:space="preserve"> {{field-on:bible}} </w:t>
        <w:br/>
        <w:t xml:space="preserve">So sehr wird er viele Völker </w:t>
      </w:r>
      <w:r>
        <w:rPr>
          <w:color w:val="808080"/>
        </w:rPr>
        <w:t>(Leute)</w:t>
      </w:r>
      <w:r>
        <w:rPr/>
        <w:t xml:space="preserve"> aufschrecken </w:t>
      </w:r>
      <w:r>
        <w:rPr>
          <w:color w:val="808080"/>
        </w:rPr>
        <w:t>(er wird viele Völker besprengen/verwundern; viele Völker werden verwundert/erregt/erfreut sein über ihn; viele Völker verachten ihn)</w:t>
      </w:r>
      <w:r>
        <w:rPr/>
        <w:t xml:space="preserve"> </w:t>
      </w:r>
      <w:r>
        <w:rPr>
          <w:rStyle w:val="Funotenanker"/>
        </w:rPr>
        <w:footnoteReference w:customMarkFollows="1" w:id="974"/>
        <w:t>f</w:t>
      </w:r>
      <w:r>
        <w:rPr/>
        <w:t>,</w:t>
        <w:br/>
        <w:t xml:space="preserve">über ihn </w:t>
      </w:r>
      <w:r>
        <w:rPr>
          <w:color w:val="808080"/>
        </w:rPr>
        <w:t>(ihm gegenüber)</w:t>
      </w:r>
      <w:r>
        <w:rPr/>
        <w:t xml:space="preserve"> werden Könige ihren Mund verschließen.</w:t>
      </w:r>
      <w:r>
        <w:rPr>
          <w:rStyle w:val="Funotenanker"/>
        </w:rPr>
        <w:footnoteReference w:customMarkFollows="1" w:id="975"/>
        <w:t>g</w:t>
      </w:r>
      <w:r>
        <w:rPr/>
        <w:t xml:space="preserve"> </w:t>
        <w:br/>
        <w:t xml:space="preserve">Denn was ihnen nicht erzählt worden ist – sie werden es sehen </w:t>
      </w:r>
      <w:r>
        <w:rPr>
          <w:color w:val="808080"/>
        </w:rPr>
        <w:t>(dann gesehen haben)</w:t>
      </w:r>
      <w:r>
        <w:rPr/>
        <w:t>,</w:t>
        <w:br/>
        <w:t xml:space="preserve">und was sie nicht gehört haben – sie werden es verstehen </w:t>
      </w:r>
      <w:r>
        <w:rPr>
          <w:color w:val="808080"/>
        </w:rPr>
        <w:t>(dann verstanden haben)</w:t>
      </w:r>
      <w:r>
        <w:rPr/>
        <w:t xml:space="preserve">.“ </w:t>
      </w:r>
      <w:r>
        <w:rPr>
          <w:rStyle w:val="Funotenanker"/>
        </w:rPr>
        <w:footnoteReference w:customMarkFollows="1" w:id="976"/>
        <w:t>h</w:t>
      </w:r>
      <w:r>
        <w:rPr/>
        <w:t xml:space="preserve"> </w:t>
      </w:r>
      <w:r>
        <w:rPr>
          <w:position w:val="8"/>
          <w:sz w:val="19"/>
        </w:rPr>
        <w:t>[[ ℘ &gt;&gt; BibleTOBIBLE:Ro 15:21]]</w:t>
      </w:r>
      <w:r>
        <w:rPr/>
        <w:t xml:space="preserve"> </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br/>
      </w:r>
      <w:r>
        <w:rPr>
          <w:rStyle w:val="Funotenanker"/>
        </w:rPr>
        <w:footnoteReference w:customMarkFollows="1" w:id="977"/>
        <w:t>Status</w:t>
      </w:r>
      <w:r>
        <w:rPr/>
        <w:t xml:space="preserve"> „Wer hat geglaubt </w:t>
      </w:r>
      <w:r>
        <w:rPr>
          <w:color w:val="808080"/>
        </w:rPr>
        <w:t>(glaubt, hätte geglaubt, hat vertraut auf)</w:t>
      </w:r>
      <w:r>
        <w:rPr/>
        <w:t xml:space="preserve"> die Kunde </w:t>
      </w:r>
      <w:r>
        <w:rPr>
          <w:color w:val="808080"/>
        </w:rPr>
        <w:t>(das Gehörte, Offenbarte, Verkündigte)</w:t>
      </w:r>
      <w:r>
        <w:rPr/>
        <w:t xml:space="preserve"> </w:t>
      </w:r>
      <w:r>
        <w:rPr>
          <w:rStyle w:val="Funotenanker"/>
        </w:rPr>
        <w:footnoteReference w:customMarkFollows="1" w:id="978"/>
        <w:t>a</w:t>
      </w:r>
      <w:r>
        <w:rPr/>
        <w:t xml:space="preserve"> an uns </w:t>
      </w:r>
      <w:r>
        <w:rPr>
          <w:color w:val="808080"/>
        </w:rPr>
        <w:t>(von uns)</w:t>
      </w:r>
      <w:r>
        <w:rPr/>
        <w:t xml:space="preserve"> </w:t>
      </w:r>
      <w:r>
        <w:rPr>
          <w:rStyle w:val="Funotenanker"/>
        </w:rPr>
        <w:footnoteReference w:customMarkFollows="1" w:id="979"/>
        <w:t>b</w:t>
      </w:r>
      <w:r>
        <w:rPr/>
        <w:t>,</w:t>
      </w:r>
      <w:r>
        <w:rPr>
          <w:position w:val="8"/>
          <w:sz w:val="19"/>
        </w:rPr>
        <w:t>[[ ℘ &gt;&gt; BibleTOBIBLE:Jn 12:38]]</w:t>
      </w:r>
      <w:r>
        <w:rPr/>
        <w:t xml:space="preserve"> </w:t>
      </w:r>
      <w:r>
        <w:rPr>
          <w:position w:val="8"/>
          <w:sz w:val="19"/>
        </w:rPr>
        <w:t>[[ ℘ &gt;&gt; BibleTOBIBLE:Ro 10:16]]</w:t>
      </w:r>
      <w:r>
        <w:rPr/>
        <w:t xml:space="preserve"> </w:t>
        <w:br/>
        <w:t xml:space="preserve">und </w:t>
      </w:r>
      <w:r>
        <w:rPr>
          <w:smallCaps/>
          <w:color w:val="FF0000"/>
        </w:rPr>
        <w:t>JHWH</w:t>
      </w:r>
      <w:r>
        <w:rPr/>
        <w:t xml:space="preserve">s Macht </w:t>
      </w:r>
      <w:r>
        <w:rPr>
          <w:color w:val="808080"/>
        </w:rPr>
        <w:t>(Arm)</w:t>
      </w:r>
      <w:r>
        <w:rPr/>
        <w:t xml:space="preserve"> - </w:t>
      </w:r>
      <w:r>
        <w:rPr>
          <w:strike/>
          <w:color w:val="808080"/>
        </w:rPr>
        <w:t>{an}</w:t>
      </w:r>
      <w:r>
        <w:rPr/>
        <w:t xml:space="preserve"> wem </w:t>
      </w:r>
      <w:r>
        <w:rPr>
          <w:color w:val="808080"/>
        </w:rPr>
        <w:t>(an wem)</w:t>
      </w:r>
      <w:r>
        <w:rPr/>
        <w:t xml:space="preserve"> ist </w:t>
      </w:r>
      <w:r>
        <w:rPr>
          <w:color w:val="808080"/>
        </w:rPr>
        <w:t>(wurde)</w:t>
      </w:r>
      <w:r>
        <w:rPr/>
        <w:t xml:space="preserve"> sie enthüllt </w:t>
      </w:r>
      <w:r>
        <w:rPr>
          <w:color w:val="808080"/>
        </w:rPr>
        <w:t>(offenbar)</w:t>
      </w:r>
      <w:r>
        <w:rPr/>
        <w:t xml:space="preserve">? </w:t>
        <w:br/>
        <w:t xml:space="preserve">{{field-off:bible}} </w:t>
        <w:br/>
        <w:t>[[@BibleTOBIBLE:Is 53:2]]</w:t>
      </w:r>
      <w:r>
        <w:rPr>
          <w:b/>
        </w:rPr>
        <w:t>2</w:t>
      </w:r>
      <w:r>
        <w:rPr/>
        <w:t xml:space="preserve"> {{field-on:bible}} </w:t>
        <w:br/>
        <w:t xml:space="preserve">Er wuchs wie ein junger Spross vor ihm </w:t>
      </w:r>
      <w:r>
        <w:rPr>
          <w:color w:val="808080"/>
        </w:rPr>
        <w:t>(vor seinen Augen, vor unseren Augen, trieb empor)</w:t>
      </w:r>
      <w:r>
        <w:rPr/>
        <w:t xml:space="preserve"> </w:t>
      </w:r>
      <w:r>
        <w:rPr>
          <w:rStyle w:val="Funotenanker"/>
        </w:rPr>
        <w:footnoteReference w:customMarkFollows="1" w:id="980"/>
        <w:t>c</w:t>
      </w:r>
      <w:r>
        <w:rPr/>
        <w:t>,</w:t>
        <w:br/>
        <w:t xml:space="preserve">wie ein Schössling </w:t>
      </w:r>
      <w:r>
        <w:rPr>
          <w:color w:val="808080"/>
        </w:rPr>
        <w:t>(eine Wurzel)</w:t>
      </w:r>
      <w:r>
        <w:rPr/>
        <w:t xml:space="preserve"> </w:t>
      </w:r>
      <w:r>
        <w:rPr>
          <w:rStyle w:val="Funotenanker"/>
        </w:rPr>
        <w:footnoteReference w:customMarkFollows="1" w:id="981"/>
        <w:t>d</w:t>
      </w:r>
      <w:r>
        <w:rPr/>
        <w:t xml:space="preserve"> aus trockenem </w:t>
      </w:r>
      <w:r>
        <w:rPr>
          <w:color w:val="808080"/>
        </w:rPr>
        <w:t>(dürrem)</w:t>
      </w:r>
      <w:r>
        <w:rPr/>
        <w:t xml:space="preserve"> Land </w:t>
      </w:r>
      <w:r>
        <w:rPr>
          <w:color w:val="808080"/>
        </w:rPr>
        <w:t>(Boden)</w:t>
      </w:r>
      <w:r>
        <w:rPr/>
        <w:t>.</w:t>
      </w:r>
      <w:r>
        <w:rPr>
          <w:position w:val="8"/>
          <w:sz w:val="19"/>
        </w:rPr>
        <w:t>[[ ℘ &gt;&gt; BibleTOBIBLE:Is 11:1]]</w:t>
      </w:r>
      <w:r>
        <w:rPr/>
        <w:t xml:space="preserve"> </w:t>
        <w:br/>
        <w:t xml:space="preserve">Er hatte </w:t>
      </w:r>
      <w:r>
        <w:rPr>
          <w:color w:val="808080"/>
        </w:rPr>
        <w:t>(</w:t>
      </w:r>
      <w:r>
        <w:rPr>
          <w:b/>
          <w:color w:val="808080"/>
        </w:rPr>
        <w:t>[</w:t>
      </w:r>
      <w:r>
        <w:rPr>
          <w:color w:val="808080"/>
        </w:rPr>
        <w:t>Drum</w:t>
      </w:r>
      <w:r>
        <w:rPr>
          <w:b/>
          <w:color w:val="808080"/>
        </w:rPr>
        <w:t>]</w:t>
      </w:r>
      <w:r>
        <w:rPr>
          <w:color w:val="808080"/>
        </w:rPr>
        <w:t xml:space="preserve"> hatte er; </w:t>
      </w:r>
      <w:r>
        <w:rPr>
          <w:b/>
          <w:color w:val="808080"/>
        </w:rPr>
        <w:t>[</w:t>
      </w:r>
      <w:r>
        <w:rPr>
          <w:color w:val="808080"/>
        </w:rPr>
        <w:t>Denn</w:t>
      </w:r>
      <w:r>
        <w:rPr>
          <w:b/>
          <w:color w:val="808080"/>
        </w:rPr>
        <w:t>]</w:t>
      </w:r>
      <w:r>
        <w:rPr>
          <w:color w:val="808080"/>
        </w:rPr>
        <w:t xml:space="preserve"> er hatte)</w:t>
      </w:r>
      <w:r>
        <w:rPr/>
        <w:t xml:space="preserve"> keine Gestalt und keine Schönheit </w:t>
      </w:r>
      <w:r>
        <w:rPr>
          <w:color w:val="808080"/>
        </w:rPr>
        <w:t>(keinen Schmuck)</w:t>
      </w:r>
      <w:r>
        <w:rPr/>
        <w:t>,</w:t>
      </w:r>
      <w:r>
        <w:rPr>
          <w:rStyle w:val="Funotenanker"/>
        </w:rPr>
        <w:footnoteReference w:customMarkFollows="1" w:id="982"/>
        <w:t>e</w:t>
      </w:r>
      <w:r>
        <w:rPr/>
        <w:t xml:space="preserve"> dass wir ihn </w:t>
      </w:r>
      <w:r>
        <w:rPr>
          <w:b/>
          <w:color w:val="808080"/>
        </w:rPr>
        <w:t>[</w:t>
      </w:r>
      <w:r>
        <w:rPr/>
        <w:t>gerne</w:t>
      </w:r>
      <w:r>
        <w:rPr>
          <w:b/>
          <w:color w:val="808080"/>
        </w:rPr>
        <w:t>]</w:t>
      </w:r>
      <w:r>
        <w:rPr/>
        <w:t xml:space="preserve"> angesehen </w:t>
      </w:r>
      <w:r>
        <w:rPr>
          <w:color w:val="808080"/>
        </w:rPr>
        <w:t>(genossen)</w:t>
      </w:r>
      <w:r>
        <w:rPr/>
        <w:t xml:space="preserve"> hätten </w:t>
      </w:r>
      <w:r>
        <w:rPr>
          <w:color w:val="808080"/>
        </w:rPr>
        <w:t>(ansehen hätten können)</w:t>
      </w:r>
      <w:r>
        <w:rPr/>
        <w:t xml:space="preserve">, </w:t>
        <w:br/>
        <w:t xml:space="preserve">und kein Aussehen, dass er uns gefallen hätte </w:t>
      </w:r>
      <w:r>
        <w:rPr>
          <w:color w:val="808080"/>
        </w:rPr>
        <w:t>(hätte können)</w:t>
      </w:r>
      <w:r>
        <w:rPr/>
        <w:t xml:space="preserve">: </w:t>
        <w:br/>
        <w:t xml:space="preserve">{{field-off:bible}} </w:t>
        <w:br/>
        <w:t>[[@BibleTOBIBLE:Is 53:3]]</w:t>
      </w:r>
      <w:r>
        <w:rPr>
          <w:b/>
        </w:rPr>
        <w:t>3</w:t>
      </w:r>
      <w:r>
        <w:rPr/>
        <w:t xml:space="preserve"> {{field-on:bible}} </w:t>
        <w:br/>
      </w:r>
      <w:r>
        <w:rPr>
          <w:b/>
          <w:color w:val="808080"/>
        </w:rPr>
        <w:t>[</w:t>
      </w:r>
      <w:r>
        <w:rPr/>
        <w:t xml:space="preserve">Er ist </w:t>
      </w:r>
      <w:r>
        <w:rPr>
          <w:color w:val="808080"/>
        </w:rPr>
        <w:t>(war)</w:t>
      </w:r>
      <w:r>
        <w:rPr>
          <w:b/>
          <w:color w:val="808080"/>
        </w:rPr>
        <w:t>]</w:t>
      </w:r>
      <w:r>
        <w:rPr/>
        <w:t xml:space="preserve"> verachtet </w:t>
      </w:r>
      <w:r>
        <w:rPr>
          <w:color w:val="808080"/>
        </w:rPr>
        <w:t>(ein Verachteter)</w:t>
      </w:r>
      <w:r>
        <w:rPr/>
        <w:t xml:space="preserve"> und von dem Menschen </w:t>
      </w:r>
      <w:r>
        <w:rPr>
          <w:color w:val="808080"/>
        </w:rPr>
        <w:t>(Männern)</w:t>
      </w:r>
      <w:r>
        <w:rPr/>
        <w:t xml:space="preserve"> </w:t>
      </w:r>
      <w:r>
        <w:rPr>
          <w:rStyle w:val="Funotenanker"/>
        </w:rPr>
        <w:footnoteReference w:customMarkFollows="1" w:id="983"/>
        <w:t>f</w:t>
      </w:r>
      <w:r>
        <w:rPr/>
        <w:t xml:space="preserve"> verlassen </w:t>
      </w:r>
      <w:r>
        <w:rPr>
          <w:color w:val="808080"/>
        </w:rPr>
        <w:t>(fernbleibend/missachtet, ein von den Menschen Verlassener/Fernbleibender/Missachteter)</w:t>
      </w:r>
      <w:r>
        <w:rPr/>
        <w:t>,</w:t>
        <w:br/>
        <w:t xml:space="preserve">ein Mensch </w:t>
      </w:r>
      <w:r>
        <w:rPr>
          <w:color w:val="808080"/>
        </w:rPr>
        <w:t>(Mann)</w:t>
      </w:r>
      <w:r>
        <w:rPr/>
        <w:t xml:space="preserve"> von Schmerzen </w:t>
      </w:r>
      <w:r>
        <w:rPr>
          <w:color w:val="808080"/>
        </w:rPr>
        <w:t>(Leiden)</w:t>
      </w:r>
      <w:r>
        <w:rPr/>
        <w:t xml:space="preserve"> und mit der Krankheit </w:t>
      </w:r>
      <w:r>
        <w:rPr>
          <w:color w:val="808080"/>
        </w:rPr>
        <w:t>(dem Übel, dem Leiden)</w:t>
      </w:r>
      <w:r>
        <w:rPr/>
        <w:t xml:space="preserve"> Vertrauter</w:t>
      </w:r>
      <w:r>
        <w:rPr>
          <w:color w:val="808080"/>
        </w:rPr>
        <w:t>(von Krankheit Gedemütigter, mit Krankheit Gestrafter)</w:t>
      </w:r>
      <w:r>
        <w:rPr/>
        <w:t>,</w:t>
      </w:r>
      <w:r>
        <w:rPr>
          <w:rStyle w:val="Funotenanker"/>
        </w:rPr>
        <w:footnoteReference w:customMarkFollows="1" w:id="984"/>
        <w:t>g</w:t>
      </w:r>
      <w:r>
        <w:rPr/>
        <w:t xml:space="preserve"> </w:t>
        <w:br/>
        <w:t>wie jemand, vor dem man das Gesicht verhüllt.</w:t>
      </w:r>
      <w:r>
        <w:rPr>
          <w:rStyle w:val="Funotenanker"/>
        </w:rPr>
        <w:footnoteReference w:customMarkFollows="1" w:id="985"/>
        <w:t>h</w:t>
      </w:r>
      <w:r>
        <w:rPr/>
        <w:t xml:space="preserve"> </w:t>
        <w:br/>
        <w:t xml:space="preserve">Er war </w:t>
      </w:r>
      <w:r>
        <w:rPr>
          <w:b/>
          <w:color w:val="808080"/>
        </w:rPr>
        <w:t>[</w:t>
      </w:r>
      <w:r>
        <w:rPr/>
        <w:t>ist</w:t>
      </w:r>
      <w:r>
        <w:rPr>
          <w:b/>
          <w:color w:val="808080"/>
        </w:rPr>
        <w:t>]</w:t>
      </w:r>
      <w:r>
        <w:rPr/>
        <w:t xml:space="preserve"> ein Verachteter</w:t>
      </w:r>
      <w:r>
        <w:rPr>
          <w:rStyle w:val="Funotenanker"/>
        </w:rPr>
        <w:footnoteReference w:customMarkFollows="1" w:id="986"/>
        <w:t>i</w:t>
      </w:r>
      <w:r>
        <w:rPr/>
        <w:t xml:space="preserve">. Wir haben ihn nicht geschätzt </w:t>
      </w:r>
      <w:r>
        <w:rPr>
          <w:color w:val="808080"/>
        </w:rPr>
        <w:t>(geachtet)</w:t>
      </w:r>
      <w:r>
        <w:rPr/>
        <w:t>.</w:t>
        <w:br/>
        <w:t xml:space="preserve">{{field-off:bible}} </w:t>
        <w:br/>
        <w:t>[[@BibleTOBIBLE:Is 53:4]]</w:t>
      </w:r>
      <w:r>
        <w:rPr>
          <w:b/>
        </w:rPr>
        <w:t>4</w:t>
      </w:r>
      <w:r>
        <w:rPr/>
        <w:t xml:space="preserve"> {{field-on:bible}} </w:t>
        <w:br/>
        <w:t xml:space="preserve">Es ist wahr </w:t>
      </w:r>
      <w:r>
        <w:rPr>
          <w:color w:val="808080"/>
        </w:rPr>
        <w:t>(sicherlich, jedoch, dennoch)</w:t>
      </w:r>
      <w:r>
        <w:rPr/>
        <w:t xml:space="preserve">: Unsere Krankheiten – er hat sie getragen </w:t>
      </w:r>
      <w:r>
        <w:rPr>
          <w:color w:val="808080"/>
        </w:rPr>
        <w:t>(unter unseren Krankheiten hat er gelitten, unsere Krankheiten hat er auf sich geladen)</w:t>
      </w:r>
      <w:r>
        <w:rPr/>
        <w:t xml:space="preserve">; </w:t>
        <w:br/>
        <w:t xml:space="preserve">unsere Schmerzen </w:t>
      </w:r>
      <w:r>
        <w:rPr>
          <w:color w:val="808080"/>
        </w:rPr>
        <w:t>(Leiden)</w:t>
      </w:r>
      <w:r>
        <w:rPr/>
        <w:t xml:space="preserve"> – er hat sie gestemmt </w:t>
      </w:r>
      <w:r>
        <w:rPr>
          <w:color w:val="808080"/>
        </w:rPr>
        <w:t>(ertragen, erduldet)</w:t>
      </w:r>
      <w:r>
        <w:rPr/>
        <w:t>.</w:t>
      </w:r>
      <w:r>
        <w:rPr>
          <w:rStyle w:val="Funotenanker"/>
        </w:rPr>
        <w:footnoteReference w:customMarkFollows="1" w:id="987"/>
        <w:t>j</w:t>
      </w:r>
      <w:r>
        <w:rPr/>
        <w:t xml:space="preserve"> </w:t>
      </w:r>
      <w:r>
        <w:rPr>
          <w:position w:val="8"/>
          <w:sz w:val="19"/>
        </w:rPr>
        <w:t>[[ ℘ &gt;&gt; BibleTOBIBLE:Mt 8:17]]</w:t>
      </w:r>
      <w:r>
        <w:rPr/>
        <w:t xml:space="preserve"> </w:t>
        <w:br/>
        <w:t>''Wir'' hielten ihn für geschlagen,</w:t>
        <w:br/>
        <w:t xml:space="preserve">für von Gott getroffen und gedemütigt </w:t>
      </w:r>
      <w:r>
        <w:rPr>
          <w:color w:val="808080"/>
        </w:rPr>
        <w:t>(geplagt)</w:t>
      </w:r>
      <w:r>
        <w:rPr/>
        <w:t xml:space="preserve">. </w:t>
        <w:br/>
        <w:t xml:space="preserve">{{field-off:bible}} </w:t>
        <w:br/>
        <w:t>[[@BibleTOBIBLE:Is 53:5]]</w:t>
      </w:r>
      <w:r>
        <w:rPr>
          <w:b/>
        </w:rPr>
        <w:t>5</w:t>
      </w:r>
      <w:r>
        <w:rPr/>
        <w:t xml:space="preserve"> {{field-on:bible}} </w:t>
        <w:br/>
        <w:t xml:space="preserve">''Er'' ist verwundet </w:t>
      </w:r>
      <w:r>
        <w:rPr>
          <w:color w:val="808080"/>
        </w:rPr>
        <w:t>(durchbohrt)</w:t>
      </w:r>
      <w:r>
        <w:rPr/>
        <w:t xml:space="preserve"> </w:t>
      </w:r>
      <w:r>
        <w:rPr>
          <w:rStyle w:val="Funotenanker"/>
        </w:rPr>
        <w:footnoteReference w:customMarkFollows="1" w:id="988"/>
        <w:t>k</w:t>
      </w:r>
      <w:r>
        <w:rPr/>
        <w:t xml:space="preserve"> wegen </w:t>
      </w:r>
      <w:r>
        <w:rPr>
          <w:color w:val="808080"/>
        </w:rPr>
        <w:t>(durch, in Folge)</w:t>
      </w:r>
      <w:r>
        <w:rPr/>
        <w:t xml:space="preserve"> unseres Unrechts </w:t>
      </w:r>
      <w:r>
        <w:rPr>
          <w:color w:val="808080"/>
        </w:rPr>
        <w:t>(Sünde, abtrünnigen Verhaltens)</w:t>
      </w:r>
      <w:r>
        <w:rPr/>
        <w:t>,</w:t>
        <w:br/>
        <w:t xml:space="preserve">zerstört </w:t>
      </w:r>
      <w:r>
        <w:rPr>
          <w:color w:val="808080"/>
        </w:rPr>
        <w:t>(verletzt, zerrüttet)</w:t>
      </w:r>
      <w:r>
        <w:rPr/>
        <w:t xml:space="preserve"> </w:t>
      </w:r>
      <w:r>
        <w:rPr>
          <w:rStyle w:val="Funotenanker"/>
        </w:rPr>
        <w:footnoteReference w:customMarkFollows="1" w:id="989"/>
        <w:t>l</w:t>
      </w:r>
      <w:r>
        <w:rPr/>
        <w:t xml:space="preserve"> wegen </w:t>
      </w:r>
      <w:r>
        <w:rPr>
          <w:color w:val="808080"/>
        </w:rPr>
        <w:t>(durch, in Folge)</w:t>
      </w:r>
      <w:r>
        <w:rPr/>
        <w:t xml:space="preserve"> unserer Vergehen </w:t>
      </w:r>
      <w:r>
        <w:rPr>
          <w:color w:val="808080"/>
        </w:rPr>
        <w:t>(Schuld)</w:t>
      </w:r>
      <w:r>
        <w:rPr/>
        <w:t>.</w:t>
        <w:br/>
        <w:t xml:space="preserve">Für unser Wohlergehen </w:t>
      </w:r>
      <w:r>
        <w:rPr>
          <w:color w:val="808080"/>
        </w:rPr>
        <w:t>(Frieden, Heil)</w:t>
      </w:r>
      <w:r>
        <w:rPr/>
        <w:t xml:space="preserve"> traf ihn unsere Züchtigung,</w:t>
      </w:r>
      <w:r>
        <w:rPr>
          <w:rStyle w:val="Funotenanker"/>
        </w:rPr>
        <w:footnoteReference w:customMarkFollows="1" w:id="990"/>
        <w:t>m</w:t>
      </w:r>
      <w:r>
        <w:rPr/>
        <w:t xml:space="preserve"> </w:t>
        <w:br/>
        <w:t xml:space="preserve">durch seine </w:t>
      </w:r>
      <w:r>
        <w:rPr>
          <w:color w:val="808080"/>
        </w:rPr>
        <w:t>(bei seinen)</w:t>
      </w:r>
      <w:r>
        <w:rPr/>
        <w:t xml:space="preserve"> Wunden gab es Heilung für uns</w:t>
      </w:r>
      <w:r>
        <w:rPr>
          <w:rStyle w:val="Funotenanker"/>
        </w:rPr>
        <w:footnoteReference w:customMarkFollows="1" w:id="991"/>
        <w:t>n</w:t>
      </w:r>
      <w:r>
        <w:rPr/>
        <w:t>.</w:t>
      </w:r>
      <w:r>
        <w:rPr>
          <w:position w:val="8"/>
          <w:sz w:val="19"/>
        </w:rPr>
        <w:t>[[ ℘ &gt;&gt; BibleTOBIBLE:1Pe 2:24]]</w:t>
      </w:r>
      <w:r>
        <w:rPr/>
        <w:t xml:space="preserve"> </w:t>
        <w:br/>
        <w:t xml:space="preserve">{{field-off:bible}} </w:t>
        <w:br/>
        <w:t>[[@BibleTOBIBLE:Is 53:6]]</w:t>
      </w:r>
      <w:r>
        <w:rPr>
          <w:b/>
        </w:rPr>
        <w:t>6</w:t>
      </w:r>
      <w:r>
        <w:rPr/>
        <w:t xml:space="preserve"> {{field-on:bible}} </w:t>
        <w:br/>
        <w:t>Wir alle</w:t>
      </w:r>
      <w:r>
        <w:rPr>
          <w:rStyle w:val="Funotenanker"/>
        </w:rPr>
        <w:footnoteReference w:customMarkFollows="1" w:id="992"/>
        <w:t>o</w:t>
      </w:r>
      <w:r>
        <w:rPr/>
        <w:t xml:space="preserve"> hatten uns verlaufen wie Schafe </w:t>
      </w:r>
      <w:r>
        <w:rPr>
          <w:color w:val="808080"/>
        </w:rPr>
        <w:t>(Vieh)</w:t>
      </w:r>
      <w:r>
        <w:rPr/>
        <w:t>,</w:t>
      </w:r>
      <w:r>
        <w:rPr>
          <w:position w:val="8"/>
          <w:sz w:val="19"/>
        </w:rPr>
        <w:t>[[ ℘ &gt;&gt; BibleTOBIBLE:1Pe 2:25]]</w:t>
      </w:r>
      <w:r>
        <w:rPr/>
        <w:t xml:space="preserve"> </w:t>
        <w:br/>
        <w:t xml:space="preserve">jeder ging seinen eigenen Weg </w:t>
      </w:r>
      <w:r>
        <w:rPr>
          <w:color w:val="808080"/>
        </w:rPr>
        <w:t>(in seine Richtung, in eine andere Richtung)</w:t>
      </w:r>
      <w:r>
        <w:rPr/>
        <w:t xml:space="preserve"> </w:t>
      </w:r>
      <w:r>
        <w:rPr>
          <w:rStyle w:val="Funotenanker"/>
        </w:rPr>
        <w:footnoteReference w:customMarkFollows="1" w:id="993"/>
        <w:t>p</w:t>
      </w:r>
      <w:r>
        <w:rPr/>
        <w:t>.</w:t>
        <w:br/>
        <w:t xml:space="preserve">Doch </w:t>
      </w:r>
      <w:r>
        <w:rPr>
          <w:color w:val="808080"/>
        </w:rPr>
        <w:t>(und darum)</w:t>
      </w:r>
      <w:r>
        <w:rPr/>
        <w:t xml:space="preserve"> </w:t>
      </w:r>
      <w:r>
        <w:rPr>
          <w:smallCaps/>
          <w:color w:val="FF0000"/>
        </w:rPr>
        <w:t>JHWH</w:t>
      </w:r>
      <w:r>
        <w:rPr/>
        <w:t xml:space="preserve"> lässt ihn treffen </w:t>
      </w:r>
      <w:r>
        <w:rPr>
          <w:color w:val="808080"/>
        </w:rPr>
        <w:t>(bürdet ihm auf, bekämpft ihn mit)</w:t>
      </w:r>
      <w:r>
        <w:rPr/>
        <w:t xml:space="preserve"> </w:t>
      </w:r>
      <w:r>
        <w:rPr>
          <w:rStyle w:val="Funotenanker"/>
        </w:rPr>
        <w:footnoteReference w:customMarkFollows="1" w:id="994"/>
        <w:t>q</w:t>
      </w:r>
      <w:r>
        <w:rPr/>
        <w:t xml:space="preserve"> unserer aller Sünden </w:t>
      </w:r>
      <w:r>
        <w:rPr>
          <w:color w:val="808080"/>
        </w:rPr>
        <w:t>(was wir alle verschuldet haben)</w:t>
      </w:r>
      <w:r>
        <w:rPr/>
        <w:t>.</w:t>
        <w:br/>
        <w:t xml:space="preserve">{{field-off:bible}} </w:t>
        <w:br/>
        <w:t>[[@BibleTOBIBLE:Is 53:7]]</w:t>
      </w:r>
      <w:r>
        <w:rPr>
          <w:b/>
        </w:rPr>
        <w:t>7</w:t>
      </w:r>
      <w:r>
        <w:rPr/>
        <w:t xml:space="preserve"> {{field-on:bible}} </w:t>
        <w:br/>
        <w:t xml:space="preserve">Er wurde getrieben </w:t>
      </w:r>
      <w:r>
        <w:rPr>
          <w:color w:val="808080"/>
        </w:rPr>
        <w:t>(misshandelt)</w:t>
      </w:r>
      <w:r>
        <w:rPr/>
        <w:t xml:space="preserve"> und ''er'' war gedemütigt </w:t>
      </w:r>
      <w:r>
        <w:rPr>
          <w:color w:val="808080"/>
        </w:rPr>
        <w:t>(wurde gedemütigt, ließ sich demütigen, wurde geplagt, erniedrigte sich)</w:t>
      </w:r>
      <w:r>
        <w:rPr/>
        <w:t>,</w:t>
        <w:br/>
        <w:t xml:space="preserve">und er öffnete seinen Mund nicht – </w:t>
        <w:br/>
        <w:t xml:space="preserve">wie das Schaf </w:t>
      </w:r>
      <w:r>
        <w:rPr>
          <w:color w:val="808080"/>
        </w:rPr>
        <w:t>(Lamm)</w:t>
      </w:r>
      <w:r>
        <w:rPr/>
        <w:t xml:space="preserve"> zum Schlachten gebracht wird, </w:t>
        <w:br/>
        <w:t xml:space="preserve">und wie ein Mutterschaf </w:t>
      </w:r>
      <w:r>
        <w:rPr>
          <w:color w:val="808080"/>
        </w:rPr>
        <w:t>(Schaf)</w:t>
      </w:r>
      <w:r>
        <w:rPr/>
        <w:t xml:space="preserve"> vor</w:t>
      </w:r>
      <w:r>
        <w:rPr>
          <w:rStyle w:val="Funotenanker"/>
        </w:rPr>
        <w:footnoteReference w:customMarkFollows="1" w:id="995"/>
        <w:t>r</w:t>
      </w:r>
      <w:r>
        <w:rPr/>
        <w:t xml:space="preserve"> seinen Scherern verstummt. </w:t>
        <w:br/>
        <w:t>Und er öffnete seinen Mund nicht.</w:t>
      </w:r>
      <w:r>
        <w:rPr>
          <w:rStyle w:val="Funotenanker"/>
        </w:rPr>
        <w:footnoteReference w:customMarkFollows="1" w:id="996"/>
        <w:t>s</w:t>
      </w:r>
      <w:r>
        <w:rPr/>
        <w:t xml:space="preserve"> </w:t>
        <w:br/>
        <w:t xml:space="preserve">{{field-off:bible}} </w:t>
        <w:br/>
        <w:t>[[@BibleTOBIBLE:Is 53:8]]</w:t>
      </w:r>
      <w:r>
        <w:rPr>
          <w:b/>
        </w:rPr>
        <w:t>8</w:t>
      </w:r>
      <w:r>
        <w:rPr/>
        <w:t xml:space="preserve"> {{field-on:bible}} </w:t>
        <w:br/>
        <w:t xml:space="preserve">Ohne </w:t>
      </w:r>
      <w:r>
        <w:rPr>
          <w:b/>
          <w:color w:val="808080"/>
        </w:rPr>
        <w:t>[</w:t>
      </w:r>
      <w:r>
        <w:rPr/>
        <w:t>ordnungsgemäße</w:t>
      </w:r>
      <w:r>
        <w:rPr>
          <w:b/>
          <w:color w:val="808080"/>
        </w:rPr>
        <w:t>]</w:t>
      </w:r>
      <w:r>
        <w:rPr/>
        <w:t xml:space="preserve"> Verhaftung </w:t>
      </w:r>
      <w:r>
        <w:rPr>
          <w:color w:val="808080"/>
        </w:rPr>
        <w:t>(Bedrängnis)</w:t>
      </w:r>
      <w:r>
        <w:rPr/>
        <w:t xml:space="preserve"> und Verurteilung wurde er weggennommen </w:t>
      </w:r>
      <w:r>
        <w:rPr>
          <w:color w:val="808080"/>
        </w:rPr>
        <w:t>(nach/durch Haft und Urteil wurde er fortgerafft; aus Bedrängnis und Verbrechen wurde er herausgeholt; aus dem Gefängnis und dem Gericht wurde er fortgeführt)</w:t>
      </w:r>
      <w:r>
        <w:rPr/>
        <w:t>.</w:t>
      </w:r>
      <w:r>
        <w:rPr>
          <w:rStyle w:val="Funotenanker"/>
        </w:rPr>
        <w:footnoteReference w:customMarkFollows="1" w:id="997"/>
        <w:t>t</w:t>
      </w:r>
      <w:r>
        <w:rPr/>
        <w:t xml:space="preserve"> </w:t>
        <w:br/>
        <w:t xml:space="preserve">Wer kümmert sich um seine Generation </w:t>
      </w:r>
      <w:r>
        <w:rPr>
          <w:color w:val="808080"/>
        </w:rPr>
        <w:t>(wer denkt an sein Schicksal; bei seinen Zeitgenossen – wen kümmert es)</w:t>
      </w:r>
      <w:r>
        <w:rPr/>
        <w:t xml:space="preserve"> </w:t>
      </w:r>
      <w:r>
        <w:rPr>
          <w:rStyle w:val="Funotenanker"/>
        </w:rPr>
        <w:footnoteReference w:customMarkFollows="1" w:id="998"/>
        <w:t>u</w:t>
      </w:r>
      <w:r>
        <w:rPr/>
        <w:t xml:space="preserve">? </w:t>
        <w:br/>
        <w:t xml:space="preserve">Ach </w:t>
      </w:r>
      <w:r>
        <w:rPr>
          <w:color w:val="808080"/>
        </w:rPr>
        <w:t>(dass er, denn)</w:t>
      </w:r>
      <w:r>
        <w:rPr/>
        <w:t xml:space="preserve"> abgeschnitten </w:t>
      </w:r>
      <w:r>
        <w:rPr>
          <w:color w:val="808080"/>
        </w:rPr>
        <w:t>(weggerrissen)</w:t>
      </w:r>
      <w:r>
        <w:rPr/>
        <w:t xml:space="preserve"> wurde er vom Land der Lebenden.</w:t>
      </w:r>
      <w:r>
        <w:rPr>
          <w:position w:val="8"/>
          <w:sz w:val="19"/>
        </w:rPr>
        <w:t>[[ ℘ &gt;&gt; BibleTOBIBLE:Ac 8:32]]</w:t>
      </w:r>
      <w:r>
        <w:rPr/>
        <w:t xml:space="preserve"> </w:t>
        <w:br/>
        <w:t xml:space="preserve">Wegen des Unrechts meines </w:t>
      </w:r>
      <w:r>
        <w:rPr>
          <w:color w:val="808080"/>
        </w:rPr>
        <w:t>(seines)</w:t>
      </w:r>
      <w:r>
        <w:rPr/>
        <w:t xml:space="preserve"> </w:t>
      </w:r>
      <w:r>
        <w:rPr>
          <w:rStyle w:val="Funotenanker"/>
        </w:rPr>
        <w:footnoteReference w:customMarkFollows="1" w:id="999"/>
        <w:t>v</w:t>
      </w:r>
      <w:r>
        <w:rPr/>
        <w:t xml:space="preserve"> Volkes wurde er geschlagen </w:t>
      </w:r>
      <w:r>
        <w:rPr>
          <w:color w:val="808080"/>
        </w:rPr>
        <w:t>(erschlagen, verprügelt)</w:t>
      </w:r>
      <w:r>
        <w:rPr/>
        <w:t xml:space="preserve"> </w:t>
      </w:r>
      <w:r>
        <w:rPr>
          <w:rStyle w:val="Funotenanker"/>
        </w:rPr>
        <w:footnoteReference w:customMarkFollows="1" w:id="1000"/>
        <w:t>w</w:t>
      </w:r>
      <w:r>
        <w:rPr/>
        <w:t>.</w:t>
        <w:br/>
        <w:t xml:space="preserve">{{field-off:bible}} </w:t>
        <w:br/>
        <w:t>[[@BibleTOBIBLE:Is 53:9]]</w:t>
      </w:r>
      <w:r>
        <w:rPr>
          <w:b/>
        </w:rPr>
        <w:t>9</w:t>
      </w:r>
      <w:r>
        <w:rPr/>
        <w:t xml:space="preserve"> {{field-on:bible}} </w:t>
        <w:br/>
        <w:t>Dann gab man</w:t>
      </w:r>
      <w:r>
        <w:rPr>
          <w:rStyle w:val="Funotenanker"/>
        </w:rPr>
        <w:footnoteReference w:customMarkFollows="1" w:id="1001"/>
        <w:t>x</w:t>
      </w:r>
      <w:r>
        <w:rPr/>
        <w:t xml:space="preserve"> ihm bei Frevlern</w:t>
      </w:r>
      <w:r>
        <w:rPr>
          <w:rStyle w:val="Funotenanker"/>
        </w:rPr>
        <w:footnoteReference w:customMarkFollows="1" w:id="1002"/>
        <w:t>y</w:t>
      </w:r>
      <w:r>
        <w:rPr/>
        <w:t xml:space="preserve"> sein Grab </w:t>
        <w:br/>
        <w:t xml:space="preserve">und </w:t>
      </w:r>
      <w:r>
        <w:rPr>
          <w:color w:val="808080"/>
        </w:rPr>
        <w:t>(doch)</w:t>
      </w:r>
      <w:r>
        <w:rPr/>
        <w:t xml:space="preserve"> bei einem Reichen</w:t>
      </w:r>
      <w:r>
        <w:rPr>
          <w:rStyle w:val="Funotenanker"/>
        </w:rPr>
        <w:footnoteReference w:customMarkFollows="1" w:id="1003"/>
        <w:t>z</w:t>
      </w:r>
      <w:r>
        <w:rPr/>
        <w:t xml:space="preserve"> nach seinem Tod</w:t>
      </w:r>
      <w:r>
        <w:rPr>
          <w:rStyle w:val="Funotenanker"/>
        </w:rPr>
        <w:footnoteReference w:customMarkFollows="1" w:id="1004"/>
        <w:t>aa</w:t>
      </w:r>
      <w:r>
        <w:rPr/>
        <w:t>,</w:t>
      </w:r>
      <w:r>
        <w:rPr>
          <w:position w:val="8"/>
          <w:sz w:val="19"/>
        </w:rPr>
        <w:t>[[ ℘ &gt;&gt; BibleTOBIBLE:Mt 15:42]]</w:t>
      </w:r>
      <w:r>
        <w:rPr/>
        <w:t xml:space="preserve"> </w:t>
        <w:br/>
        <w:t xml:space="preserve">obwohl </w:t>
      </w:r>
      <w:r>
        <w:rPr>
          <w:color w:val="808080"/>
        </w:rPr>
        <w:t>(weil)</w:t>
      </w:r>
      <w:r>
        <w:rPr/>
        <w:t xml:space="preserve"> </w:t>
      </w:r>
      <w:r>
        <w:rPr>
          <w:rStyle w:val="Funotenanker"/>
        </w:rPr>
        <w:footnoteReference w:customMarkFollows="1" w:id="1005"/>
        <w:t>ab</w:t>
      </w:r>
      <w:r>
        <w:rPr/>
        <w:t xml:space="preserve"> er keine Gewalttat verübt hatte </w:t>
        <w:br/>
        <w:t>und kein Betrug in seinem Mund war.</w:t>
      </w:r>
      <w:r>
        <w:rPr>
          <w:position w:val="8"/>
          <w:sz w:val="19"/>
        </w:rPr>
        <w:t>[[ ℘ &gt;&gt; BibleTOBIBLE:1Pe 2:22]]</w:t>
      </w:r>
      <w:r>
        <w:rPr/>
        <w:t xml:space="preserve"> </w:t>
      </w:r>
      <w:r>
        <w:rPr>
          <w:position w:val="8"/>
          <w:sz w:val="19"/>
        </w:rPr>
        <w:t>[[ ℘ &gt;&gt; BibleTOBIBLE:Re 14:5]]</w:t>
      </w:r>
      <w:r>
        <w:rPr/>
        <w:t xml:space="preserve"> </w:t>
        <w:br/>
        <w:t xml:space="preserve">{{field-off:bible}} </w:t>
        <w:br/>
        <w:t>[[@BibleTOBIBLE:Is 53:10]]</w:t>
      </w:r>
      <w:r>
        <w:rPr>
          <w:b/>
        </w:rPr>
        <w:t>10</w:t>
      </w:r>
      <w:r>
        <w:rPr/>
        <w:t xml:space="preserve"> {{field-on:bible}} </w:t>
        <w:br/>
        <w:t xml:space="preserve">Dennoch wollte </w:t>
      </w:r>
      <w:r>
        <w:rPr>
          <w:smallCaps/>
          <w:color w:val="FF0000"/>
        </w:rPr>
        <w:t>JHWH</w:t>
      </w:r>
      <w:r>
        <w:rPr/>
        <w:t xml:space="preserve"> seine Zerstörung, er ließ ihn leiden </w:t>
      </w:r>
      <w:r>
        <w:rPr>
          <w:color w:val="808080"/>
        </w:rPr>
        <w:t>(krank werden)</w:t>
      </w:r>
      <w:r>
        <w:rPr/>
        <w:t>.“</w:t>
        <w:br/>
        <w:br/>
        <w:t>„</w:t>
      </w:r>
      <w:r>
        <w:rPr>
          <w:b/>
          <w:color w:val="808080"/>
        </w:rPr>
        <w:t>[</w:t>
      </w:r>
      <w:r>
        <w:rPr/>
        <w:t>Doch auch</w:t>
      </w:r>
      <w:r>
        <w:rPr>
          <w:b/>
          <w:color w:val="808080"/>
        </w:rPr>
        <w:t>]</w:t>
      </w:r>
      <w:r>
        <w:rPr/>
        <w:t xml:space="preserve"> wenn </w:t>
      </w:r>
      <w:r>
        <w:rPr>
          <w:color w:val="808080"/>
        </w:rPr>
        <w:t>(weil, obwohl)</w:t>
      </w:r>
      <w:r>
        <w:rPr/>
        <w:t xml:space="preserve"> du</w:t>
      </w:r>
      <w:r>
        <w:rPr>
          <w:rStyle w:val="Funotenanker"/>
        </w:rPr>
        <w:footnoteReference w:customMarkFollows="1" w:id="1006"/>
        <w:t>ac</w:t>
      </w:r>
      <w:r>
        <w:rPr/>
        <w:t xml:space="preserve"> sein Leben als </w:t>
      </w:r>
      <w:r>
        <w:rPr>
          <w:color w:val="808080"/>
        </w:rPr>
        <w:t>(er sein Leben als; er sich sich selbst als; er selbst eine; seine Seele eine)</w:t>
      </w:r>
      <w:r>
        <w:rPr/>
        <w:t xml:space="preserve"> Schuldtilgung </w:t>
      </w:r>
      <w:r>
        <w:rPr>
          <w:color w:val="808080"/>
        </w:rPr>
        <w:t>(Schuldopfer)</w:t>
      </w:r>
      <w:r>
        <w:rPr/>
        <w:t xml:space="preserve"> einsetzt </w:t>
      </w:r>
      <w:r>
        <w:rPr>
          <w:color w:val="808080"/>
        </w:rPr>
        <w:t>(eingesetzt hast/hättest)</w:t>
      </w:r>
      <w:r>
        <w:rPr/>
        <w:t>,</w:t>
        <w:br/>
        <w:t xml:space="preserve">wird </w:t>
      </w:r>
      <w:r>
        <w:rPr>
          <w:color w:val="808080"/>
        </w:rPr>
        <w:t>(würde)</w:t>
      </w:r>
      <w:r>
        <w:rPr/>
        <w:t xml:space="preserve"> er Nachkommen sehen, wird </w:t>
      </w:r>
      <w:r>
        <w:rPr>
          <w:color w:val="808080"/>
        </w:rPr>
        <w:t>(würde)</w:t>
      </w:r>
      <w:r>
        <w:rPr/>
        <w:t xml:space="preserve"> er lange leben.</w:t>
        <w:br/>
        <w:t xml:space="preserve">Und </w:t>
      </w:r>
      <w:r>
        <w:rPr>
          <w:color w:val="808080"/>
        </w:rPr>
        <w:t>(aber)</w:t>
      </w:r>
      <w:r>
        <w:rPr/>
        <w:t xml:space="preserve"> was </w:t>
      </w:r>
      <w:r>
        <w:rPr>
          <w:smallCaps/>
          <w:color w:val="FF0000"/>
        </w:rPr>
        <w:t>JHWH</w:t>
      </w:r>
      <w:r>
        <w:rPr/>
        <w:t xml:space="preserve"> will, gelingt durch seine Hand </w:t>
      </w:r>
      <w:r>
        <w:rPr>
          <w:color w:val="808080"/>
        </w:rPr>
        <w:t>(durch ihn)</w:t>
      </w:r>
      <w:r>
        <w:rPr/>
        <w:t xml:space="preserve"> </w:t>
      </w:r>
      <w:r>
        <w:rPr>
          <w:rStyle w:val="Funotenanker"/>
        </w:rPr>
        <w:footnoteReference w:customMarkFollows="1" w:id="1007"/>
        <w:t>ad</w:t>
      </w:r>
      <w:r>
        <w:rPr/>
        <w:t>.</w:t>
        <w:br/>
        <w:t xml:space="preserve">{{field-off:bible}} </w:t>
        <w:br/>
        <w:t>[[@BibleTOBIBLE:Is 53:11]]</w:t>
      </w:r>
      <w:r>
        <w:rPr>
          <w:b/>
        </w:rPr>
        <w:t>11</w:t>
      </w:r>
      <w:r>
        <w:rPr/>
        <w:t xml:space="preserve"> {{field-on:bible}} </w:t>
        <w:br/>
        <w:t xml:space="preserve">Aus dem Elend </w:t>
      </w:r>
      <w:r>
        <w:rPr>
          <w:color w:val="808080"/>
        </w:rPr>
        <w:t xml:space="preserve">(mehr als das Elend / die Mühe / das Leid; wegen des Elends; nach dem </w:t>
      </w:r>
      <w:r>
        <w:rPr>
          <w:b/>
          <w:color w:val="808080"/>
        </w:rPr>
        <w:t>[</w:t>
      </w:r>
      <w:r>
        <w:rPr>
          <w:color w:val="808080"/>
        </w:rPr>
        <w:t>Ende des</w:t>
      </w:r>
      <w:r>
        <w:rPr>
          <w:b/>
          <w:color w:val="808080"/>
        </w:rPr>
        <w:t>]</w:t>
      </w:r>
      <w:r>
        <w:rPr>
          <w:color w:val="808080"/>
        </w:rPr>
        <w:t xml:space="preserve"> Elends)</w:t>
      </w:r>
      <w:r>
        <w:rPr/>
        <w:t xml:space="preserve"> seines Lebens </w:t>
      </w:r>
      <w:r>
        <w:rPr>
          <w:color w:val="808080"/>
        </w:rPr>
        <w:t>(seiner selbst, seiner Seele, seines innersten Elends)</w:t>
      </w:r>
      <w:r>
        <w:rPr/>
        <w:t xml:space="preserve"> sieht er </w:t>
      </w:r>
      <w:r>
        <w:rPr>
          <w:color w:val="808080"/>
        </w:rPr>
        <w:t>(</w:t>
      </w:r>
      <w:r>
        <w:rPr>
          <w:b/>
          <w:color w:val="808080"/>
        </w:rPr>
        <w:t>[</w:t>
      </w:r>
      <w:r>
        <w:rPr>
          <w:color w:val="808080"/>
        </w:rPr>
        <w:t>Licht</w:t>
      </w:r>
      <w:r>
        <w:rPr>
          <w:b/>
          <w:color w:val="808080"/>
        </w:rPr>
        <w:t>]</w:t>
      </w:r>
      <w:r>
        <w:rPr>
          <w:color w:val="808080"/>
        </w:rPr>
        <w:t>)</w:t>
      </w:r>
      <w:r>
        <w:rPr/>
        <w:t xml:space="preserve"> </w:t>
      </w:r>
      <w:r>
        <w:rPr>
          <w:rStyle w:val="Funotenanker"/>
        </w:rPr>
        <w:footnoteReference w:customMarkFollows="1" w:id="1008"/>
        <w:t>ae</w:t>
      </w:r>
      <w:r>
        <w:rPr/>
        <w:t>,</w:t>
        <w:br/>
        <w:t xml:space="preserve">und satt </w:t>
      </w:r>
      <w:r>
        <w:rPr>
          <w:color w:val="808080"/>
        </w:rPr>
        <w:t>(befriedigt)</w:t>
      </w:r>
      <w:r>
        <w:rPr/>
        <w:t xml:space="preserve"> werden an seiner Erkenntnis </w:t>
      </w:r>
      <w:r>
        <w:rPr>
          <w:color w:val="808080"/>
        </w:rPr>
        <w:t>(seinem Wissen)</w:t>
      </w:r>
      <w:r>
        <w:rPr/>
        <w:t>.</w:t>
        <w:br/>
        <w:t xml:space="preserve">Der Gerechte </w:t>
      </w:r>
      <w:r>
        <w:rPr>
          <w:color w:val="808080"/>
        </w:rPr>
        <w:t>(Rechtschaffene, im Recht)</w:t>
      </w:r>
      <w:r>
        <w:rPr/>
        <w:t>, mein Getreuer,</w:t>
      </w:r>
      <w:r>
        <w:rPr>
          <w:rStyle w:val="Funotenanker"/>
        </w:rPr>
        <w:footnoteReference w:customMarkFollows="1" w:id="1009"/>
        <w:t>af</w:t>
      </w:r>
      <w:r>
        <w:rPr/>
        <w:t xml:space="preserve"> macht die Vielen gerecht </w:t>
      </w:r>
      <w:r>
        <w:rPr>
          <w:color w:val="808080"/>
        </w:rPr>
        <w:t>(erklärt die Vielen für gerecht, gibt den Vielen recht)</w:t>
      </w:r>
      <w:r>
        <w:rPr/>
        <w:t xml:space="preserve"> </w:t>
        <w:br/>
        <w:t xml:space="preserve">– und ihre Vergehen </w:t>
      </w:r>
      <w:r>
        <w:rPr>
          <w:color w:val="808080"/>
        </w:rPr>
        <w:t>(Schuld, Schuldfolge)</w:t>
      </w:r>
      <w:r>
        <w:rPr/>
        <w:t xml:space="preserve">: ''Er'' trägt sie. </w:t>
        <w:br/>
        <w:t xml:space="preserve">{{field-off:bible}} </w:t>
        <w:br/>
        <w:t>[[@BibleTOBIBLE:Is 53:12]]</w:t>
      </w:r>
      <w:r>
        <w:rPr>
          <w:b/>
        </w:rPr>
        <w:t>12</w:t>
      </w:r>
      <w:r>
        <w:rPr/>
        <w:t xml:space="preserve"> {{field-on:bible}} </w:t>
        <w:br/>
        <w:t xml:space="preserve">Deshalb </w:t>
      </w:r>
      <w:r>
        <w:rPr>
          <w:color w:val="808080"/>
        </w:rPr>
        <w:t>(Ich verspreche)</w:t>
      </w:r>
      <w:r>
        <w:rPr/>
        <w:t xml:space="preserve"> </w:t>
      </w:r>
      <w:r>
        <w:rPr>
          <w:rStyle w:val="Funotenanker"/>
        </w:rPr>
        <w:footnoteReference w:customMarkFollows="1" w:id="1010"/>
        <w:t>ag</w:t>
      </w:r>
      <w:r>
        <w:rPr/>
        <w:t xml:space="preserve"> teile ich ihm </w:t>
      </w:r>
      <w:r>
        <w:rPr>
          <w:color w:val="808080"/>
        </w:rPr>
        <w:t>(</w:t>
      </w:r>
      <w:r>
        <w:rPr>
          <w:b/>
          <w:color w:val="808080"/>
        </w:rPr>
        <w:t>[</w:t>
      </w:r>
      <w:r>
        <w:rPr>
          <w:color w:val="808080"/>
        </w:rPr>
        <w:t>Beute</w:t>
      </w:r>
      <w:r>
        <w:rPr>
          <w:b/>
          <w:color w:val="808080"/>
        </w:rPr>
        <w:t>]</w:t>
      </w:r>
      <w:r>
        <w:rPr>
          <w:color w:val="808080"/>
        </w:rPr>
        <w:t xml:space="preserve"> </w:t>
      </w:r>
      <w:r>
        <w:rPr>
          <w:rStyle w:val="Funotenanker"/>
        </w:rPr>
        <w:footnoteReference w:customMarkFollows="1" w:id="1011"/>
        <w:t>ah</w:t>
      </w:r>
      <w:r>
        <w:rPr/>
        <w:t xml:space="preserve"> </w:t>
      </w:r>
      <w:r>
        <w:rPr>
          <w:color w:val="808080"/>
        </w:rPr>
        <w:t>)</w:t>
      </w:r>
      <w:r>
        <w:rPr/>
        <w:t xml:space="preserve"> zu unter den Vielen </w:t>
      </w:r>
      <w:r>
        <w:rPr>
          <w:color w:val="808080"/>
        </w:rPr>
        <w:t xml:space="preserve">(gemeinsam mit Starken; ich teile ihm die Vielen/Starken </w:t>
      </w:r>
      <w:r>
        <w:rPr>
          <w:b/>
          <w:color w:val="808080"/>
        </w:rPr>
        <w:t>[</w:t>
      </w:r>
      <w:r>
        <w:rPr>
          <w:color w:val="808080"/>
        </w:rPr>
        <w:t>als Beute</w:t>
      </w:r>
      <w:r>
        <w:rPr>
          <w:b/>
          <w:color w:val="808080"/>
        </w:rPr>
        <w:t>]</w:t>
      </w:r>
      <w:r>
        <w:rPr>
          <w:color w:val="808080"/>
        </w:rPr>
        <w:t xml:space="preserve"> zu; ich werde ihm … zuteilen)</w:t>
      </w:r>
      <w:r>
        <w:rPr/>
        <w:t xml:space="preserve"> </w:t>
        <w:br/>
        <w:t xml:space="preserve">und mit Mächtigen </w:t>
      </w:r>
      <w:r>
        <w:rPr>
          <w:color w:val="808080"/>
        </w:rPr>
        <w:t>(Zahlreichen)</w:t>
      </w:r>
      <w:r>
        <w:rPr/>
        <w:t xml:space="preserve"> teilt er Beute </w:t>
      </w:r>
      <w:r>
        <w:rPr>
          <w:color w:val="808080"/>
        </w:rPr>
        <w:t>(die Zahlreichen / Mächtigen teilt er als Beute; wird er … teilen)</w:t>
      </w:r>
      <w:r>
        <w:rPr/>
        <w:t>,</w:t>
      </w:r>
      <w:r>
        <w:rPr>
          <w:rStyle w:val="Funotenanker"/>
        </w:rPr>
        <w:footnoteReference w:customMarkFollows="1" w:id="1012"/>
        <w:t>ai</w:t>
      </w:r>
      <w:r>
        <w:rPr/>
        <w:t xml:space="preserve"> </w:t>
        <w:br/>
        <w:t xml:space="preserve">dafür, dass </w:t>
      </w:r>
      <w:r>
        <w:rPr>
          <w:color w:val="808080"/>
        </w:rPr>
        <w:t>(weil)</w:t>
      </w:r>
      <w:r>
        <w:rPr/>
        <w:t xml:space="preserve"> er sein Leben in den Tod geleert </w:t>
      </w:r>
      <w:r>
        <w:rPr>
          <w:color w:val="808080"/>
        </w:rPr>
        <w:t>(ausgegossen)</w:t>
      </w:r>
      <w:r>
        <w:rPr/>
        <w:t xml:space="preserve"> hat</w:t>
      </w:r>
      <w:r>
        <w:rPr>
          <w:rStyle w:val="Funotenanker"/>
        </w:rPr>
        <w:footnoteReference w:customMarkFollows="1" w:id="1013"/>
        <w:t>aj</w:t>
      </w:r>
      <w:r>
        <w:rPr/>
        <w:t xml:space="preserve"> </w:t>
        <w:br/>
        <w:t xml:space="preserve">und zu den Untreuen </w:t>
      </w:r>
      <w:r>
        <w:rPr>
          <w:color w:val="808080"/>
        </w:rPr>
        <w:t>(Sündern, Abtrünnigen)</w:t>
      </w:r>
      <w:r>
        <w:rPr/>
        <w:t xml:space="preserve"> gezählt wurde </w:t>
      </w:r>
      <w:r>
        <w:rPr>
          <w:color w:val="808080"/>
        </w:rPr>
        <w:t>(sich zählte, sich zählen lassen hat)</w:t>
      </w:r>
      <w:r>
        <w:rPr/>
        <w:t>.</w:t>
      </w:r>
      <w:r>
        <w:rPr>
          <w:position w:val="8"/>
          <w:sz w:val="19"/>
        </w:rPr>
        <w:t>[[ ℘ &gt;&gt; BibleTOBIBLE:Lk 22:37]]</w:t>
      </w:r>
      <w:r>
        <w:rPr/>
        <w:t xml:space="preserve"> </w:t>
      </w:r>
      <w:r>
        <w:rPr>
          <w:position w:val="8"/>
          <w:sz w:val="19"/>
        </w:rPr>
        <w:t>[[ ℘ &gt;&gt; BibleTOBIBLE:Mk 15:28]]</w:t>
      </w:r>
      <w:r>
        <w:rPr/>
        <w:t xml:space="preserve"> </w:t>
        <w:br/>
        <w:t xml:space="preserve">Er, er hat den Vielen ihre Verfehlung abgenommen </w:t>
      </w:r>
      <w:r>
        <w:rPr>
          <w:color w:val="808080"/>
        </w:rPr>
        <w:t>(auf sich genommen)</w:t>
      </w:r>
      <w:r>
        <w:rPr/>
        <w:t>,</w:t>
      </w:r>
      <w:r>
        <w:rPr>
          <w:position w:val="8"/>
          <w:sz w:val="19"/>
        </w:rPr>
        <w:t>[[ ℘ &gt;&gt; BibleTOBIBLE:Mt 26:28]]</w:t>
      </w:r>
      <w:r>
        <w:rPr/>
        <w:t xml:space="preserve"> </w:t>
      </w:r>
      <w:r>
        <w:rPr>
          <w:position w:val="8"/>
          <w:sz w:val="19"/>
        </w:rPr>
        <w:t>[[ ℘ &gt;&gt; BibleTOBIBLE:1Pe 2:24]]</w:t>
      </w:r>
      <w:r>
        <w:rPr/>
        <w:t xml:space="preserve"> </w:t>
        <w:br/>
        <w:t xml:space="preserve">und für die Untreuen </w:t>
      </w:r>
      <w:r>
        <w:rPr>
          <w:color w:val="808080"/>
        </w:rPr>
        <w:t>(Sünder, Abtrünnigen)</w:t>
      </w:r>
      <w:r>
        <w:rPr/>
        <w:t xml:space="preserve"> ließ </w:t>
      </w:r>
      <w:r>
        <w:rPr>
          <w:color w:val="808080"/>
        </w:rPr>
        <w:t>(lässt)</w:t>
      </w:r>
      <w:r>
        <w:rPr/>
        <w:t xml:space="preserve"> er sich treffen </w:t>
      </w:r>
      <w:r>
        <w:rPr>
          <w:color w:val="808080"/>
        </w:rPr>
        <w:t>(ließ/lässt er sich aufbürden; kämpft er; bittet er dringlich)</w:t>
      </w:r>
      <w:r>
        <w:rPr/>
        <w:t xml:space="preserve"> </w:t>
      </w:r>
      <w:r>
        <w:rPr>
          <w:rStyle w:val="Funotenanker"/>
        </w:rPr>
        <w:footnoteReference w:customMarkFollows="1" w:id="1014"/>
        <w:t>ak</w:t>
      </w:r>
      <w:r>
        <w:rPr/>
        <w:t xml:space="preserve"> </w:t>
      </w:r>
      <w:r>
        <w:rPr>
          <w:position w:val="8"/>
          <w:sz w:val="19"/>
        </w:rPr>
        <w:t>[[ ℘ &gt;&gt; BibleTOBIBLE:Lk 23:34]]</w:t>
      </w:r>
      <w:r>
        <w:rPr/>
        <w:t xml:space="preserve"> </w:t>
        <w:br/>
        <w:t xml:space="preserve">“{{field-off:bible}} </w:t>
      </w:r>
    </w:p>
    <w:p>
      <w:pPr>
        <w:pStyle w:val="Berschrift2"/>
        <w:rPr/>
      </w:pPr>
      <w:r>
        <w:rPr/>
        <w:t>[[@BibleTOBIBLE:Jon]]Jona</w:t>
      </w:r>
    </w:p>
    <w:p>
      <w:pPr>
        <w:pStyle w:val="Berschrift3"/>
        <w:rPr/>
      </w:pPr>
      <w:r>
        <w:rPr/>
        <w:t>[[@BibleTOBIBLE:Jon 1]]Kapitel 1</w:t>
      </w:r>
    </w:p>
    <w:p>
      <w:pPr>
        <w:pStyle w:val="Textkrper"/>
        <w:rPr/>
      </w:pPr>
      <w:r>
        <w:rPr/>
        <w:br/>
        <w:t>[[@BibleTOBIBLE:Jon 1:1]]</w:t>
      </w:r>
      <w:r>
        <w:rPr>
          <w:b/>
        </w:rPr>
        <w:t>1</w:t>
      </w:r>
      <w:r>
        <w:rPr/>
        <w:t xml:space="preserve"> {{field-on:bible}} </w:t>
      </w:r>
      <w:r>
        <w:rPr>
          <w:rStyle w:val="Funotenanker"/>
        </w:rPr>
        <w:footnoteReference w:customMarkFollows="1" w:id="1015"/>
        <w:t>Status</w:t>
      </w:r>
      <w:r>
        <w:rPr/>
        <w:t xml:space="preserve"> Und das Wort </w:t>
      </w:r>
      <w:r>
        <w:rPr>
          <w:smallCaps/>
          <w:color w:val="FF0000"/>
        </w:rPr>
        <w:t>JHWH</w:t>
      </w:r>
      <w:r>
        <w:rPr/>
        <w:t xml:space="preserve">s kam zu Jona, Amittais Sohn </w:t>
      </w:r>
      <w:r>
        <w:rPr>
          <w:strike/>
          <w:color w:val="808080"/>
        </w:rPr>
        <w:t>{mit den Worten}</w:t>
      </w:r>
      <w:r>
        <w:rPr/>
        <w:t xml:space="preserve"> </w:t>
      </w:r>
      <w:r>
        <w:rPr>
          <w:rStyle w:val="Funotenanker"/>
        </w:rPr>
        <w:footnoteReference w:customMarkFollows="1" w:id="1016"/>
        <w:t>a</w:t>
      </w:r>
      <w:r>
        <w:rPr/>
        <w:t>:</w:t>
      </w:r>
      <w:r>
        <w:rPr>
          <w:position w:val="8"/>
          <w:sz w:val="19"/>
        </w:rPr>
        <w:t>[[ ℘ &gt;&gt; BibleTOBIBLE:Jon 3:1]]</w:t>
      </w:r>
      <w:r>
        <w:rPr/>
        <w:t xml:space="preserve"> {{field-off:bible}} </w:t>
        <w:br/>
        <w:t>[[@BibleTOBIBLE:Jon 1:2]]</w:t>
      </w:r>
      <w:r>
        <w:rPr>
          <w:b/>
        </w:rPr>
        <w:t>2</w:t>
      </w:r>
      <w:r>
        <w:rPr/>
        <w:t xml:space="preserve"> {{field-on:bible}}„Brich auf </w:t>
      </w:r>
      <w:r>
        <w:rPr>
          <w:color w:val="808080"/>
        </w:rPr>
        <w:t>(Auf!)</w:t>
      </w:r>
      <w:r>
        <w:rPr/>
        <w:t xml:space="preserve">, gehe in die große Stadt Ninive und rufe </w:t>
      </w:r>
      <w:r>
        <w:rPr>
          <w:b/>
          <w:color w:val="808080"/>
        </w:rPr>
        <w:t>[</w:t>
      </w:r>
      <w:r>
        <w:rPr/>
        <w:t>die Anklage</w:t>
      </w:r>
      <w:r>
        <w:rPr>
          <w:b/>
          <w:color w:val="808080"/>
        </w:rPr>
        <w:t>]</w:t>
      </w:r>
      <w:r>
        <w:rPr/>
        <w:t xml:space="preserve"> gegen sie</w:t>
      </w:r>
      <w:r>
        <w:rPr>
          <w:rStyle w:val="Funotenanker"/>
        </w:rPr>
        <w:footnoteReference w:customMarkFollows="1" w:id="1017"/>
        <w:t>b</w:t>
      </w:r>
      <w:r>
        <w:rPr/>
        <w:t>,</w:t>
      </w:r>
      <w:r>
        <w:rPr>
          <w:position w:val="8"/>
          <w:sz w:val="19"/>
        </w:rPr>
        <w:t>[[ ℘ &gt;&gt; BibleTOBIBLE:Jon 3:2]]</w:t>
      </w:r>
      <w:r>
        <w:rPr/>
        <w:t xml:space="preserve"> weil ihre</w:t>
      </w:r>
      <w:r>
        <w:rPr>
          <w:rStyle w:val="Funotenanker"/>
        </w:rPr>
        <w:footnoteReference w:customMarkFollows="1" w:id="1018"/>
        <w:t>c</w:t>
      </w:r>
      <w:r>
        <w:rPr/>
        <w:t xml:space="preserve"> Bosheit </w:t>
      </w:r>
      <w:r>
        <w:rPr>
          <w:color w:val="808080"/>
        </w:rPr>
        <w:t>(bösen Taten)</w:t>
      </w:r>
      <w:r>
        <w:rPr/>
        <w:t xml:space="preserve"> vor mich gekommen ist.“{{field-off:bible}} </w:t>
        <w:br/>
        <w:t>[[@BibleTOBIBLE:Jon 1:3]]</w:t>
      </w:r>
      <w:r>
        <w:rPr>
          <w:b/>
        </w:rPr>
        <w:t>3</w:t>
      </w:r>
      <w:r>
        <w:rPr/>
        <w:t xml:space="preserve"> {{field-on:bible}}Doch </w:t>
      </w:r>
      <w:r>
        <w:rPr>
          <w:color w:val="808080"/>
        </w:rPr>
        <w:t>(und)</w:t>
      </w:r>
      <w:r>
        <w:rPr/>
        <w:t xml:space="preserve"> Jona brach auf, um vor </w:t>
      </w:r>
      <w:r>
        <w:rPr>
          <w:smallCaps/>
          <w:color w:val="FF0000"/>
        </w:rPr>
        <w:t>JHWH</w:t>
      </w:r>
      <w:r>
        <w:rPr/>
        <w:t xml:space="preserve"> nach Tarschisch</w:t>
      </w:r>
      <w:r>
        <w:rPr>
          <w:rStyle w:val="Funotenanker"/>
        </w:rPr>
        <w:footnoteReference w:customMarkFollows="1" w:id="1019"/>
        <w:t>d</w:t>
      </w:r>
      <w:r>
        <w:rPr/>
        <w:t xml:space="preserve"> zu fliehen, und ging hinab </w:t>
      </w:r>
      <w:r>
        <w:rPr>
          <w:b/>
          <w:color w:val="808080"/>
        </w:rPr>
        <w:t>[</w:t>
      </w:r>
      <w:r>
        <w:rPr/>
        <w:t>nach</w:t>
      </w:r>
      <w:r>
        <w:rPr>
          <w:b/>
          <w:color w:val="808080"/>
        </w:rPr>
        <w:t>]</w:t>
      </w:r>
      <w:r>
        <w:rPr/>
        <w:t xml:space="preserve"> Jafo. </w:t>
      </w:r>
      <w:r>
        <w:rPr>
          <w:strike/>
          <w:color w:val="808080"/>
        </w:rPr>
        <w:t>{und}</w:t>
      </w:r>
      <w:r>
        <w:rPr/>
        <w:t xml:space="preserve"> Er traf auf</w:t>
      </w:r>
      <w:r>
        <w:rPr>
          <w:rStyle w:val="Funotenanker"/>
        </w:rPr>
        <w:footnoteReference w:customMarkFollows="1" w:id="1020"/>
        <w:t>e</w:t>
      </w:r>
      <w:r>
        <w:rPr/>
        <w:t xml:space="preserve"> ein Schiff, das im Begriff war, nach Tarschisch zu fahren</w:t>
      </w:r>
      <w:r>
        <w:rPr>
          <w:rStyle w:val="Funotenanker"/>
        </w:rPr>
        <w:footnoteReference w:customMarkFollows="1" w:id="1021"/>
        <w:t>f</w:t>
      </w:r>
      <w:r>
        <w:rPr/>
        <w:t xml:space="preserve">, </w:t>
      </w:r>
      <w:r>
        <w:rPr>
          <w:strike/>
          <w:color w:val="808080"/>
        </w:rPr>
        <w:t>{und}</w:t>
      </w:r>
      <w:r>
        <w:rPr/>
        <w:t xml:space="preserve"> zahlte sein Fährgeld und bestieg es, um mit ihnen</w:t>
      </w:r>
      <w:r>
        <w:rPr>
          <w:rStyle w:val="Funotenanker"/>
        </w:rPr>
        <w:footnoteReference w:customMarkFollows="1" w:id="1022"/>
        <w:t>g</w:t>
      </w:r>
      <w:r>
        <w:rPr/>
        <w:t xml:space="preserve"> nach Tarschisch zu fahren, weg von </w:t>
      </w:r>
      <w:r>
        <w:rPr>
          <w:smallCaps/>
          <w:color w:val="FF0000"/>
        </w:rPr>
        <w:t>JHWH</w:t>
      </w:r>
      <w:r>
        <w:rPr/>
        <w:t xml:space="preserve"> </w:t>
      </w:r>
      <w:r>
        <w:rPr>
          <w:rStyle w:val="Funotenanker"/>
        </w:rPr>
        <w:footnoteReference w:customMarkFollows="1" w:id="1023"/>
        <w:t>h</w:t>
      </w:r>
      <w:r>
        <w:rPr/>
        <w:t xml:space="preserve"> </w:t>
      </w:r>
      <w:r>
        <w:rPr>
          <w:position w:val="8"/>
          <w:sz w:val="19"/>
        </w:rPr>
        <w:t>[[ ℘ &gt;&gt; BibleTOBIBLE:Jon 3:3]]</w:t>
      </w:r>
      <w:r>
        <w:rPr/>
        <w:t xml:space="preserve"> {{field-off:bible}} </w:t>
        <w:br/>
        <w:t>[[@BibleTOBIBLE:Jon 1:4]]</w:t>
      </w:r>
      <w:r>
        <w:rPr>
          <w:b/>
        </w:rPr>
        <w:t>4</w:t>
      </w:r>
      <w:r>
        <w:rPr/>
        <w:t xml:space="preserve"> {{field-on:bible}}Aber </w:t>
      </w:r>
      <w:r>
        <w:rPr>
          <w:color w:val="808080"/>
        </w:rPr>
        <w:t>(da)</w:t>
      </w:r>
      <w:r>
        <w:rPr/>
        <w:t xml:space="preserve"> </w:t>
      </w:r>
      <w:r>
        <w:rPr>
          <w:smallCaps/>
          <w:color w:val="FF0000"/>
        </w:rPr>
        <w:t>JHWH</w:t>
      </w:r>
      <w:r>
        <w:rPr/>
        <w:t xml:space="preserve"> ließ einen großen Wind auf das Meer los</w:t>
      </w:r>
      <w:r>
        <w:rPr>
          <w:rStyle w:val="Funotenanker"/>
        </w:rPr>
        <w:footnoteReference w:customMarkFollows="1" w:id="1024"/>
        <w:t>i</w:t>
      </w:r>
      <w:r>
        <w:rPr/>
        <w:t xml:space="preserve">, und es kam ein so großer Sturm über dem Meer auf, dass </w:t>
      </w:r>
      <w:r>
        <w:rPr>
          <w:color w:val="808080"/>
        </w:rPr>
        <w:t>(und)</w:t>
      </w:r>
      <w:r>
        <w:rPr/>
        <w:t xml:space="preserve"> das Schiff zu zerbrechen drohte.</w:t>
      </w:r>
      <w:r>
        <w:rPr>
          <w:rStyle w:val="Funotenanker"/>
        </w:rPr>
        <w:footnoteReference w:customMarkFollows="1" w:id="1025"/>
        <w:t>j</w:t>
      </w:r>
      <w:r>
        <w:rPr/>
        <w:t xml:space="preserve"> {{field-off:bible}} </w:t>
        <w:br/>
        <w:t>[[@BibleTOBIBLE:Jon 1:5]]</w:t>
      </w:r>
      <w:r>
        <w:rPr>
          <w:b/>
        </w:rPr>
        <w:t>5</w:t>
      </w:r>
      <w:r>
        <w:rPr/>
        <w:t xml:space="preserve"> {{field-on:bible}}Da fürchteten sich die Seeleute und riefen jeder zu seinem Gott </w:t>
      </w:r>
      <w:r>
        <w:rPr>
          <w:color w:val="808080"/>
        </w:rPr>
        <w:t>(seinen Göttern)</w:t>
      </w:r>
      <w:r>
        <w:rPr/>
        <w:t xml:space="preserve">. </w:t>
      </w:r>
      <w:r>
        <w:rPr>
          <w:strike/>
          <w:color w:val="808080"/>
        </w:rPr>
        <w:t>{und}</w:t>
      </w:r>
      <w:r>
        <w:rPr/>
        <w:t xml:space="preserve"> Sie warfen die Gegenstände </w:t>
      </w:r>
      <w:r>
        <w:rPr>
          <w:color w:val="808080"/>
        </w:rPr>
        <w:t>(Ladung, Ausrüstung)</w:t>
      </w:r>
      <w:r>
        <w:rPr/>
        <w:t xml:space="preserve"> </w:t>
      </w:r>
      <w:r>
        <w:rPr>
          <w:rStyle w:val="Funotenanker"/>
        </w:rPr>
        <w:footnoteReference w:customMarkFollows="1" w:id="1026"/>
        <w:t>k</w:t>
      </w:r>
      <w:r>
        <w:rPr/>
        <w:t xml:space="preserve">, die auf dem Schiff </w:t>
      </w:r>
      <w:r>
        <w:rPr>
          <w:b/>
          <w:color w:val="808080"/>
        </w:rPr>
        <w:t>[</w:t>
      </w:r>
      <w:r>
        <w:rPr/>
        <w:t>waren</w:t>
      </w:r>
      <w:r>
        <w:rPr>
          <w:b/>
          <w:color w:val="808080"/>
        </w:rPr>
        <w:t>]</w:t>
      </w:r>
      <w:r>
        <w:rPr/>
        <w:t xml:space="preserve">, ins Meer, um </w:t>
      </w:r>
      <w:r>
        <w:rPr>
          <w:b/>
          <w:color w:val="808080"/>
        </w:rPr>
        <w:t>[</w:t>
      </w:r>
      <w:r>
        <w:rPr/>
        <w:t>das Schiff</w:t>
      </w:r>
      <w:r>
        <w:rPr>
          <w:b/>
          <w:color w:val="808080"/>
        </w:rPr>
        <w:t>]</w:t>
      </w:r>
      <w:r>
        <w:rPr/>
        <w:t xml:space="preserve"> </w:t>
      </w:r>
      <w:r>
        <w:rPr>
          <w:strike/>
          <w:color w:val="808080"/>
        </w:rPr>
        <w:t>{von ihnen}</w:t>
      </w:r>
      <w:r>
        <w:rPr/>
        <w:t xml:space="preserve"> leichter zu machen</w:t>
      </w:r>
      <w:r>
        <w:rPr>
          <w:rStyle w:val="Funotenanker"/>
        </w:rPr>
        <w:footnoteReference w:customMarkFollows="1" w:id="1027"/>
        <w:t>l</w:t>
      </w:r>
      <w:r>
        <w:rPr/>
        <w:t xml:space="preserve">. Derweil </w:t>
      </w:r>
      <w:r>
        <w:rPr>
          <w:color w:val="808080"/>
        </w:rPr>
        <w:t>(und)</w:t>
      </w:r>
      <w:r>
        <w:rPr/>
        <w:t xml:space="preserve"> war Jona hinab in den Rumpf </w:t>
      </w:r>
      <w:r>
        <w:rPr>
          <w:color w:val="808080"/>
        </w:rPr>
        <w:t>(unter Deck)</w:t>
      </w:r>
      <w:r>
        <w:rPr/>
        <w:t xml:space="preserve"> </w:t>
      </w:r>
      <w:r>
        <w:rPr>
          <w:rStyle w:val="Funotenanker"/>
        </w:rPr>
        <w:footnoteReference w:customMarkFollows="1" w:id="1028"/>
        <w:t>m</w:t>
      </w:r>
      <w:r>
        <w:rPr/>
        <w:t xml:space="preserve"> des Schiffes gestiegen, </w:t>
      </w:r>
      <w:r>
        <w:rPr>
          <w:strike/>
          <w:color w:val="808080"/>
        </w:rPr>
        <w:t>{und}</w:t>
      </w:r>
      <w:r>
        <w:rPr/>
        <w:t xml:space="preserve"> hatte sich hingelegt und schlief tief und fest.{{field-off:bible}} </w:t>
        <w:br/>
        <w:t>[[@BibleTOBIBLE:Jon 1:6]]</w:t>
      </w:r>
      <w:r>
        <w:rPr>
          <w:b/>
        </w:rPr>
        <w:t>6</w:t>
      </w:r>
      <w:r>
        <w:rPr/>
        <w:t xml:space="preserve"> {{field-on:bible}}Da kam der Oberste der Seeleute</w:t>
      </w:r>
      <w:r>
        <w:rPr>
          <w:rStyle w:val="Funotenanker"/>
        </w:rPr>
        <w:footnoteReference w:customMarkFollows="1" w:id="1029"/>
        <w:t>n</w:t>
      </w:r>
      <w:r>
        <w:rPr/>
        <w:t xml:space="preserve"> in seine Nähe</w:t>
      </w:r>
      <w:r>
        <w:rPr>
          <w:rStyle w:val="Funotenanker"/>
        </w:rPr>
        <w:footnoteReference w:customMarkFollows="1" w:id="1030"/>
        <w:t>o</w:t>
      </w:r>
      <w:r>
        <w:rPr/>
        <w:t xml:space="preserve"> und fragte </w:t>
      </w:r>
      <w:r>
        <w:rPr>
          <w:color w:val="808080"/>
        </w:rPr>
        <w:t>(sprach)</w:t>
      </w:r>
      <w:r>
        <w:rPr/>
        <w:t xml:space="preserve"> </w:t>
      </w:r>
      <w:r>
        <w:rPr>
          <w:strike/>
          <w:color w:val="808080"/>
        </w:rPr>
        <w:t>{zu ihm}</w:t>
      </w:r>
      <w:r>
        <w:rPr/>
        <w:t>: „Warum schläfst du?</w:t>
      </w:r>
      <w:r>
        <w:rPr>
          <w:rStyle w:val="Funotenanker"/>
        </w:rPr>
        <w:footnoteReference w:customMarkFollows="1" w:id="1031"/>
        <w:t>p</w:t>
      </w:r>
      <w:r>
        <w:rPr/>
        <w:t xml:space="preserve"> Steh auf </w:t>
      </w:r>
      <w:r>
        <w:rPr>
          <w:b/>
          <w:color w:val="808080"/>
        </w:rPr>
        <w:t>[</w:t>
      </w:r>
      <w:r>
        <w:rPr/>
        <w:t>und</w:t>
      </w:r>
      <w:r>
        <w:rPr>
          <w:b/>
          <w:color w:val="808080"/>
        </w:rPr>
        <w:t>]</w:t>
      </w:r>
      <w:r>
        <w:rPr/>
        <w:t xml:space="preserve"> rufe zu deinem Gott, vielleicht schenkt der Gott uns ja Beachtung, so dass </w:t>
      </w:r>
      <w:r>
        <w:rPr>
          <w:color w:val="808080"/>
        </w:rPr>
        <w:t>(und)</w:t>
      </w:r>
      <w:r>
        <w:rPr/>
        <w:t xml:space="preserve"> wir nicht umkommen </w:t>
      </w:r>
      <w:r>
        <w:rPr>
          <w:color w:val="808080"/>
        </w:rPr>
        <w:t>(sterben)</w:t>
      </w:r>
      <w:r>
        <w:rPr/>
        <w:t xml:space="preserve">!“{{field-off:bible}} </w:t>
        <w:br/>
        <w:t>[[@BibleTOBIBLE:Jon 1:7]]</w:t>
      </w:r>
      <w:r>
        <w:rPr>
          <w:b/>
        </w:rPr>
        <w:t>7</w:t>
      </w:r>
      <w:r>
        <w:rPr/>
        <w:t xml:space="preserve"> {{field-on:bible}}Und sie sagten zueinander</w:t>
      </w:r>
      <w:r>
        <w:rPr>
          <w:rStyle w:val="Funotenanker"/>
        </w:rPr>
        <w:footnoteReference w:customMarkFollows="1" w:id="1032"/>
        <w:t>q</w:t>
      </w:r>
      <w:r>
        <w:rPr/>
        <w:t xml:space="preserve">: „Kommt, </w:t>
      </w:r>
      <w:r>
        <w:rPr>
          <w:strike/>
          <w:color w:val="808080"/>
        </w:rPr>
        <w:t>{und}</w:t>
      </w:r>
      <w:r>
        <w:rPr/>
        <w:t xml:space="preserve"> wir werfen Lose, damit </w:t>
      </w:r>
      <w:r>
        <w:rPr>
          <w:color w:val="808080"/>
        </w:rPr>
        <w:t>(und)</w:t>
      </w:r>
      <w:r>
        <w:rPr/>
        <w:t xml:space="preserve"> wir herausfinden, wie es kommt </w:t>
      </w:r>
      <w:r>
        <w:rPr>
          <w:color w:val="808080"/>
        </w:rPr>
        <w:t>(wer daran schuld ist)</w:t>
      </w:r>
      <w:r>
        <w:rPr/>
        <w:t>, dass</w:t>
      </w:r>
      <w:r>
        <w:rPr>
          <w:rStyle w:val="Funotenanker"/>
        </w:rPr>
        <w:footnoteReference w:customMarkFollows="1" w:id="1033"/>
        <w:t>r</w:t>
      </w:r>
      <w:r>
        <w:rPr/>
        <w:t xml:space="preserve"> uns so ein Unheil </w:t>
      </w:r>
      <w:r>
        <w:rPr>
          <w:b/>
          <w:color w:val="808080"/>
        </w:rPr>
        <w:t>[</w:t>
      </w:r>
      <w:r>
        <w:rPr/>
        <w:t>geschieht</w:t>
      </w:r>
      <w:r>
        <w:rPr>
          <w:b/>
          <w:color w:val="808080"/>
        </w:rPr>
        <w:t>]</w:t>
      </w:r>
      <w:r>
        <w:rPr/>
        <w:t xml:space="preserve">!“ Und </w:t>
      </w:r>
      <w:r>
        <w:rPr>
          <w:color w:val="808080"/>
        </w:rPr>
        <w:t>(also)</w:t>
      </w:r>
      <w:r>
        <w:rPr/>
        <w:t xml:space="preserve"> sie warfen Lose und das Los fiel auf Jona.{{field-off:bible}} </w:t>
        <w:br/>
        <w:t>[[@BibleTOBIBLE:Jon 1:8]]</w:t>
      </w:r>
      <w:r>
        <w:rPr>
          <w:b/>
        </w:rPr>
        <w:t>8</w:t>
      </w:r>
      <w:r>
        <w:rPr/>
        <w:t xml:space="preserve"> {{field-on:bible}}Da sagten sie zu ihm: „Sag uns doch, wie es kommt, dass uns so ein Unheil </w:t>
      </w:r>
      <w:r>
        <w:rPr>
          <w:b/>
          <w:color w:val="808080"/>
        </w:rPr>
        <w:t>[</w:t>
      </w:r>
      <w:r>
        <w:rPr/>
        <w:t>geschieht</w:t>
      </w:r>
      <w:r>
        <w:rPr>
          <w:b/>
          <w:color w:val="808080"/>
        </w:rPr>
        <w:t>]</w:t>
      </w:r>
      <w:r>
        <w:rPr/>
        <w:t xml:space="preserve">! Was </w:t>
      </w:r>
      <w:r>
        <w:rPr>
          <w:b/>
          <w:color w:val="808080"/>
        </w:rPr>
        <w:t>[</w:t>
      </w:r>
      <w:r>
        <w:rPr/>
        <w:t>ist</w:t>
      </w:r>
      <w:r>
        <w:rPr>
          <w:b/>
          <w:color w:val="808080"/>
        </w:rPr>
        <w:t>]</w:t>
      </w:r>
      <w:r>
        <w:rPr/>
        <w:t xml:space="preserve"> dein Beruf</w:t>
      </w:r>
      <w:r>
        <w:rPr>
          <w:rStyle w:val="Funotenanker"/>
        </w:rPr>
        <w:footnoteReference w:customMarkFollows="1" w:id="1034"/>
        <w:t>s</w:t>
      </w:r>
      <w:r>
        <w:rPr/>
        <w:t xml:space="preserve"> und woher kommst du? Was </w:t>
      </w:r>
      <w:r>
        <w:rPr>
          <w:b/>
          <w:color w:val="808080"/>
        </w:rPr>
        <w:t>[</w:t>
      </w:r>
      <w:r>
        <w:rPr/>
        <w:t>ist</w:t>
      </w:r>
      <w:r>
        <w:rPr>
          <w:b/>
          <w:color w:val="808080"/>
        </w:rPr>
        <w:t>]</w:t>
      </w:r>
      <w:r>
        <w:rPr/>
        <w:t xml:space="preserve"> dein Land und von welchem Volk </w:t>
      </w:r>
      <w:r>
        <w:rPr>
          <w:b/>
          <w:color w:val="808080"/>
        </w:rPr>
        <w:t>[</w:t>
      </w:r>
      <w:r>
        <w:rPr/>
        <w:t>bist</w:t>
      </w:r>
      <w:r>
        <w:rPr>
          <w:b/>
          <w:color w:val="808080"/>
        </w:rPr>
        <w:t>]</w:t>
      </w:r>
      <w:r>
        <w:rPr/>
        <w:t xml:space="preserve"> du?“{{field-off:bible}} </w:t>
        <w:br/>
        <w:t>[[@BibleTOBIBLE:Jon 1:9]]</w:t>
      </w:r>
      <w:r>
        <w:rPr>
          <w:b/>
        </w:rPr>
        <w:t>9</w:t>
      </w:r>
      <w:r>
        <w:rPr/>
        <w:t xml:space="preserve"> {{field-on:bible}}Da entgegnete </w:t>
      </w:r>
      <w:r>
        <w:rPr>
          <w:color w:val="808080"/>
        </w:rPr>
        <w:t>(sagte)</w:t>
      </w:r>
      <w:r>
        <w:rPr/>
        <w:t xml:space="preserve"> er </w:t>
      </w:r>
      <w:r>
        <w:rPr>
          <w:strike/>
          <w:color w:val="808080"/>
        </w:rPr>
        <w:t>{zu ihnen}</w:t>
      </w:r>
      <w:r>
        <w:rPr/>
        <w:t xml:space="preserve">: „Ich </w:t>
      </w:r>
      <w:r>
        <w:rPr>
          <w:b/>
          <w:color w:val="808080"/>
        </w:rPr>
        <w:t>[</w:t>
      </w:r>
      <w:r>
        <w:rPr/>
        <w:t>bin</w:t>
      </w:r>
      <w:r>
        <w:rPr>
          <w:b/>
          <w:color w:val="808080"/>
        </w:rPr>
        <w:t>]</w:t>
      </w:r>
      <w:r>
        <w:rPr/>
        <w:t xml:space="preserve"> ein Hebräer und verehre </w:t>
      </w:r>
      <w:r>
        <w:rPr>
          <w:color w:val="808080"/>
        </w:rPr>
        <w:t>(fürchte)</w:t>
      </w:r>
      <w:r>
        <w:rPr/>
        <w:t xml:space="preserve"> </w:t>
      </w:r>
      <w:r>
        <w:rPr>
          <w:smallCaps/>
          <w:color w:val="FF0000"/>
        </w:rPr>
        <w:t>JHWH</w:t>
      </w:r>
      <w:r>
        <w:rPr/>
        <w:t>, den Gott des Himmels</w:t>
      </w:r>
      <w:r>
        <w:rPr>
          <w:rStyle w:val="Funotenanker"/>
        </w:rPr>
        <w:footnoteReference w:customMarkFollows="1" w:id="1035"/>
        <w:t>t</w:t>
      </w:r>
      <w:r>
        <w:rPr/>
        <w:t xml:space="preserve">, der das Meer und das Land </w:t>
      </w:r>
      <w:r>
        <w:rPr>
          <w:color w:val="808080"/>
        </w:rPr>
        <w:t>(Festland)</w:t>
      </w:r>
      <w:r>
        <w:rPr/>
        <w:t xml:space="preserve"> erschaffen hat.“{{field-off:bible}} </w:t>
        <w:br/>
        <w:t>[[@BibleTOBIBLE:Jon 1:10]]</w:t>
      </w:r>
      <w:r>
        <w:rPr>
          <w:b/>
        </w:rPr>
        <w:t>10</w:t>
      </w:r>
      <w:r>
        <w:rPr/>
        <w:t xml:space="preserve"> {{field-on:bible}}Da gerieten die Männer in große Furcht</w:t>
      </w:r>
      <w:r>
        <w:rPr>
          <w:rStyle w:val="Funotenanker"/>
        </w:rPr>
        <w:footnoteReference w:customMarkFollows="1" w:id="1036"/>
        <w:t>u</w:t>
      </w:r>
      <w:r>
        <w:rPr/>
        <w:t xml:space="preserve"> und sagten zu ihm: „Warum hast du das getan?“ Denn die Männer wussten, dass er ''vor </w:t>
      </w:r>
      <w:r>
        <w:rPr>
          <w:smallCaps/>
          <w:color w:val="FF0000"/>
        </w:rPr>
        <w:t>JHWH</w:t>
      </w:r>
      <w:r>
        <w:rPr/>
        <w:t>''</w:t>
      </w:r>
      <w:r>
        <w:rPr>
          <w:rStyle w:val="Funotenanker"/>
        </w:rPr>
        <w:footnoteReference w:customMarkFollows="1" w:id="1037"/>
        <w:t>v</w:t>
      </w:r>
      <w:r>
        <w:rPr/>
        <w:t xml:space="preserve"> auf der Flucht war, weil er </w:t>
      </w:r>
      <w:r>
        <w:rPr>
          <w:b/>
          <w:color w:val="808080"/>
        </w:rPr>
        <w:t>[</w:t>
      </w:r>
      <w:r>
        <w:rPr/>
        <w:t>es</w:t>
      </w:r>
      <w:r>
        <w:rPr>
          <w:b/>
          <w:color w:val="808080"/>
        </w:rPr>
        <w:t>]</w:t>
      </w:r>
      <w:r>
        <w:rPr/>
        <w:t xml:space="preserve"> ihnen erzählt hatte.</w:t>
      </w:r>
      <w:r>
        <w:rPr>
          <w:rStyle w:val="Funotenanker"/>
        </w:rPr>
        <w:footnoteReference w:customMarkFollows="1" w:id="1038"/>
        <w:t>w</w:t>
      </w:r>
      <w:r>
        <w:rPr/>
        <w:t xml:space="preserve"> {{field-off:bible}} </w:t>
        <w:br/>
        <w:t>[[@BibleTOBIBLE:Jon 1:11]]</w:t>
      </w:r>
      <w:r>
        <w:rPr>
          <w:b/>
        </w:rPr>
        <w:t>11</w:t>
      </w:r>
      <w:r>
        <w:rPr/>
        <w:t xml:space="preserve"> {{field-on:bible}}Da </w:t>
      </w:r>
      <w:r>
        <w:rPr>
          <w:color w:val="808080"/>
        </w:rPr>
        <w:t>(also)</w:t>
      </w:r>
      <w:r>
        <w:rPr/>
        <w:t xml:space="preserve"> sagten sie zu ihm: „Was müssen wir mit dir tun, damit das Meer sich beruhigt </w:t>
      </w:r>
      <w:r>
        <w:rPr>
          <w:b/>
          <w:color w:val="808080"/>
        </w:rPr>
        <w:t>[</w:t>
      </w:r>
      <w:r>
        <w:rPr/>
        <w:t>und</w:t>
      </w:r>
      <w:r>
        <w:rPr>
          <w:b/>
          <w:color w:val="808080"/>
        </w:rPr>
        <w:t>]</w:t>
      </w:r>
      <w:r>
        <w:rPr/>
        <w:t xml:space="preserve"> von uns </w:t>
      </w:r>
      <w:r>
        <w:rPr>
          <w:b/>
          <w:color w:val="808080"/>
        </w:rPr>
        <w:t>[</w:t>
      </w:r>
      <w:r>
        <w:rPr/>
        <w:t>ablässt</w:t>
      </w:r>
      <w:r>
        <w:rPr>
          <w:b/>
          <w:color w:val="808080"/>
        </w:rPr>
        <w:t>]</w:t>
      </w:r>
      <w:r>
        <w:rPr/>
        <w:t>?“ Denn das Meer stürmte immer heftiger</w:t>
      </w:r>
      <w:r>
        <w:rPr>
          <w:rStyle w:val="Funotenanker"/>
        </w:rPr>
        <w:footnoteReference w:customMarkFollows="1" w:id="1039"/>
        <w:t>x</w:t>
      </w:r>
      <w:r>
        <w:rPr/>
        <w:t xml:space="preserve">.{{field-off:bible}} </w:t>
        <w:br/>
        <w:t>[[@BibleTOBIBLE:Jon 1:12]]</w:t>
      </w:r>
      <w:r>
        <w:rPr>
          <w:b/>
        </w:rPr>
        <w:t>12</w:t>
      </w:r>
      <w:r>
        <w:rPr/>
        <w:t xml:space="preserve"> {{field-on:bible}}Da sagte er zu ihnen: „Ergreift mich und werft mich ins Meer, dann wird das Meer sich beruhigen </w:t>
      </w:r>
      <w:r>
        <w:rPr>
          <w:b/>
          <w:color w:val="808080"/>
        </w:rPr>
        <w:t>[</w:t>
      </w:r>
      <w:r>
        <w:rPr/>
        <w:t>und</w:t>
      </w:r>
      <w:r>
        <w:rPr>
          <w:b/>
          <w:color w:val="808080"/>
        </w:rPr>
        <w:t>]</w:t>
      </w:r>
      <w:r>
        <w:rPr/>
        <w:t xml:space="preserve"> von euch </w:t>
      </w:r>
      <w:r>
        <w:rPr>
          <w:b/>
          <w:color w:val="808080"/>
        </w:rPr>
        <w:t>[</w:t>
      </w:r>
      <w:r>
        <w:rPr/>
        <w:t>ablassen</w:t>
      </w:r>
      <w:r>
        <w:rPr>
          <w:b/>
          <w:color w:val="808080"/>
        </w:rPr>
        <w:t>]</w:t>
      </w:r>
      <w:r>
        <w:rPr/>
        <w:t xml:space="preserve">! Denn ich weiß, dass dieser große Sturm meinetwegen über euch </w:t>
      </w:r>
      <w:r>
        <w:rPr>
          <w:b/>
          <w:color w:val="808080"/>
        </w:rPr>
        <w:t>[</w:t>
      </w:r>
      <w:r>
        <w:rPr/>
        <w:t>gekommen ist</w:t>
      </w:r>
      <w:r>
        <w:rPr>
          <w:b/>
          <w:color w:val="808080"/>
        </w:rPr>
        <w:t>]</w:t>
      </w:r>
      <w:r>
        <w:rPr/>
        <w:t xml:space="preserve">.“{{field-off:bible}} </w:t>
        <w:br/>
        <w:t>[[@BibleTOBIBLE:Jon 1:13]]</w:t>
      </w:r>
      <w:r>
        <w:rPr>
          <w:b/>
        </w:rPr>
        <w:t>13</w:t>
      </w:r>
      <w:r>
        <w:rPr/>
        <w:t xml:space="preserve"> {{field-on:bible}}Stattdessen </w:t>
      </w:r>
      <w:r>
        <w:rPr>
          <w:color w:val="808080"/>
        </w:rPr>
        <w:t>(und)</w:t>
      </w:r>
      <w:r>
        <w:rPr/>
        <w:t xml:space="preserve"> ruderten die Männer mit aller Kraft</w:t>
      </w:r>
      <w:r>
        <w:rPr>
          <w:rStyle w:val="Funotenanker"/>
        </w:rPr>
        <w:footnoteReference w:customMarkFollows="1" w:id="1040"/>
        <w:t>y</w:t>
      </w:r>
      <w:r>
        <w:rPr/>
        <w:t xml:space="preserve">, um zurück ans Festland zu kommen </w:t>
      </w:r>
      <w:r>
        <w:rPr>
          <w:color w:val="808080"/>
        </w:rPr>
        <w:t>(</w:t>
      </w:r>
      <w:r>
        <w:rPr>
          <w:b/>
          <w:color w:val="808080"/>
        </w:rPr>
        <w:t>[</w:t>
      </w:r>
      <w:r>
        <w:rPr>
          <w:color w:val="808080"/>
        </w:rPr>
        <w:t>das Schiff</w:t>
      </w:r>
      <w:r>
        <w:rPr>
          <w:b/>
          <w:color w:val="808080"/>
        </w:rPr>
        <w:t>]</w:t>
      </w:r>
      <w:r>
        <w:rPr>
          <w:color w:val="808080"/>
        </w:rPr>
        <w:t xml:space="preserve"> zurück ... zu bringen)</w:t>
      </w:r>
      <w:r>
        <w:rPr/>
        <w:t xml:space="preserve">, aber sie schafften </w:t>
      </w:r>
      <w:r>
        <w:rPr>
          <w:b/>
          <w:color w:val="808080"/>
        </w:rPr>
        <w:t>[</w:t>
      </w:r>
      <w:r>
        <w:rPr/>
        <w:t>es</w:t>
      </w:r>
      <w:r>
        <w:rPr>
          <w:b/>
          <w:color w:val="808080"/>
        </w:rPr>
        <w:t>]</w:t>
      </w:r>
      <w:r>
        <w:rPr/>
        <w:t xml:space="preserve"> nicht, denn das Meer stürmte immer heftiger auf sie ein.{{field-off:bible}} </w:t>
        <w:br/>
        <w:t>[[@BibleTOBIBLE:Jon 1:14]]</w:t>
      </w:r>
      <w:r>
        <w:rPr>
          <w:b/>
        </w:rPr>
        <w:t>14</w:t>
      </w:r>
      <w:r>
        <w:rPr/>
        <w:t xml:space="preserve"> {{field-on:bible}}Da schrien sie zu </w:t>
      </w:r>
      <w:r>
        <w:rPr>
          <w:smallCaps/>
          <w:color w:val="FF0000"/>
        </w:rPr>
        <w:t>JHWH</w:t>
      </w:r>
      <w:r>
        <w:rPr/>
        <w:t xml:space="preserve"> </w:t>
      </w:r>
      <w:r>
        <w:rPr>
          <w:strike/>
          <w:color w:val="808080"/>
        </w:rPr>
        <w:t>{und sprachen}</w:t>
      </w:r>
      <w:r>
        <w:rPr/>
        <w:t xml:space="preserve">: „Bitte </w:t>
      </w:r>
      <w:r>
        <w:rPr>
          <w:color w:val="808080"/>
        </w:rPr>
        <w:t>(Ach)</w:t>
      </w:r>
      <w:r>
        <w:rPr/>
        <w:t xml:space="preserve">, </w:t>
      </w:r>
      <w:r>
        <w:rPr>
          <w:smallCaps/>
          <w:color w:val="FF0000"/>
        </w:rPr>
        <w:t>JHWH</w:t>
      </w:r>
      <w:r>
        <w:rPr/>
        <w:t xml:space="preserve">, wir wollen doch nicht umkommen wegen des Lebens </w:t>
      </w:r>
      <w:r>
        <w:rPr>
          <w:color w:val="808080"/>
        </w:rPr>
        <w:t>(der Seele)</w:t>
      </w:r>
      <w:r>
        <w:rPr/>
        <w:t xml:space="preserve"> dieses Mannes! </w:t>
      </w:r>
      <w:r>
        <w:rPr>
          <w:strike/>
          <w:color w:val="808080"/>
        </w:rPr>
        <w:t>{und}</w:t>
      </w:r>
      <w:r>
        <w:rPr/>
        <w:t xml:space="preserve"> Rechne uns kein unschuldiges Blut</w:t>
      </w:r>
      <w:r>
        <w:rPr>
          <w:rStyle w:val="Funotenanker"/>
        </w:rPr>
        <w:footnoteReference w:customMarkFollows="1" w:id="1041"/>
        <w:t>z</w:t>
      </w:r>
      <w:r>
        <w:rPr/>
        <w:t xml:space="preserve"> an, denn ''du'', </w:t>
      </w:r>
      <w:r>
        <w:rPr>
          <w:color w:val="808080"/>
        </w:rPr>
        <w:t xml:space="preserve">(denn du </w:t>
      </w:r>
      <w:r>
        <w:rPr>
          <w:b/>
          <w:color w:val="808080"/>
        </w:rPr>
        <w:t>[</w:t>
      </w:r>
      <w:r>
        <w:rPr>
          <w:color w:val="808080"/>
        </w:rPr>
        <w:t>bist</w:t>
      </w:r>
      <w:r>
        <w:rPr>
          <w:b/>
          <w:color w:val="808080"/>
        </w:rPr>
        <w:t>]</w:t>
      </w:r>
      <w:r>
        <w:rPr>
          <w:color w:val="808080"/>
        </w:rPr>
        <w:t>)</w:t>
      </w:r>
      <w:r>
        <w:rPr/>
        <w:t xml:space="preserve"> </w:t>
      </w:r>
      <w:r>
        <w:rPr>
          <w:smallCaps/>
          <w:color w:val="FF0000"/>
        </w:rPr>
        <w:t>JHWH</w:t>
      </w:r>
      <w:r>
        <w:rPr/>
        <w:t xml:space="preserve">, tust </w:t>
      </w:r>
      <w:r>
        <w:rPr>
          <w:color w:val="808080"/>
        </w:rPr>
        <w:t>(hast du getan)</w:t>
      </w:r>
      <w:r>
        <w:rPr/>
        <w:t xml:space="preserve">, wie es dir gefällt </w:t>
      </w:r>
      <w:r>
        <w:rPr>
          <w:color w:val="808080"/>
        </w:rPr>
        <w:t>(gefallen hat)</w:t>
      </w:r>
      <w:r>
        <w:rPr/>
        <w:t xml:space="preserve">!“{{field-off:bible}} </w:t>
        <w:br/>
        <w:t>[[@BibleTOBIBLE:Jon 1:15]]</w:t>
      </w:r>
      <w:r>
        <w:rPr>
          <w:b/>
        </w:rPr>
        <w:t>15</w:t>
      </w:r>
      <w:r>
        <w:rPr/>
        <w:t xml:space="preserve"> {{field-on:bible}}Da ergriffen sie Jona und warfen ihn ins Meer, und das Meer beruhigte sich von seinem Toben,{{field-off:bible}} </w:t>
        <w:br/>
        <w:t>[[@BibleTOBIBLE:Jon 1:16]]</w:t>
      </w:r>
      <w:r>
        <w:rPr>
          <w:b/>
        </w:rPr>
        <w:t>16</w:t>
      </w:r>
      <w:r>
        <w:rPr/>
        <w:t xml:space="preserve"> {{field-on:bible}}und die Männer gerieten in große Furcht </w:t>
      </w:r>
      <w:r>
        <w:rPr>
          <w:color w:val="808080"/>
        </w:rPr>
        <w:t>(Ehrfurcht)</w:t>
      </w:r>
      <w:r>
        <w:rPr/>
        <w:t xml:space="preserve"> vor </w:t>
      </w:r>
      <w:r>
        <w:rPr>
          <w:smallCaps/>
          <w:color w:val="FF0000"/>
        </w:rPr>
        <w:t>JHWH</w:t>
      </w:r>
      <w:r>
        <w:rPr/>
        <w:t xml:space="preserve">, sodass </w:t>
      </w:r>
      <w:r>
        <w:rPr>
          <w:color w:val="808080"/>
        </w:rPr>
        <w:t>(und)</w:t>
      </w:r>
      <w:r>
        <w:rPr/>
        <w:t xml:space="preserve"> sie </w:t>
      </w:r>
      <w:r>
        <w:rPr>
          <w:smallCaps/>
          <w:color w:val="FF0000"/>
        </w:rPr>
        <w:t>JHWH</w:t>
      </w:r>
      <w:r>
        <w:rPr/>
        <w:t xml:space="preserve"> ein Opfer darbrachten und Gelübde ablegten.</w:t>
      </w:r>
      <w:r>
        <w:rPr>
          <w:rStyle w:val="Funotenanker"/>
        </w:rPr>
        <w:footnoteReference w:customMarkFollows="1" w:id="1042"/>
        <w:t>aa</w:t>
      </w:r>
      <w:r>
        <w:rPr/>
        <w:t xml:space="preserve"> {{field-off:bible}} </w:t>
      </w:r>
    </w:p>
    <w:p>
      <w:pPr>
        <w:pStyle w:val="Berschrift2"/>
        <w:rPr/>
      </w:pPr>
      <w:r>
        <w:rPr/>
        <w:t>[[@BibleTOBIBLE:Mic]]Micha</w:t>
      </w:r>
    </w:p>
    <w:p>
      <w:pPr>
        <w:pStyle w:val="Berschrift3"/>
        <w:rPr/>
      </w:pPr>
      <w:r>
        <w:rPr/>
        <w:t>[[@BibleTOBIBLE:Mic 4]]Kapitel 4</w:t>
      </w:r>
    </w:p>
    <w:p>
      <w:pPr>
        <w:pStyle w:val="Textkrper"/>
        <w:rPr/>
      </w:pPr>
      <w:r>
        <w:rPr/>
        <w:br/>
        <w:t>[[@BibleTOBIBLE:Mic 4:1]]</w:t>
      </w:r>
      <w:r>
        <w:rPr>
          <w:b/>
        </w:rPr>
        <w:t>1</w:t>
      </w:r>
      <w:r>
        <w:rPr/>
        <w:t xml:space="preserve"> {{field-on:bible}} </w:t>
      </w:r>
      <w:r>
        <w:rPr>
          <w:rStyle w:val="Funotenanker"/>
        </w:rPr>
        <w:footnoteReference w:customMarkFollows="1" w:id="1043"/>
        <w:t>Status</w:t>
      </w:r>
      <w:r>
        <w:rPr/>
        <w:t xml:space="preserve"> Und es wird in zukünftigen </w:t>
      </w:r>
      <w:r>
        <w:rPr>
          <w:color w:val="808080"/>
        </w:rPr>
        <w:t>(späteren, letzten)</w:t>
      </w:r>
      <w:r>
        <w:rPr/>
        <w:t xml:space="preserve"> Tagen </w:t>
      </w:r>
      <w:r>
        <w:rPr>
          <w:color w:val="808080"/>
        </w:rPr>
        <w:t>(zu einer späteren Zeit, am Ende der Zeit)</w:t>
      </w:r>
      <w:r>
        <w:rPr/>
        <w:t xml:space="preserve"> </w:t>
      </w:r>
      <w:r>
        <w:rPr>
          <w:rStyle w:val="Funotenanker"/>
        </w:rPr>
        <w:footnoteReference w:customMarkFollows="1" w:id="1044"/>
        <w:t>a</w:t>
      </w:r>
      <w:r>
        <w:rPr/>
        <w:t xml:space="preserve"> geschehen: Der Berg </w:t>
      </w:r>
      <w:r>
        <w:rPr>
          <w:b/>
          <w:color w:val="808080"/>
        </w:rPr>
        <w:t>[</w:t>
      </w:r>
      <w:r>
        <w:rPr/>
        <w:t>mit dem</w:t>
      </w:r>
      <w:r>
        <w:rPr>
          <w:b/>
          <w:color w:val="808080"/>
        </w:rPr>
        <w:t>]</w:t>
      </w:r>
      <w:r>
        <w:rPr/>
        <w:t xml:space="preserve"> Haus</w:t>
      </w:r>
      <w:r>
        <w:rPr>
          <w:rStyle w:val="Funotenanker"/>
        </w:rPr>
        <w:footnoteReference w:customMarkFollows="1" w:id="1045"/>
        <w:t>b</w:t>
      </w:r>
      <w:r>
        <w:rPr/>
        <w:t xml:space="preserve"> </w:t>
      </w:r>
      <w:r>
        <w:rPr>
          <w:smallCaps/>
          <w:color w:val="FF0000"/>
        </w:rPr>
        <w:t>JHWH</w:t>
      </w:r>
      <w:r>
        <w:rPr/>
        <w:t xml:space="preserve">s wird als Herausragender </w:t>
      </w:r>
      <w:r>
        <w:rPr>
          <w:color w:val="808080"/>
        </w:rPr>
        <w:t>(Wichtigster, Höchster, Gipfel, Anführer)</w:t>
      </w:r>
      <w:r>
        <w:rPr/>
        <w:t xml:space="preserve"> der Berge</w:t>
      </w:r>
      <w:r>
        <w:rPr>
          <w:rStyle w:val="Funotenanker"/>
        </w:rPr>
        <w:footnoteReference w:customMarkFollows="1" w:id="1046"/>
        <w:t>c</w:t>
      </w:r>
      <w:r>
        <w:rPr/>
        <w:t xml:space="preserve"> gefestigt sein </w:t>
      </w:r>
      <w:r>
        <w:rPr>
          <w:color w:val="808080"/>
        </w:rPr>
        <w:t>(feststehen, festgelegt/eingesetzt sein)</w:t>
      </w:r>
      <w:r>
        <w:rPr/>
        <w:t xml:space="preserve"> </w:t>
      </w:r>
      <w:r>
        <w:rPr>
          <w:rStyle w:val="Funotenanker"/>
        </w:rPr>
        <w:footnoteReference w:customMarkFollows="1" w:id="1047"/>
        <w:t>d</w:t>
      </w:r>
      <w:r>
        <w:rPr/>
        <w:t xml:space="preserve"> und höher </w:t>
      </w:r>
      <w:r>
        <w:rPr>
          <w:b/>
          <w:color w:val="808080"/>
        </w:rPr>
        <w:t>[</w:t>
      </w:r>
      <w:r>
        <w:rPr/>
        <w:t>wird</w:t>
      </w:r>
      <w:r>
        <w:rPr>
          <w:b/>
          <w:color w:val="808080"/>
        </w:rPr>
        <w:t>]</w:t>
      </w:r>
      <w:r>
        <w:rPr/>
        <w:t xml:space="preserve"> er sein </w:t>
      </w:r>
      <w:r>
        <w:rPr>
          <w:color w:val="808080"/>
        </w:rPr>
        <w:t>(erhöht werden)</w:t>
      </w:r>
      <w:r>
        <w:rPr/>
        <w:t xml:space="preserve"> als </w:t>
      </w:r>
      <w:r>
        <w:rPr>
          <w:b/>
          <w:color w:val="808080"/>
        </w:rPr>
        <w:t>[</w:t>
      </w:r>
      <w:r>
        <w:rPr/>
        <w:t>die</w:t>
      </w:r>
      <w:r>
        <w:rPr>
          <w:b/>
          <w:color w:val="808080"/>
        </w:rPr>
        <w:t>]</w:t>
      </w:r>
      <w:r>
        <w:rPr/>
        <w:t xml:space="preserve"> Hügel. Und </w:t>
      </w:r>
      <w:r>
        <w:rPr>
          <w:color w:val="808080"/>
        </w:rPr>
        <w:t>(dann)</w:t>
      </w:r>
      <w:r>
        <w:rPr/>
        <w:t xml:space="preserve"> Völker werden auf </w:t>
      </w:r>
      <w:r>
        <w:rPr>
          <w:color w:val="808080"/>
        </w:rPr>
        <w:t>(zu)</w:t>
      </w:r>
      <w:r>
        <w:rPr/>
        <w:t xml:space="preserve"> ihn strömen </w:t>
      </w:r>
      <w:r>
        <w:rPr>
          <w:color w:val="808080"/>
        </w:rPr>
        <w:t>(sehen)</w:t>
      </w:r>
      <w:r>
        <w:rPr/>
        <w:t xml:space="preserve"> {{field-off:bible}} </w:t>
        <w:br/>
        <w:t>[[@BibleTOBIBLE:Mic 4:2]]</w:t>
      </w:r>
      <w:r>
        <w:rPr>
          <w:b/>
        </w:rPr>
        <w:t>2</w:t>
      </w:r>
      <w:r>
        <w:rPr/>
        <w:t xml:space="preserve"> {{field-on:bible}}und große </w:t>
      </w:r>
      <w:r>
        <w:rPr>
          <w:color w:val="808080"/>
        </w:rPr>
        <w:t>(viele)</w:t>
      </w:r>
      <w:r>
        <w:rPr/>
        <w:t xml:space="preserve"> Nationen </w:t>
      </w:r>
      <w:r>
        <w:rPr>
          <w:color w:val="808080"/>
        </w:rPr>
        <w:t>(Völker)</w:t>
      </w:r>
      <w:r>
        <w:rPr/>
        <w:t xml:space="preserve"> werden kommen und sagen: „Kommt, </w:t>
      </w:r>
      <w:r>
        <w:rPr>
          <w:strike/>
          <w:color w:val="808080"/>
        </w:rPr>
        <w:t>{und}</w:t>
      </w:r>
      <w:r>
        <w:rPr/>
        <w:t xml:space="preserve"> lasst uns doch zum Berg </w:t>
      </w:r>
      <w:r>
        <w:rPr>
          <w:smallCaps/>
          <w:color w:val="FF0000"/>
        </w:rPr>
        <w:t>JHWH</w:t>
      </w:r>
      <w:r>
        <w:rPr/>
        <w:t xml:space="preserve">s hinaufgehen </w:t>
      </w:r>
      <w:r>
        <w:rPr>
          <w:color w:val="808080"/>
        </w:rPr>
        <w:t>(hinaufziehen; pilgern)</w:t>
      </w:r>
      <w:r>
        <w:rPr/>
        <w:t xml:space="preserve"> und zum Haus von Jakobs Gott, damit </w:t>
      </w:r>
      <w:r>
        <w:rPr>
          <w:color w:val="808080"/>
        </w:rPr>
        <w:t>(und)</w:t>
      </w:r>
      <w:r>
        <w:rPr/>
        <w:t xml:space="preserve"> er uns anhand seiner </w:t>
      </w:r>
      <w:r>
        <w:rPr>
          <w:color w:val="808080"/>
        </w:rPr>
        <w:t>(etwas von seinen)</w:t>
      </w:r>
      <w:r>
        <w:rPr/>
        <w:t xml:space="preserve"> Wege unterweist </w:t>
      </w:r>
      <w:r>
        <w:rPr>
          <w:color w:val="808080"/>
        </w:rPr>
        <w:t>(lehrt, zeigt)</w:t>
      </w:r>
      <w:r>
        <w:rPr/>
        <w:t xml:space="preserve"> und </w:t>
      </w:r>
      <w:r>
        <w:rPr>
          <w:color w:val="808080"/>
        </w:rPr>
        <w:t>(sodass)</w:t>
      </w:r>
      <w:r>
        <w:rPr/>
        <w:t xml:space="preserve"> wir nach seiner Art leben </w:t>
      </w:r>
      <w:r>
        <w:rPr>
          <w:color w:val="808080"/>
        </w:rPr>
        <w:t>(auf seinen Pfaden gehen/wandeln)</w:t>
      </w:r>
      <w:r>
        <w:rPr/>
        <w:t xml:space="preserve"> </w:t>
      </w:r>
      <w:r>
        <w:rPr>
          <w:rStyle w:val="Funotenanker"/>
        </w:rPr>
        <w:footnoteReference w:customMarkFollows="1" w:id="1048"/>
        <w:t>e</w:t>
      </w:r>
      <w:r>
        <w:rPr/>
        <w:t xml:space="preserve"> können!“</w:t>
      </w:r>
      <w:r>
        <w:rPr>
          <w:rStyle w:val="Funotenanker"/>
        </w:rPr>
        <w:footnoteReference w:customMarkFollows="1" w:id="1049"/>
        <w:t>f</w:t>
      </w:r>
      <w:r>
        <w:rPr/>
        <w:t xml:space="preserve"> Denn </w:t>
      </w:r>
      <w:r>
        <w:rPr>
          <w:color w:val="808080"/>
        </w:rPr>
        <w:t>(ja)</w:t>
      </w:r>
      <w:r>
        <w:rPr/>
        <w:t xml:space="preserve"> von Zion her wird Weisung </w:t>
      </w:r>
      <w:r>
        <w:rPr>
          <w:color w:val="808080"/>
        </w:rPr>
        <w:t>(Tora)</w:t>
      </w:r>
      <w:r>
        <w:rPr/>
        <w:t xml:space="preserve"> ausgehen </w:t>
      </w:r>
      <w:r>
        <w:rPr>
          <w:color w:val="808080"/>
        </w:rPr>
        <w:t>(kommen)</w:t>
      </w:r>
      <w:r>
        <w:rPr/>
        <w:t xml:space="preserve"> und </w:t>
      </w:r>
      <w:r>
        <w:rPr>
          <w:smallCaps/>
          <w:color w:val="FF0000"/>
        </w:rPr>
        <w:t>JHWH</w:t>
      </w:r>
      <w:r>
        <w:rPr/>
        <w:t xml:space="preserve">s Botschaft </w:t>
      </w:r>
      <w:r>
        <w:rPr>
          <w:color w:val="808080"/>
        </w:rPr>
        <w:t>(Wort)</w:t>
      </w:r>
      <w:r>
        <w:rPr/>
        <w:t xml:space="preserve"> von Jerusalem her.{{field-off:bible}} </w:t>
        <w:br/>
        <w:t>[[@BibleTOBIBLE:Mic 4:3]]</w:t>
      </w:r>
      <w:r>
        <w:rPr>
          <w:b/>
        </w:rPr>
        <w:t>3</w:t>
      </w:r>
      <w:r>
        <w:rPr/>
        <w:t xml:space="preserve"> {{field-on:bible}}Dann </w:t>
      </w:r>
      <w:r>
        <w:rPr>
          <w:color w:val="808080"/>
        </w:rPr>
        <w:t>(und)</w:t>
      </w:r>
      <w:r>
        <w:rPr/>
        <w:t xml:space="preserve"> wird er zwischen großen </w:t>
      </w:r>
      <w:r>
        <w:rPr>
          <w:color w:val="808080"/>
        </w:rPr>
        <w:t>(vielen)</w:t>
      </w:r>
      <w:r>
        <w:rPr/>
        <w:t xml:space="preserve"> Völkern schlichten </w:t>
      </w:r>
      <w:r>
        <w:rPr>
          <w:color w:val="808080"/>
        </w:rPr>
        <w:t>(Recht sprechen, Richter sein)</w:t>
      </w:r>
      <w:r>
        <w:rPr/>
        <w:t xml:space="preserve"> und für mächtige Nationen </w:t>
      </w:r>
      <w:r>
        <w:rPr>
          <w:color w:val="808080"/>
        </w:rPr>
        <w:t>(Völker)</w:t>
      </w:r>
      <w:r>
        <w:rPr/>
        <w:t xml:space="preserve"> weit entfernt Recht vermitteln </w:t>
      </w:r>
      <w:r>
        <w:rPr>
          <w:color w:val="808080"/>
        </w:rPr>
        <w:t>(schlichten, Recht sprechen)</w:t>
      </w:r>
      <w:r>
        <w:rPr/>
        <w:t xml:space="preserve">, so dass </w:t>
      </w:r>
      <w:r>
        <w:rPr>
          <w:color w:val="808080"/>
        </w:rPr>
        <w:t>(dann, und)</w:t>
      </w:r>
      <w:r>
        <w:rPr/>
        <w:t xml:space="preserve"> sie ihre Schwerter zu Hacken </w:t>
      </w:r>
      <w:r>
        <w:rPr>
          <w:color w:val="808080"/>
        </w:rPr>
        <w:t>(Pflugscharen, Pickeln)</w:t>
      </w:r>
      <w:r>
        <w:rPr/>
        <w:t xml:space="preserve"> hämmern </w:t>
      </w:r>
      <w:r>
        <w:rPr>
          <w:color w:val="808080"/>
        </w:rPr>
        <w:t>(umschmieden)</w:t>
      </w:r>
      <w:r>
        <w:rPr/>
        <w:t xml:space="preserve"> werden und ihre Speerspitzen </w:t>
      </w:r>
      <w:r>
        <w:rPr>
          <w:color w:val="808080"/>
        </w:rPr>
        <w:t>(Speere)</w:t>
      </w:r>
      <w:r>
        <w:rPr/>
        <w:t xml:space="preserve"> zu Winzermessern </w:t>
      </w:r>
      <w:r>
        <w:rPr>
          <w:color w:val="808080"/>
        </w:rPr>
        <w:t>(Hippen, Rebmessern, Sicheln)</w:t>
      </w:r>
      <w:r>
        <w:rPr/>
        <w:t xml:space="preserve">. Eine Nation </w:t>
      </w:r>
      <w:r>
        <w:rPr>
          <w:color w:val="808080"/>
        </w:rPr>
        <w:t>(Volk)</w:t>
      </w:r>
      <w:r>
        <w:rPr/>
        <w:t xml:space="preserve"> wird </w:t>
      </w:r>
      <w:r>
        <w:rPr>
          <w:b/>
          <w:color w:val="808080"/>
        </w:rPr>
        <w:t>[</w:t>
      </w:r>
      <w:r>
        <w:rPr/>
        <w:t>das</w:t>
      </w:r>
      <w:r>
        <w:rPr>
          <w:b/>
          <w:color w:val="808080"/>
        </w:rPr>
        <w:t>]</w:t>
      </w:r>
      <w:r>
        <w:rPr/>
        <w:t xml:space="preserve"> Schwert nicht mehr gegen eine </w:t>
      </w:r>
      <w:r>
        <w:rPr>
          <w:b/>
          <w:color w:val="808080"/>
        </w:rPr>
        <w:t>[</w:t>
      </w:r>
      <w:r>
        <w:rPr/>
        <w:t>andere</w:t>
      </w:r>
      <w:r>
        <w:rPr>
          <w:b/>
          <w:color w:val="808080"/>
        </w:rPr>
        <w:t>]</w:t>
      </w:r>
      <w:r>
        <w:rPr/>
        <w:t xml:space="preserve"> Nation </w:t>
      </w:r>
      <w:r>
        <w:rPr>
          <w:color w:val="808080"/>
        </w:rPr>
        <w:t>(Volk)</w:t>
      </w:r>
      <w:r>
        <w:rPr/>
        <w:t xml:space="preserve"> erheben</w:t>
      </w:r>
      <w:r>
        <w:rPr>
          <w:rStyle w:val="Funotenanker"/>
        </w:rPr>
        <w:footnoteReference w:customMarkFollows="1" w:id="1050"/>
        <w:t>g</w:t>
      </w:r>
      <w:r>
        <w:rPr/>
        <w:t xml:space="preserve">, und sie werden </w:t>
      </w:r>
      <w:r>
        <w:rPr>
          <w:b/>
          <w:color w:val="808080"/>
        </w:rPr>
        <w:t>[</w:t>
      </w:r>
      <w:r>
        <w:rPr/>
        <w:t>das</w:t>
      </w:r>
      <w:r>
        <w:rPr>
          <w:b/>
          <w:color w:val="808080"/>
        </w:rPr>
        <w:t>]</w:t>
      </w:r>
      <w:r>
        <w:rPr/>
        <w:t xml:space="preserve"> Kriegshandwerk </w:t>
      </w:r>
      <w:r>
        <w:rPr>
          <w:color w:val="808080"/>
        </w:rPr>
        <w:t>(Krieg)</w:t>
      </w:r>
      <w:r>
        <w:rPr/>
        <w:t xml:space="preserve"> nicht mehr lernen </w:t>
      </w:r>
      <w:r>
        <w:rPr>
          <w:color w:val="808080"/>
        </w:rPr>
        <w:t>(den Krieg nicht mehr erleben)</w:t>
      </w:r>
      <w:r>
        <w:rPr/>
        <w:t xml:space="preserve">.{{field-off:bible}} </w:t>
        <w:br/>
        <w:t>[[@BibleTOBIBLE:Mic 4:4]]</w:t>
      </w:r>
      <w:r>
        <w:rPr>
          <w:b/>
        </w:rPr>
        <w:t>4</w:t>
      </w:r>
      <w:r>
        <w:rPr/>
        <w:t xml:space="preserve"> {{field-on:bible}}Dann </w:t>
      </w:r>
      <w:r>
        <w:rPr>
          <w:color w:val="808080"/>
        </w:rPr>
        <w:t>(und)</w:t>
      </w:r>
      <w:r>
        <w:rPr/>
        <w:t xml:space="preserve"> werden sie jeder unter seinem Weinstock sitzen und unter seinem Feigenbaum, und es wird niemanden geben, der </w:t>
      </w:r>
      <w:r>
        <w:rPr>
          <w:b/>
          <w:color w:val="808080"/>
        </w:rPr>
        <w:t>[</w:t>
      </w:r>
      <w:r>
        <w:rPr/>
        <w:t>ihnen</w:t>
      </w:r>
      <w:r>
        <w:rPr>
          <w:b/>
          <w:color w:val="808080"/>
        </w:rPr>
        <w:t>]</w:t>
      </w:r>
      <w:r>
        <w:rPr/>
        <w:t xml:space="preserve"> Angst einflößt </w:t>
      </w:r>
      <w:r>
        <w:rPr>
          <w:color w:val="808080"/>
        </w:rPr>
        <w:t>(</w:t>
      </w:r>
      <w:r>
        <w:rPr>
          <w:b/>
          <w:color w:val="808080"/>
        </w:rPr>
        <w:t>[</w:t>
      </w:r>
      <w:r>
        <w:rPr>
          <w:color w:val="808080"/>
        </w:rPr>
        <w:t>sie</w:t>
      </w:r>
      <w:r>
        <w:rPr>
          <w:b/>
          <w:color w:val="808080"/>
        </w:rPr>
        <w:t>]</w:t>
      </w:r>
      <w:r>
        <w:rPr>
          <w:color w:val="808080"/>
        </w:rPr>
        <w:t xml:space="preserve"> aufstört, zum Zittern bringt)</w:t>
      </w:r>
      <w:r>
        <w:rPr/>
        <w:t xml:space="preserve"> </w:t>
      </w:r>
      <w:r>
        <w:rPr>
          <w:rStyle w:val="Funotenanker"/>
        </w:rPr>
        <w:footnoteReference w:customMarkFollows="1" w:id="1051"/>
        <w:t>h</w:t>
      </w:r>
      <w:r>
        <w:rPr/>
        <w:t xml:space="preserve">, denn </w:t>
      </w:r>
      <w:r>
        <w:rPr>
          <w:color w:val="808080"/>
        </w:rPr>
        <w:t>(wenn, ja)</w:t>
      </w:r>
      <w:r>
        <w:rPr/>
        <w:t xml:space="preserve"> der Mund </w:t>
      </w:r>
      <w:r>
        <w:rPr>
          <w:smallCaps/>
          <w:color w:val="FF0000"/>
        </w:rPr>
        <w:t>JHWH</w:t>
      </w:r>
      <w:r>
        <w:rPr/>
        <w:t xml:space="preserve">s Zebaot hat gesprochen </w:t>
      </w:r>
      <w:r>
        <w:rPr>
          <w:color w:val="808080"/>
        </w:rPr>
        <w:t>(</w:t>
      </w:r>
      <w:r>
        <w:rPr>
          <w:b/>
          <w:color w:val="808080"/>
        </w:rPr>
        <w:t>[</w:t>
      </w:r>
      <w:r>
        <w:rPr>
          <w:color w:val="808080"/>
        </w:rPr>
        <w:t>es so</w:t>
      </w:r>
      <w:r>
        <w:rPr>
          <w:b/>
          <w:color w:val="808080"/>
        </w:rPr>
        <w:t>]</w:t>
      </w:r>
      <w:r>
        <w:rPr>
          <w:color w:val="808080"/>
        </w:rPr>
        <w:t xml:space="preserve"> gesagt)</w:t>
      </w:r>
      <w:r>
        <w:rPr/>
        <w:t xml:space="preserve">.{{field-off:bible}} </w:t>
        <w:br/>
        <w:t>[[@BibleTOBIBLE:Mic 4:5]]</w:t>
      </w:r>
      <w:r>
        <w:rPr>
          <w:b/>
        </w:rPr>
        <w:t>5</w:t>
      </w:r>
      <w:r>
        <w:rPr/>
        <w:t xml:space="preserve"> {{field-on:bible}}Denn alle Völker mögen jedes im </w:t>
      </w:r>
      <w:r>
        <w:rPr>
          <w:color w:val="808080"/>
        </w:rPr>
        <w:t>(mit dem)</w:t>
      </w:r>
      <w:r>
        <w:rPr/>
        <w:t xml:space="preserve"> Namen ihres Gottes leben </w:t>
      </w:r>
      <w:r>
        <w:rPr>
          <w:color w:val="808080"/>
        </w:rPr>
        <w:t>(gehen)</w:t>
      </w:r>
      <w:r>
        <w:rPr/>
        <w:t xml:space="preserve">, aber </w:t>
      </w:r>
      <w:r>
        <w:rPr>
          <w:color w:val="808080"/>
        </w:rPr>
        <w:t>(und)</w:t>
      </w:r>
      <w:r>
        <w:rPr/>
        <w:t xml:space="preserve"> wir leben </w:t>
      </w:r>
      <w:r>
        <w:rPr>
          <w:color w:val="808080"/>
        </w:rPr>
        <w:t>(gehen; wollen/werden leben)</w:t>
      </w:r>
      <w:r>
        <w:rPr/>
        <w:t xml:space="preserve"> im </w:t>
      </w:r>
      <w:r>
        <w:rPr>
          <w:color w:val="808080"/>
        </w:rPr>
        <w:t>(mit dem)</w:t>
      </w:r>
      <w:r>
        <w:rPr/>
        <w:t xml:space="preserve"> Namen </w:t>
      </w:r>
      <w:r>
        <w:rPr>
          <w:smallCaps/>
          <w:color w:val="FF0000"/>
        </w:rPr>
        <w:t>JHWH</w:t>
      </w:r>
      <w:r>
        <w:rPr/>
        <w:t xml:space="preserve">s, unseres Gottes, für immer und ewig!{{field-off:bible}} </w:t>
        <w:br/>
        <w:t>[[@BibleTOBIBLE:Mic 4:6]]</w:t>
      </w:r>
      <w:r>
        <w:rPr>
          <w:b/>
        </w:rPr>
        <w:t>6</w:t>
      </w:r>
      <w:r>
        <w:rPr/>
        <w:t xml:space="preserve"> {{field-on:bible}}An jenem Tag, Ausspruch </w:t>
      </w:r>
      <w:r>
        <w:rPr>
          <w:smallCaps/>
          <w:color w:val="FF0000"/>
        </w:rPr>
        <w:t>JHWH</w:t>
      </w:r>
      <w:r>
        <w:rPr/>
        <w:t xml:space="preserve">s </w:t>
      </w:r>
      <w:r>
        <w:rPr>
          <w:color w:val="808080"/>
        </w:rPr>
        <w:t xml:space="preserve">(erklärt </w:t>
      </w:r>
      <w:r>
        <w:rPr>
          <w:smallCaps/>
          <w:color w:val="FF0000"/>
        </w:rPr>
        <w:t>JHWH</w:t>
      </w:r>
      <w:r>
        <w:rPr>
          <w:color w:val="808080"/>
        </w:rPr>
        <w:t>)</w:t>
      </w:r>
      <w:r>
        <w:rPr/>
        <w:t xml:space="preserve">, will </w:t>
      </w:r>
      <w:r>
        <w:rPr>
          <w:color w:val="808080"/>
        </w:rPr>
        <w:t>(werde)</w:t>
      </w:r>
      <w:r>
        <w:rPr/>
        <w:t xml:space="preserve"> ich die Hinkenden </w:t>
      </w:r>
      <w:r>
        <w:rPr>
          <w:color w:val="808080"/>
        </w:rPr>
        <w:t>(Lahmen)</w:t>
      </w:r>
      <w:r>
        <w:rPr/>
        <w:t xml:space="preserve"> zusammenführen </w:t>
      </w:r>
      <w:r>
        <w:rPr>
          <w:color w:val="808080"/>
        </w:rPr>
        <w:t>(zurückholen)</w:t>
      </w:r>
      <w:r>
        <w:rPr/>
        <w:t xml:space="preserve"> und die Vertriebenen </w:t>
      </w:r>
      <w:r>
        <w:rPr>
          <w:color w:val="808080"/>
        </w:rPr>
        <w:t>(Verstreuten, Verbannten)</w:t>
      </w:r>
      <w:r>
        <w:rPr/>
        <w:t xml:space="preserve"> </w:t>
      </w:r>
      <w:r>
        <w:rPr>
          <w:rStyle w:val="Funotenanker"/>
        </w:rPr>
        <w:footnoteReference w:customMarkFollows="1" w:id="1052"/>
        <w:t>i</w:t>
      </w:r>
      <w:r>
        <w:rPr/>
        <w:t xml:space="preserve"> sammeln</w:t>
      </w:r>
      <w:r>
        <w:rPr>
          <w:rStyle w:val="Funotenanker"/>
        </w:rPr>
        <w:footnoteReference w:customMarkFollows="1" w:id="1053"/>
        <w:t>j</w:t>
      </w:r>
      <w:r>
        <w:rPr/>
        <w:t xml:space="preserve"> sowie </w:t>
      </w:r>
      <w:r>
        <w:rPr>
          <w:color w:val="808080"/>
        </w:rPr>
        <w:t>(und)</w:t>
      </w:r>
      <w:r>
        <w:rPr/>
        <w:t xml:space="preserve"> </w:t>
      </w:r>
      <w:r>
        <w:rPr>
          <w:b/>
          <w:color w:val="808080"/>
        </w:rPr>
        <w:t>[</w:t>
      </w:r>
      <w:r>
        <w:rPr/>
        <w:t>diejenigen</w:t>
      </w:r>
      <w:r>
        <w:rPr>
          <w:b/>
          <w:color w:val="808080"/>
        </w:rPr>
        <w:t>]</w:t>
      </w:r>
      <w:r>
        <w:rPr/>
        <w:t>, denen ich Schlimmes angetan habe.</w:t>
      </w:r>
      <w:r>
        <w:rPr>
          <w:position w:val="8"/>
          <w:sz w:val="19"/>
        </w:rPr>
        <w:t>[[ ℘ &gt;&gt; BibleTOBIBLE:Mic 2:12]][[ ℘ &gt;&gt; BibleTOBIBLE:Zep 3:19]]</w:t>
      </w:r>
      <w:r>
        <w:rPr/>
        <w:t xml:space="preserve"> {{field-off:bible}} </w:t>
        <w:br/>
        <w:t>[[@BibleTOBIBLE:Mic 4:7]]</w:t>
      </w:r>
      <w:r>
        <w:rPr>
          <w:b/>
        </w:rPr>
        <w:t>7</w:t>
      </w:r>
      <w:r>
        <w:rPr/>
        <w:t xml:space="preserve"> {{field-on:bible}}Dann </w:t>
      </w:r>
      <w:r>
        <w:rPr>
          <w:color w:val="808080"/>
        </w:rPr>
        <w:t>(und)</w:t>
      </w:r>
      <w:r>
        <w:rPr/>
        <w:t xml:space="preserve"> will </w:t>
      </w:r>
      <w:r>
        <w:rPr>
          <w:color w:val="808080"/>
        </w:rPr>
        <w:t>(werde)</w:t>
      </w:r>
      <w:r>
        <w:rPr/>
        <w:t xml:space="preserve"> ich </w:t>
      </w:r>
      <w:r>
        <w:rPr>
          <w:b/>
          <w:color w:val="808080"/>
        </w:rPr>
        <w:t>[</w:t>
      </w:r>
      <w:r>
        <w:rPr/>
        <w:t>die</w:t>
      </w:r>
      <w:r>
        <w:rPr>
          <w:b/>
          <w:color w:val="808080"/>
        </w:rPr>
        <w:t>]</w:t>
      </w:r>
      <w:r>
        <w:rPr/>
        <w:t xml:space="preserve"> Humpelnden </w:t>
      </w:r>
      <w:r>
        <w:rPr>
          <w:color w:val="808080"/>
        </w:rPr>
        <w:t>(Lahmen)</w:t>
      </w:r>
      <w:r>
        <w:rPr/>
        <w:t xml:space="preserve"> zu einem Überrest machen </w:t>
      </w:r>
      <w:r>
        <w:rPr>
          <w:color w:val="808080"/>
        </w:rPr>
        <w:t>(einsetzen)</w:t>
      </w:r>
      <w:r>
        <w:rPr/>
        <w:t xml:space="preserve"> und die Entfernten </w:t>
      </w:r>
      <w:r>
        <w:rPr>
          <w:color w:val="808080"/>
        </w:rPr>
        <w:t>(Ermüdeten; Vertriebenen)</w:t>
      </w:r>
      <w:r>
        <w:rPr/>
        <w:t xml:space="preserve"> </w:t>
      </w:r>
      <w:r>
        <w:rPr>
          <w:rStyle w:val="Funotenanker"/>
        </w:rPr>
        <w:footnoteReference w:customMarkFollows="1" w:id="1054"/>
        <w:t>k</w:t>
      </w:r>
      <w:r>
        <w:rPr/>
        <w:t xml:space="preserve"> zu einer mächtigen Nation </w:t>
      </w:r>
      <w:r>
        <w:rPr>
          <w:color w:val="808080"/>
        </w:rPr>
        <w:t>(Volk)</w:t>
      </w:r>
      <w:r>
        <w:rPr/>
        <w:t xml:space="preserve"> </w:t>
      </w:r>
      <w:r>
        <w:rPr>
          <w:rStyle w:val="Funotenanker"/>
        </w:rPr>
        <w:footnoteReference w:customMarkFollows="1" w:id="1055"/>
        <w:t>l</w:t>
      </w:r>
      <w:r>
        <w:rPr/>
        <w:t>.</w:t>
      </w:r>
      <w:r>
        <w:rPr>
          <w:position w:val="8"/>
          <w:sz w:val="19"/>
        </w:rPr>
        <w:t>[[ ℘ &gt;&gt; BibleTOBIBLE:Zep 3:19]]</w:t>
      </w:r>
      <w:r>
        <w:rPr/>
        <w:t xml:space="preserve"> Und </w:t>
      </w:r>
      <w:r>
        <w:rPr>
          <w:smallCaps/>
          <w:color w:val="FF0000"/>
        </w:rPr>
        <w:t>JHWH</w:t>
      </w:r>
      <w:r>
        <w:rPr/>
        <w:t xml:space="preserve"> wird auf dem Berg Zion als König über sie herrschen von nun an und für immer </w:t>
      </w:r>
      <w:r>
        <w:rPr>
          <w:color w:val="808080"/>
        </w:rPr>
        <w:t xml:space="preserve">(bis </w:t>
      </w:r>
      <w:r>
        <w:rPr>
          <w:b/>
          <w:color w:val="808080"/>
        </w:rPr>
        <w:t>[</w:t>
      </w:r>
      <w:r>
        <w:rPr>
          <w:color w:val="808080"/>
        </w:rPr>
        <w:t>in</w:t>
      </w:r>
      <w:r>
        <w:rPr>
          <w:b/>
          <w:color w:val="808080"/>
        </w:rPr>
        <w:t>]</w:t>
      </w:r>
      <w:r>
        <w:rPr>
          <w:color w:val="808080"/>
        </w:rPr>
        <w:t xml:space="preserve"> Ewigkeit)</w:t>
      </w:r>
      <w:r>
        <w:rPr/>
        <w:t xml:space="preserve">.{{field-off:bible}} </w:t>
        <w:br/>
        <w:t>[[@BibleTOBIBLE:Mic 4:8]]</w:t>
      </w:r>
      <w:r>
        <w:rPr>
          <w:b/>
        </w:rPr>
        <w:t>8</w:t>
      </w:r>
      <w:r>
        <w:rPr/>
        <w:t xml:space="preserve"> {{field-on:bible}}Und du, Wachtturm </w:t>
      </w:r>
      <w:r>
        <w:rPr>
          <w:color w:val="808080"/>
        </w:rPr>
        <w:t>(Garten)</w:t>
      </w:r>
      <w:r>
        <w:rPr/>
        <w:t xml:space="preserve"> der Herde </w:t>
      </w:r>
      <w:r>
        <w:rPr>
          <w:color w:val="808080"/>
        </w:rPr>
        <w:t>(Migdal Eder)</w:t>
      </w:r>
      <w:r>
        <w:rPr/>
        <w:t xml:space="preserve">, Ophel </w:t>
      </w:r>
      <w:r>
        <w:rPr>
          <w:color w:val="808080"/>
        </w:rPr>
        <w:t>(Hügelfestung, Hügel)</w:t>
      </w:r>
      <w:r>
        <w:rPr/>
        <w:t xml:space="preserve">, Tochter Zions </w:t>
      </w:r>
      <w:r>
        <w:rPr>
          <w:color w:val="808080"/>
        </w:rPr>
        <w:t>(der Tochter Zions)</w:t>
      </w:r>
      <w:r>
        <w:rPr/>
        <w:t>,</w:t>
      </w:r>
      <w:r>
        <w:rPr>
          <w:rStyle w:val="Funotenanker"/>
        </w:rPr>
        <w:footnoteReference w:customMarkFollows="1" w:id="1056"/>
        <w:t>m</w:t>
      </w:r>
      <w:r>
        <w:rPr/>
        <w:t xml:space="preserve"> zu dir wird </w:t>
      </w:r>
      <w:r>
        <w:rPr>
          <w:b/>
          <w:color w:val="808080"/>
        </w:rPr>
        <w:t>[</w:t>
      </w:r>
      <w:r>
        <w:rPr/>
        <w:t>sie</w:t>
      </w:r>
      <w:r>
        <w:rPr>
          <w:b/>
          <w:color w:val="808080"/>
        </w:rPr>
        <w:t>]</w:t>
      </w:r>
      <w:r>
        <w:rPr/>
        <w:t xml:space="preserve"> gelangen, </w:t>
      </w:r>
      <w:r>
        <w:rPr>
          <w:strike/>
          <w:color w:val="808080"/>
        </w:rPr>
        <w:t>{und}</w:t>
      </w:r>
      <w:r>
        <w:rPr/>
        <w:t xml:space="preserve"> </w:t>
      </w:r>
      <w:r>
        <w:rPr>
          <w:b/>
          <w:color w:val="808080"/>
        </w:rPr>
        <w:t>[</w:t>
      </w:r>
      <w:r>
        <w:rPr/>
        <w:t>zu dir</w:t>
      </w:r>
      <w:r>
        <w:rPr>
          <w:b/>
          <w:color w:val="808080"/>
        </w:rPr>
        <w:t>]</w:t>
      </w:r>
      <w:r>
        <w:rPr/>
        <w:t xml:space="preserve"> die einstmalige </w:t>
      </w:r>
      <w:r>
        <w:rPr>
          <w:color w:val="808080"/>
        </w:rPr>
        <w:t>(frühere)</w:t>
      </w:r>
      <w:r>
        <w:rPr/>
        <w:t xml:space="preserve"> Herrschaft kommen, die Königswürde zur Tochter Jerusalems</w:t>
      </w:r>
      <w:r>
        <w:rPr>
          <w:rStyle w:val="Funotenanker"/>
        </w:rPr>
        <w:footnoteReference w:customMarkFollows="1" w:id="1057"/>
        <w:t>n</w:t>
      </w:r>
      <w:r>
        <w:rPr/>
        <w:t xml:space="preserv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1058"/>
        <w:t>Status</w:t>
      </w:r>
      <w:r>
        <w:rPr/>
        <w:t xml:space="preserve"> Und ich erhob </w:t>
      </w:r>
      <w:r>
        <w:rPr>
          <w:color w:val="808080"/>
        </w:rPr>
        <w:t>(tat auf)</w:t>
      </w:r>
      <w:r>
        <w:rPr/>
        <w:t xml:space="preserve"> meine Augen und ich sah und siehe: vier Hörner.{{field-off:bible}} </w:t>
        <w:br/>
        <w:t>[[@BibleTOBIBLE:Zec 2:2]]</w:t>
      </w:r>
      <w:r>
        <w:rPr>
          <w:b/>
        </w:rPr>
        <w:t>2</w:t>
      </w:r>
      <w:r>
        <w:rPr/>
        <w:t xml:space="preserve"> {{field-on:bible}}Und ich sprach zu dem Engel </w:t>
      </w:r>
      <w:r>
        <w:rPr>
          <w:color w:val="808080"/>
        </w:rPr>
        <w:t>(Boten)</w:t>
      </w:r>
      <w:r>
        <w:rPr/>
        <w:t xml:space="preserve">, der mit mir redete: „Was </w:t>
      </w:r>
      <w:r>
        <w:rPr>
          <w:b/>
          <w:color w:val="808080"/>
        </w:rPr>
        <w:t>[</w:t>
      </w:r>
      <w:r>
        <w:rPr/>
        <w:t>sind</w:t>
      </w:r>
      <w:r>
        <w:rPr>
          <w:b/>
          <w:color w:val="808080"/>
        </w:rPr>
        <w:t>]</w:t>
      </w:r>
      <w:r>
        <w:rPr/>
        <w:t xml:space="preserve"> diese?“ Und er sprach zu mir: „Dies </w:t>
      </w:r>
      <w:r>
        <w:rPr>
          <w:b/>
          <w:color w:val="808080"/>
        </w:rPr>
        <w:t>[</w:t>
      </w:r>
      <w:r>
        <w:rPr/>
        <w:t>sind</w:t>
      </w:r>
      <w:r>
        <w:rPr>
          <w:b/>
          <w:color w:val="808080"/>
        </w:rPr>
        <w:t>]</w:t>
      </w:r>
      <w:r>
        <w:rPr/>
        <w:t xml:space="preserve"> die Hörner, die Juda, Israel und Jerusalem zerstreut</w:t>
      </w:r>
      <w:r>
        <w:rPr>
          <w:rStyle w:val="Funotenanker"/>
        </w:rPr>
        <w:footnoteReference w:customMarkFollows="1" w:id="1059"/>
        <w:t>a</w:t>
      </w:r>
      <w:r>
        <w:rPr/>
        <w:t xml:space="preserve"> haben.“{{field-off:bible}} </w:t>
        <w:br/>
        <w:t>[[@BibleTOBIBLE:Zec 2:3]]</w:t>
      </w:r>
      <w:r>
        <w:rPr>
          <w:b/>
        </w:rPr>
        <w:t>3</w:t>
      </w:r>
      <w:r>
        <w:rPr/>
        <w:t xml:space="preserve"> {{field-on:bible}}Und </w:t>
      </w:r>
      <w:r>
        <w:rPr>
          <w:smallCaps/>
          <w:color w:val="FF0000"/>
        </w:rPr>
        <w:t>JHWH</w:t>
      </w:r>
      <w:r>
        <w:rPr/>
        <w:t xml:space="preserve"> ließ mich vier Handwerker </w:t>
      </w:r>
      <w:r>
        <w:rPr>
          <w:color w:val="808080"/>
        </w:rPr>
        <w:t>(Schmiede, Arbeiter)</w:t>
      </w:r>
      <w:r>
        <w:rPr/>
        <w:t xml:space="preserve"> sehen.{{field-off:bible}} </w:t>
        <w:br/>
        <w:t>[[@BibleTOBIBLE:Zec 2:4]]</w:t>
      </w:r>
      <w:r>
        <w:rPr>
          <w:b/>
        </w:rPr>
        <w:t>4</w:t>
      </w:r>
      <w:r>
        <w:rPr/>
        <w:t xml:space="preserve"> {{field-on:bible}}Und ich sprach: „Was wollen diese tun </w:t>
      </w:r>
      <w:r>
        <w:rPr>
          <w:color w:val="808080"/>
        </w:rPr>
        <w:t>(machen)</w:t>
      </w:r>
      <w:r>
        <w:rPr/>
        <w:t xml:space="preserve">?“ Und er sprach </w:t>
      </w:r>
      <w:r>
        <w:rPr>
          <w:strike/>
          <w:color w:val="808080"/>
        </w:rPr>
        <w:t>{folgendermaßen}</w:t>
      </w:r>
      <w:r>
        <w:rPr/>
        <w:t xml:space="preserve">: „Dies </w:t>
      </w:r>
      <w:r>
        <w:rPr>
          <w:b/>
          <w:color w:val="808080"/>
        </w:rPr>
        <w:t>[</w:t>
      </w:r>
      <w:r>
        <w:rPr/>
        <w:t>sind</w:t>
      </w:r>
      <w:r>
        <w:rPr>
          <w:b/>
          <w:color w:val="808080"/>
        </w:rPr>
        <w:t>]</w:t>
      </w:r>
      <w:r>
        <w:rPr/>
        <w:t xml:space="preserve"> die Hörner, die Juda </w:t>
      </w:r>
      <w:r>
        <w:rPr>
          <w:b/>
          <w:color w:val="808080"/>
        </w:rPr>
        <w:t>[</w:t>
      </w:r>
      <w:r>
        <w:rPr/>
        <w:t>so</w:t>
      </w:r>
      <w:r>
        <w:rPr>
          <w:b/>
          <w:color w:val="808080"/>
        </w:rPr>
        <w:t>]</w:t>
      </w:r>
      <w:r>
        <w:rPr/>
        <w:t xml:space="preserve"> zerstreut haben, dass</w:t>
      </w:r>
      <w:r>
        <w:rPr>
          <w:rStyle w:val="Funotenanker"/>
        </w:rPr>
        <w:footnoteReference w:customMarkFollows="1" w:id="1060"/>
        <w:t>b</w:t>
      </w:r>
      <w:r>
        <w:rPr/>
        <w:t xml:space="preserve"> kein Mann </w:t>
      </w:r>
      <w:r>
        <w:rPr>
          <w:color w:val="808080"/>
        </w:rPr>
        <w:t>(niemand)</w:t>
      </w:r>
      <w:r>
        <w:rPr/>
        <w:t xml:space="preserve"> seinen Kopf erhob; und diese kamen um sie zu schrecken </w:t>
      </w:r>
      <w:r>
        <w:rPr>
          <w:color w:val="808080"/>
        </w:rPr>
        <w:t>(in Schrecken zu versetzen)</w:t>
      </w:r>
      <w:r>
        <w:rPr/>
        <w:t>, um niederzuwerfen</w:t>
      </w:r>
      <w:r>
        <w:rPr>
          <w:rStyle w:val="Funotenanker"/>
        </w:rPr>
        <w:footnoteReference w:customMarkFollows="1" w:id="1061"/>
        <w:t>c</w:t>
      </w:r>
      <w:r>
        <w:rPr/>
        <w:t xml:space="preserve"> die Hörner der Völker</w:t>
      </w:r>
      <w:r>
        <w:rPr>
          <w:rStyle w:val="Funotenanker"/>
        </w:rPr>
        <w:footnoteReference w:customMarkFollows="1" w:id="1062"/>
        <w:t>d</w:t>
      </w:r>
      <w:r>
        <w:rPr/>
        <w:t xml:space="preserve">, die ein Horn zum Land Juda tragen um es zu zerstreuen.“{{field-off:bible}} </w:t>
        <w:br/>
        <w:t>[[@BibleTOBIBLE:Zec 2:5]]</w:t>
      </w:r>
      <w:r>
        <w:rPr>
          <w:b/>
        </w:rPr>
        <w:t>5</w:t>
      </w:r>
      <w:r>
        <w:rPr/>
        <w:t xml:space="preserve"> {{field-on:bible}}Und ich erhob </w:t>
      </w:r>
      <w:r>
        <w:rPr>
          <w:color w:val="808080"/>
        </w:rPr>
        <w:t>(tat auf)</w:t>
      </w:r>
      <w:r>
        <w:rPr/>
        <w:t xml:space="preserve"> meine Augen und sah und siehe: ein Mann und in seiner Hand </w:t>
      </w:r>
      <w:r>
        <w:rPr>
          <w:b/>
          <w:color w:val="808080"/>
        </w:rPr>
        <w:t>[</w:t>
      </w:r>
      <w:r>
        <w:rPr/>
        <w:t>war</w:t>
      </w:r>
      <w:r>
        <w:rPr>
          <w:b/>
          <w:color w:val="808080"/>
        </w:rPr>
        <w:t>]</w:t>
      </w:r>
      <w:r>
        <w:rPr/>
        <w:t xml:space="preserve"> eine Messschnur.{{field-off:bible}} </w:t>
        <w:br/>
        <w:t>[[@BibleTOBIBLE:Zec 2:6]]</w:t>
      </w:r>
      <w:r>
        <w:rPr>
          <w:b/>
        </w:rPr>
        <w:t>6</w:t>
      </w:r>
      <w:r>
        <w:rPr/>
        <w:t xml:space="preserve"> {{field-on:bible}}Und ich sprach zu ihm: „Wohin gehst du?“ Und er sprach zu mir: „Jerusalem einzuüben </w:t>
      </w:r>
      <w:r>
        <w:rPr>
          <w:color w:val="808080"/>
        </w:rPr>
        <w:t>(zu lernen)</w:t>
      </w:r>
      <w:r>
        <w:rPr/>
        <w:t xml:space="preserve"> </w:t>
      </w:r>
      <w:r>
        <w:rPr>
          <w:rStyle w:val="Funotenanker"/>
        </w:rPr>
        <w:footnoteReference w:customMarkFollows="1" w:id="1063"/>
        <w:t>e</w:t>
      </w:r>
      <w:r>
        <w:rPr/>
        <w:t xml:space="preserve"> um zu sehen wie groß seine Breite und wie groß seine Länge </w:t>
      </w:r>
      <w:r>
        <w:rPr>
          <w:b/>
          <w:color w:val="808080"/>
        </w:rPr>
        <w:t>[</w:t>
      </w:r>
      <w:r>
        <w:rPr/>
        <w:t>ist</w:t>
      </w:r>
      <w:r>
        <w:rPr>
          <w:b/>
          <w:color w:val="808080"/>
        </w:rPr>
        <w:t>]</w:t>
      </w:r>
      <w:r>
        <w:rPr/>
        <w:t xml:space="preserve">.“{{field-off:bible}} </w:t>
        <w:br/>
        <w:t>[[@BibleTOBIBLE:Zec 2:7]]</w:t>
      </w:r>
      <w:r>
        <w:rPr>
          <w:b/>
        </w:rPr>
        <w:t>7</w:t>
      </w:r>
      <w:r>
        <w:rPr/>
        <w:t xml:space="preserve"> {{field-on:bible}}Und siehe: ein Engel </w:t>
      </w:r>
      <w:r>
        <w:rPr>
          <w:color w:val="808080"/>
        </w:rPr>
        <w:t>(Bote)</w:t>
      </w:r>
      <w:r>
        <w:rPr/>
        <w:t xml:space="preserve">, der mit mir redete, ging hinaus. Und ein zweiter Engel </w:t>
      </w:r>
      <w:r>
        <w:rPr>
          <w:color w:val="808080"/>
        </w:rPr>
        <w:t>(Bote)</w:t>
      </w:r>
      <w:r>
        <w:rPr/>
        <w:t xml:space="preserve"> ging hinaus ihm entgegen.{{field-off:bible}} </w:t>
        <w:br/>
        <w:t>[[@BibleTOBIBLE:Zec 2:8]]</w:t>
      </w:r>
      <w:r>
        <w:rPr>
          <w:b/>
        </w:rPr>
        <w:t>8</w:t>
      </w:r>
      <w:r>
        <w:rPr/>
        <w:t xml:space="preserve"> {{field-on:bible}}Und er sprach zu ihm: „Laufe, rede zu diesem Jungen </w:t>
      </w:r>
      <w:r>
        <w:rPr>
          <w:strike/>
          <w:color w:val="808080"/>
        </w:rPr>
        <w:t>{folgendermaßen}</w:t>
      </w:r>
      <w:r>
        <w:rPr/>
        <w:t xml:space="preserve">: »Jerusalem soll ein offenes Land bleiben wegen der vielen Menschen und Vieh in seiner Mitte.{{field-off:bible}} </w:t>
        <w:br/>
        <w:t>[[@BibleTOBIBLE:Zec 2:9]]</w:t>
      </w:r>
      <w:r>
        <w:rPr>
          <w:b/>
        </w:rPr>
        <w:t>9</w:t>
      </w:r>
      <w:r>
        <w:rPr/>
        <w:t xml:space="preserve"> {{field-on:bible}}Und ich werde für es</w:t>
      </w:r>
      <w:r>
        <w:rPr>
          <w:rStyle w:val="Funotenanker"/>
        </w:rPr>
        <w:footnoteReference w:customMarkFollows="1" w:id="1064"/>
        <w:t>f</w:t>
      </w:r>
      <w:r>
        <w:rPr/>
        <w:t xml:space="preserve">, Ausspruch </w:t>
      </w:r>
      <w:r>
        <w:rPr>
          <w:smallCaps/>
          <w:color w:val="FF0000"/>
        </w:rPr>
        <w:t>JHWH</w:t>
      </w:r>
      <w:r>
        <w:rPr/>
        <w:t xml:space="preserve">s, eine Feuermauer ringsumher sein und ich werde zur Herrlichkeit in seiner Mitte.{{field-off:bible}} </w:t>
        <w:br/>
        <w:t>[[@BibleTOBIBLE:Zec 2:10]]</w:t>
      </w:r>
      <w:r>
        <w:rPr>
          <w:b/>
        </w:rPr>
        <w:t>10</w:t>
      </w:r>
      <w:r>
        <w:rPr/>
        <w:t xml:space="preserve"> {{field-on:bible}}Auf </w:t>
      </w:r>
      <w:r>
        <w:rPr>
          <w:color w:val="808080"/>
        </w:rPr>
        <w:t>(Wehe)</w:t>
      </w:r>
      <w:r>
        <w:rPr/>
        <w:t xml:space="preserve">, auf </w:t>
      </w:r>
      <w:r>
        <w:rPr>
          <w:color w:val="808080"/>
        </w:rPr>
        <w:t>(wehe)</w:t>
      </w:r>
      <w:r>
        <w:rPr/>
        <w:t xml:space="preserve">, </w:t>
      </w:r>
      <w:r>
        <w:rPr>
          <w:strike/>
          <w:color w:val="808080"/>
        </w:rPr>
        <w:t>{und}</w:t>
      </w:r>
      <w:r>
        <w:rPr/>
        <w:t xml:space="preserve"> flieht aus dem Land des Nordens</w:t>
      </w:r>
      <w:r>
        <w:rPr>
          <w:rStyle w:val="Funotenanker"/>
        </w:rPr>
        <w:footnoteReference w:customMarkFollows="1" w:id="1065"/>
        <w:t>g</w:t>
      </w:r>
      <w:r>
        <w:rPr/>
        <w:t xml:space="preserve">, Ausspruch </w:t>
      </w:r>
      <w:r>
        <w:rPr>
          <w:smallCaps/>
          <w:color w:val="FF0000"/>
        </w:rPr>
        <w:t>JHWH</w:t>
      </w:r>
      <w:r>
        <w:rPr/>
        <w:t xml:space="preserve">s! Denn wie </w:t>
      </w:r>
      <w:r>
        <w:rPr>
          <w:color w:val="808080"/>
        </w:rPr>
        <w:t>(mit, gemäß)</w:t>
      </w:r>
      <w:r>
        <w:rPr/>
        <w:t xml:space="preserve"> </w:t>
      </w:r>
      <w:r>
        <w:rPr>
          <w:b/>
          <w:color w:val="808080"/>
        </w:rPr>
        <w:t>[</w:t>
      </w:r>
      <w:r>
        <w:rPr/>
        <w:t>die</w:t>
      </w:r>
      <w:r>
        <w:rPr>
          <w:b/>
          <w:color w:val="808080"/>
        </w:rPr>
        <w:t>]</w:t>
      </w:r>
      <w:r>
        <w:rPr/>
        <w:t xml:space="preserve"> vier Winde des Himmel habe ich euch zerstreut </w:t>
      </w:r>
      <w:r>
        <w:rPr>
          <w:color w:val="808080"/>
        </w:rPr>
        <w:t>(ausgebreitet)</w:t>
      </w:r>
      <w:r>
        <w:rPr/>
        <w:t xml:space="preserve">, Ausspruch </w:t>
      </w:r>
      <w:r>
        <w:rPr>
          <w:smallCaps/>
          <w:color w:val="FF0000"/>
        </w:rPr>
        <w:t>JHWH</w:t>
      </w:r>
      <w:r>
        <w:rPr/>
        <w:t xml:space="preserve">s.{{field-off:bible}} </w:t>
        <w:br/>
        <w:t>[[@BibleTOBIBLE:Zec 2:11]]</w:t>
      </w:r>
      <w:r>
        <w:rPr>
          <w:b/>
        </w:rPr>
        <w:t>11</w:t>
      </w:r>
      <w:r>
        <w:rPr/>
        <w:t xml:space="preserve"> {{field-on:bible}}Auf </w:t>
      </w:r>
      <w:r>
        <w:rPr>
          <w:color w:val="808080"/>
        </w:rPr>
        <w:t>(Wehe)</w:t>
      </w:r>
      <w:r>
        <w:rPr/>
        <w:t xml:space="preserve">, Zion, entkomme </w:t>
      </w:r>
      <w:r>
        <w:rPr>
          <w:color w:val="808080"/>
        </w:rPr>
        <w:t>(rette dich)</w:t>
      </w:r>
      <w:r>
        <w:rPr/>
        <w:t xml:space="preserve"> </w:t>
      </w:r>
      <w:r>
        <w:rPr>
          <w:rStyle w:val="Funotenanker"/>
        </w:rPr>
        <w:footnoteReference w:customMarkFollows="1" w:id="1066"/>
        <w:t>h</w:t>
      </w:r>
      <w:r>
        <w:rPr/>
        <w:t xml:space="preserve">, die du </w:t>
      </w:r>
      <w:r>
        <w:rPr>
          <w:b/>
          <w:color w:val="808080"/>
        </w:rPr>
        <w:t>[</w:t>
      </w:r>
      <w:r>
        <w:rPr/>
        <w:t>bei der</w:t>
      </w:r>
      <w:r>
        <w:rPr>
          <w:b/>
          <w:color w:val="808080"/>
        </w:rPr>
        <w:t>]</w:t>
      </w:r>
      <w:r>
        <w:rPr/>
        <w:t xml:space="preserve"> Tochter Babels wohnst </w:t>
      </w:r>
      <w:r>
        <w:rPr>
          <w:color w:val="808080"/>
        </w:rPr>
        <w:t>(lebst, sitzt)</w:t>
      </w:r>
      <w:r>
        <w:rPr/>
        <w:t>!</w:t>
      </w:r>
      <w:r>
        <w:rPr>
          <w:rStyle w:val="Funotenanker"/>
        </w:rPr>
        <w:footnoteReference w:customMarkFollows="1" w:id="1067"/>
        <w:t>i</w:t>
      </w:r>
      <w:r>
        <w:rPr/>
        <w:t xml:space="preserve"> {{field-off:bible}} </w:t>
        <w:br/>
        <w:t>[[@BibleTOBIBLE:Zec 2:12]]</w:t>
      </w:r>
      <w:r>
        <w:rPr>
          <w:b/>
        </w:rPr>
        <w:t>12</w:t>
      </w:r>
      <w:r>
        <w:rPr/>
        <w:t xml:space="preserve"> {{field-on:bible}}Denn so spricht </w:t>
      </w:r>
      <w:r>
        <w:rPr>
          <w:smallCaps/>
          <w:color w:val="FF0000"/>
        </w:rPr>
        <w:t>JHWH</w:t>
      </w:r>
      <w:r>
        <w:rPr/>
        <w:t xml:space="preserve"> Zebaot: Zur </w:t>
      </w:r>
      <w:r>
        <w:rPr>
          <w:color w:val="808080"/>
        </w:rPr>
        <w:t>(nachdem, nach, mit, dessen)</w:t>
      </w:r>
      <w:r>
        <w:rPr/>
        <w:t xml:space="preserve"> </w:t>
      </w:r>
      <w:r>
        <w:rPr>
          <w:rStyle w:val="Funotenanker"/>
        </w:rPr>
        <w:footnoteReference w:customMarkFollows="1" w:id="1068"/>
        <w:t>j</w:t>
      </w:r>
      <w:r>
        <w:rPr/>
        <w:t xml:space="preserve"> Herrlichkeit </w:t>
      </w:r>
      <w:r>
        <w:rPr>
          <w:color w:val="808080"/>
        </w:rPr>
        <w:t>(Wichtigkeit)</w:t>
      </w:r>
      <w:r>
        <w:rPr/>
        <w:t xml:space="preserve"> hat </w:t>
      </w:r>
      <w:r>
        <w:rPr>
          <w:color w:val="808080"/>
        </w:rPr>
        <w:t>(hatte)</w:t>
      </w:r>
      <w:r>
        <w:rPr/>
        <w:t xml:space="preserve"> er mich zu den Völkern gesandt, die euch geplündert hatten </w:t>
      </w:r>
      <w:r>
        <w:rPr>
          <w:color w:val="808080"/>
        </w:rPr>
        <w:t>(ausplündern, berauben)</w:t>
      </w:r>
      <w:r>
        <w:rPr/>
        <w:t xml:space="preserve">. Denn </w:t>
      </w:r>
      <w:r>
        <w:rPr>
          <w:color w:val="808080"/>
        </w:rPr>
        <w:t>(ja)</w:t>
      </w:r>
      <w:r>
        <w:rPr/>
        <w:t xml:space="preserve"> wer </w:t>
      </w:r>
      <w:r>
        <w:rPr>
          <w:color w:val="808080"/>
        </w:rPr>
        <w:t>(diejenigen, die)</w:t>
      </w:r>
      <w:r>
        <w:rPr/>
        <w:t xml:space="preserve"> </w:t>
      </w:r>
      <w:r>
        <w:rPr>
          <w:strike/>
          <w:color w:val="808080"/>
        </w:rPr>
        <w:t>{in}</w:t>
      </w:r>
      <w:r>
        <w:rPr/>
        <w:t xml:space="preserve"> euch schlägt </w:t>
      </w:r>
      <w:r>
        <w:rPr>
          <w:color w:val="808080"/>
        </w:rPr>
        <w:t>(anrührt)</w:t>
      </w:r>
      <w:r>
        <w:rPr/>
        <w:t xml:space="preserve"> </w:t>
      </w:r>
      <w:r>
        <w:rPr>
          <w:rStyle w:val="Funotenanker"/>
        </w:rPr>
        <w:footnoteReference w:customMarkFollows="1" w:id="1069"/>
        <w:t>k</w:t>
      </w:r>
      <w:r>
        <w:rPr/>
        <w:t xml:space="preserve">, schlägt </w:t>
      </w:r>
      <w:r>
        <w:rPr>
          <w:color w:val="808080"/>
        </w:rPr>
        <w:t>(rührt an)</w:t>
      </w:r>
      <w:r>
        <w:rPr/>
        <w:t xml:space="preserve"> </w:t>
      </w:r>
      <w:r>
        <w:rPr>
          <w:rStyle w:val="Funotenanker"/>
        </w:rPr>
        <w:footnoteReference w:customMarkFollows="1" w:id="1070"/>
        <w:t>l</w:t>
      </w:r>
      <w:r>
        <w:rPr/>
        <w:t xml:space="preserve"> </w:t>
      </w:r>
      <w:r>
        <w:rPr>
          <w:strike/>
          <w:color w:val="808080"/>
        </w:rPr>
        <w:t>{in}</w:t>
      </w:r>
      <w:r>
        <w:rPr/>
        <w:t xml:space="preserve"> seinen </w:t>
      </w:r>
      <w:r>
        <w:rPr>
          <w:b/>
          <w:color w:val="808080"/>
        </w:rPr>
        <w:t>[</w:t>
      </w:r>
      <w:r>
        <w:rPr/>
        <w:t>eigenen</w:t>
      </w:r>
      <w:r>
        <w:rPr>
          <w:b/>
          <w:color w:val="808080"/>
        </w:rPr>
        <w:t>]</w:t>
      </w:r>
      <w:r>
        <w:rPr/>
        <w:t xml:space="preserve"> Augapfel</w:t>
      </w:r>
      <w:r>
        <w:rPr>
          <w:rStyle w:val="Funotenanker"/>
        </w:rPr>
        <w:footnoteReference w:customMarkFollows="1" w:id="1071"/>
        <w:t>m</w:t>
      </w:r>
      <w:r>
        <w:rPr/>
        <w:t xml:space="preserve">.{{field-off:bible}} </w:t>
        <w:br/>
        <w:t>[[@BibleTOBIBLE:Zec 2:13]]</w:t>
      </w:r>
      <w:r>
        <w:rPr>
          <w:b/>
        </w:rPr>
        <w:t>13</w:t>
      </w:r>
      <w:r>
        <w:rPr/>
        <w:t xml:space="preserve"> {{field-on:bible}}Denn </w:t>
      </w:r>
      <w:r>
        <w:rPr>
          <w:strike/>
          <w:color w:val="808080"/>
        </w:rPr>
        <w:t>{siehe}</w:t>
      </w:r>
      <w:r>
        <w:rPr/>
        <w:t xml:space="preserve"> </w:t>
      </w:r>
      <w:r>
        <w:rPr>
          <w:rStyle w:val="Funotenanker"/>
        </w:rPr>
        <w:footnoteReference w:customMarkFollows="1" w:id="1072"/>
        <w:t>n</w:t>
      </w:r>
      <w:r>
        <w:rPr/>
        <w:t xml:space="preserve">, </w:t>
      </w:r>
      <w:r>
        <w:rPr>
          <w:b/>
          <w:color w:val="808080"/>
        </w:rPr>
        <w:t>[</w:t>
      </w:r>
      <w:r>
        <w:rPr/>
        <w:t>ich</w:t>
      </w:r>
      <w:r>
        <w:rPr>
          <w:b/>
          <w:color w:val="808080"/>
        </w:rPr>
        <w:t>]</w:t>
      </w:r>
      <w:r>
        <w:rPr/>
        <w:t xml:space="preserve"> schüttle </w:t>
      </w:r>
      <w:r>
        <w:rPr>
          <w:color w:val="808080"/>
        </w:rPr>
        <w:t>(schwinge, erhebe)</w:t>
      </w:r>
      <w:r>
        <w:rPr/>
        <w:t xml:space="preserve"> </w:t>
      </w:r>
      <w:r>
        <w:rPr>
          <w:rStyle w:val="Funotenanker"/>
        </w:rPr>
        <w:footnoteReference w:customMarkFollows="1" w:id="1073"/>
        <w:t>o</w:t>
      </w:r>
      <w:r>
        <w:rPr/>
        <w:t xml:space="preserve"> meine Hand gegen sie</w:t>
      </w:r>
      <w:r>
        <w:rPr>
          <w:rStyle w:val="Funotenanker"/>
        </w:rPr>
        <w:footnoteReference w:customMarkFollows="1" w:id="1074"/>
        <w:t>p</w:t>
      </w:r>
      <w:r>
        <w:rPr/>
        <w:t xml:space="preserve">, so dass </w:t>
      </w:r>
      <w:r>
        <w:rPr>
          <w:color w:val="808080"/>
        </w:rPr>
        <w:t>(und)</w:t>
      </w:r>
      <w:r>
        <w:rPr/>
        <w:t xml:space="preserve"> sie eine Beute</w:t>
      </w:r>
      <w:r>
        <w:rPr>
          <w:rStyle w:val="Funotenanker"/>
        </w:rPr>
        <w:footnoteReference w:customMarkFollows="1" w:id="1075"/>
        <w:t>q</w:t>
      </w:r>
      <w:r>
        <w:rPr/>
        <w:t xml:space="preserve"> für ihre Sklaven </w:t>
      </w:r>
      <w:r>
        <w:rPr>
          <w:color w:val="808080"/>
        </w:rPr>
        <w:t>(Knechte, die ihnen dienen)</w:t>
      </w:r>
      <w:r>
        <w:rPr/>
        <w:t xml:space="preserve"> werden </w:t>
      </w:r>
      <w:r>
        <w:rPr>
          <w:strike/>
          <w:color w:val="808080"/>
        </w:rPr>
        <w:t>{werden}</w:t>
      </w:r>
      <w:r>
        <w:rPr/>
        <w:t xml:space="preserve">, damit </w:t>
      </w:r>
      <w:r>
        <w:rPr>
          <w:color w:val="808080"/>
        </w:rPr>
        <w:t>(so dass, dann, und)</w:t>
      </w:r>
      <w:r>
        <w:rPr/>
        <w:t xml:space="preserve"> ihr erkennen </w:t>
      </w:r>
      <w:r>
        <w:rPr>
          <w:color w:val="808080"/>
        </w:rPr>
        <w:t>(wissen)</w:t>
      </w:r>
      <w:r>
        <w:rPr/>
        <w:t xml:space="preserve"> werdet, dass </w:t>
      </w:r>
      <w:r>
        <w:rPr>
          <w:smallCaps/>
          <w:color w:val="FF0000"/>
        </w:rPr>
        <w:t>JHWH</w:t>
      </w:r>
      <w:r>
        <w:rPr/>
        <w:t xml:space="preserve"> Zebaot mich gesandt hat.{{field-off:bible}} </w:t>
        <w:br/>
        <w:t>[[@BibleTOBIBLE:Zec 2:14]]</w:t>
      </w:r>
      <w:r>
        <w:rPr>
          <w:b/>
        </w:rPr>
        <w:t>14</w:t>
      </w:r>
      <w:r>
        <w:rPr/>
        <w:t xml:space="preserve"> {{field-on:bible}}Rufe laut aus und freue dich, Tochter Zions, denn </w:t>
      </w:r>
      <w:r>
        <w:rPr>
          <w:strike/>
          <w:color w:val="808080"/>
        </w:rPr>
        <w:t>{siehe}</w:t>
      </w:r>
      <w:r>
        <w:rPr/>
        <w:t xml:space="preserve"> </w:t>
      </w:r>
      <w:r>
        <w:rPr>
          <w:rStyle w:val="Funotenanker"/>
        </w:rPr>
        <w:footnoteReference w:customMarkFollows="1" w:id="1076"/>
        <w:t>r</w:t>
      </w:r>
      <w:r>
        <w:rPr/>
        <w:t xml:space="preserve">, ich komme </w:t>
      </w:r>
      <w:r>
        <w:rPr>
          <w:color w:val="808080"/>
        </w:rPr>
        <w:t>(werde kommen)</w:t>
      </w:r>
      <w:r>
        <w:rPr/>
        <w:t xml:space="preserve">, um </w:t>
      </w:r>
      <w:r>
        <w:rPr>
          <w:color w:val="808080"/>
        </w:rPr>
        <w:t>(und)</w:t>
      </w:r>
      <w:r>
        <w:rPr/>
        <w:t xml:space="preserve"> </w:t>
      </w:r>
      <w:r>
        <w:rPr>
          <w:rStyle w:val="Funotenanker"/>
        </w:rPr>
        <w:footnoteReference w:customMarkFollows="1" w:id="1077"/>
        <w:t>s</w:t>
      </w:r>
      <w:r>
        <w:rPr/>
        <w:t xml:space="preserve"> in eurer Mitte zu bleiben </w:t>
      </w:r>
      <w:r>
        <w:rPr>
          <w:color w:val="808080"/>
        </w:rPr>
        <w:t>(wohnen)</w:t>
      </w:r>
      <w:r>
        <w:rPr/>
        <w:t xml:space="preserve">, Ausspruch </w:t>
      </w:r>
      <w:r>
        <w:rPr>
          <w:smallCaps/>
          <w:color w:val="FF0000"/>
        </w:rPr>
        <w:t>JHWH</w:t>
      </w:r>
      <w:r>
        <w:rPr/>
        <w:t xml:space="preserve">s.{{field-off:bible}} </w:t>
        <w:br/>
        <w:t>[[@BibleTOBIBLE:Zec 2:15]]</w:t>
      </w:r>
      <w:r>
        <w:rPr>
          <w:b/>
        </w:rPr>
        <w:t>15</w:t>
      </w:r>
      <w:r>
        <w:rPr/>
        <w:t xml:space="preserve"> {{field-on:bible}}Dann </w:t>
      </w:r>
      <w:r>
        <w:rPr>
          <w:color w:val="808080"/>
        </w:rPr>
        <w:t>(und)</w:t>
      </w:r>
      <w:r>
        <w:rPr/>
        <w:t xml:space="preserve"> werden sich viele Völker </w:t>
      </w:r>
      <w:r>
        <w:rPr>
          <w:strike/>
          <w:color w:val="808080"/>
        </w:rPr>
        <w:t>{zu}</w:t>
      </w:r>
      <w:r>
        <w:rPr/>
        <w:t xml:space="preserve"> </w:t>
      </w:r>
      <w:r>
        <w:rPr>
          <w:smallCaps/>
          <w:color w:val="FF0000"/>
        </w:rPr>
        <w:t>JHWH</w:t>
      </w:r>
      <w:r>
        <w:rPr/>
        <w:t xml:space="preserve"> </w:t>
      </w:r>
      <w:r>
        <w:rPr>
          <w:b/>
          <w:color w:val="808080"/>
        </w:rPr>
        <w:t>[</w:t>
      </w:r>
      <w:r>
        <w:rPr/>
        <w:t>gemeinsam</w:t>
      </w:r>
      <w:r>
        <w:rPr>
          <w:b/>
          <w:color w:val="808080"/>
        </w:rPr>
        <w:t>]</w:t>
      </w:r>
      <w:r>
        <w:rPr/>
        <w:t xml:space="preserve"> anschließen an jenem Tag, und </w:t>
      </w:r>
      <w:r>
        <w:rPr>
          <w:color w:val="808080"/>
        </w:rPr>
        <w:t>(dann, so dass)</w:t>
      </w:r>
      <w:r>
        <w:rPr/>
        <w:t xml:space="preserve"> sie werden mein Volk sein </w:t>
      </w:r>
      <w:r>
        <w:rPr>
          <w:color w:val="808080"/>
        </w:rPr>
        <w:t>(werden)</w:t>
      </w:r>
      <w:r>
        <w:rPr/>
        <w:t xml:space="preserve"> und </w:t>
      </w:r>
      <w:r>
        <w:rPr>
          <w:color w:val="808080"/>
        </w:rPr>
        <w:t>(dann, so dass; aber)</w:t>
      </w:r>
      <w:r>
        <w:rPr/>
        <w:t xml:space="preserve"> ich werde in deiner Mitte wohnen und </w:t>
      </w:r>
      <w:r>
        <w:rPr>
          <w:color w:val="808080"/>
        </w:rPr>
        <w:t>(dann, so dass)</w:t>
      </w:r>
      <w:r>
        <w:rPr/>
        <w:t xml:space="preserve"> du wirst erkennen </w:t>
      </w:r>
      <w:r>
        <w:rPr>
          <w:color w:val="808080"/>
        </w:rPr>
        <w:t>(wissen)</w:t>
      </w:r>
      <w:r>
        <w:rPr/>
        <w:t xml:space="preserve">, dass </w:t>
      </w:r>
      <w:r>
        <w:rPr>
          <w:smallCaps/>
          <w:color w:val="FF0000"/>
        </w:rPr>
        <w:t>JHWH</w:t>
      </w:r>
      <w:r>
        <w:rPr/>
        <w:t xml:space="preserve"> Zebaot mich zu dir gesandt hat.{{field-off:bible}} </w:t>
        <w:br/>
        <w:t>[[@BibleTOBIBLE:Zec 2:16]]</w:t>
      </w:r>
      <w:r>
        <w:rPr>
          <w:b/>
        </w:rPr>
        <w:t>16</w:t>
      </w:r>
      <w:r>
        <w:rPr/>
        <w:t xml:space="preserve"> {{field-on:bible}}Dann </w:t>
      </w:r>
      <w:r>
        <w:rPr>
          <w:color w:val="808080"/>
        </w:rPr>
        <w:t>(und)</w:t>
      </w:r>
      <w:r>
        <w:rPr/>
        <w:t xml:space="preserve"> wird </w:t>
      </w:r>
      <w:r>
        <w:rPr>
          <w:smallCaps/>
          <w:color w:val="FF0000"/>
        </w:rPr>
        <w:t>JHWH</w:t>
      </w:r>
      <w:r>
        <w:rPr/>
        <w:t xml:space="preserve"> Juda in Besitz nehmen </w:t>
      </w:r>
      <w:r>
        <w:rPr>
          <w:color w:val="808080"/>
        </w:rPr>
        <w:t>(erben)</w:t>
      </w:r>
      <w:r>
        <w:rPr/>
        <w:t xml:space="preserve"> </w:t>
      </w:r>
      <w:r>
        <w:rPr>
          <w:b/>
          <w:color w:val="808080"/>
        </w:rPr>
        <w:t>[</w:t>
      </w:r>
      <w:r>
        <w:rPr/>
        <w:t>als</w:t>
      </w:r>
      <w:r>
        <w:rPr>
          <w:b/>
          <w:color w:val="808080"/>
        </w:rPr>
        <w:t>]</w:t>
      </w:r>
      <w:r>
        <w:rPr/>
        <w:t xml:space="preserve"> seinen Anteil </w:t>
      </w:r>
      <w:r>
        <w:rPr>
          <w:color w:val="808080"/>
        </w:rPr>
        <w:t>(Erbe, Gebiet, Belohnung)</w:t>
      </w:r>
      <w:r>
        <w:rPr/>
        <w:t xml:space="preserve"> in </w:t>
      </w:r>
      <w:r>
        <w:rPr>
          <w:color w:val="808080"/>
        </w:rPr>
        <w:t>(auf)</w:t>
      </w:r>
      <w:r>
        <w:rPr/>
        <w:t xml:space="preserve"> dem heiligen Land, und er wird </w:t>
      </w:r>
      <w:r>
        <w:rPr>
          <w:strike/>
          <w:color w:val="808080"/>
        </w:rPr>
        <w:t>{in}</w:t>
      </w:r>
      <w:r>
        <w:rPr/>
        <w:t xml:space="preserve"> Jerusalem wieder </w:t>
      </w:r>
      <w:r>
        <w:rPr>
          <w:color w:val="808080"/>
        </w:rPr>
        <w:t>(erneut)</w:t>
      </w:r>
      <w:r>
        <w:rPr/>
        <w:t xml:space="preserve"> erwählen.</w:t>
      </w:r>
      <w:r>
        <w:rPr>
          <w:rStyle w:val="Funotenanker"/>
        </w:rPr>
        <w:footnoteReference w:customMarkFollows="1" w:id="1078"/>
        <w:t>t</w:t>
      </w:r>
      <w:r>
        <w:rPr/>
        <w:t xml:space="preserve"> {{field-off:bible}} </w:t>
        <w:br/>
        <w:t>[[@BibleTOBIBLE:Zec 2:17]]</w:t>
      </w:r>
      <w:r>
        <w:rPr>
          <w:b/>
        </w:rPr>
        <w:t>17</w:t>
      </w:r>
      <w:r>
        <w:rPr/>
        <w:t xml:space="preserve"> {{field-on:bible}}Pst </w:t>
      </w:r>
      <w:r>
        <w:rPr>
          <w:color w:val="808080"/>
        </w:rPr>
        <w:t>(</w:t>
      </w:r>
      <w:r>
        <w:rPr>
          <w:b/>
          <w:color w:val="808080"/>
        </w:rPr>
        <w:t>[</w:t>
      </w:r>
      <w:r>
        <w:rPr>
          <w:color w:val="808080"/>
        </w:rPr>
        <w:t>Sei</w:t>
      </w:r>
      <w:r>
        <w:rPr>
          <w:b/>
          <w:color w:val="808080"/>
        </w:rPr>
        <w:t>]</w:t>
      </w:r>
      <w:r>
        <w:rPr>
          <w:color w:val="808080"/>
        </w:rPr>
        <w:t xml:space="preserve"> still)</w:t>
      </w:r>
      <w:r>
        <w:rPr/>
        <w:t xml:space="preserve">, alles Fleisch, vor </w:t>
      </w:r>
      <w:r>
        <w:rPr>
          <w:color w:val="808080"/>
        </w:rPr>
        <w:t>(in der Gegenwart, vor dem Gesicht)</w:t>
      </w:r>
      <w:r>
        <w:rPr/>
        <w:t xml:space="preserve"> </w:t>
      </w:r>
      <w:r>
        <w:rPr>
          <w:smallCaps/>
          <w:color w:val="FF0000"/>
        </w:rPr>
        <w:t>JHWH</w:t>
      </w:r>
      <w:r>
        <w:rPr/>
        <w:t xml:space="preserve">! Denn er hat sich von seinem heiligen Wohnort aufgemacht </w:t>
      </w:r>
      <w:r>
        <w:rPr>
          <w:color w:val="808080"/>
        </w:rPr>
        <w:t>(macht sich auf)</w:t>
      </w:r>
      <w:r>
        <w:rPr/>
        <w:t xml:space="preserve">!«“{{field-off:bible}} </w:t>
      </w:r>
    </w:p>
    <w:p>
      <w:pPr>
        <w:pStyle w:val="Berschrift2"/>
        <w:rPr/>
      </w:pPr>
      <w:r>
        <w:rPr/>
        <w:t>[[@BibleTOBIBLE:Mt]]Matthäus</w:t>
      </w:r>
    </w:p>
    <w:p>
      <w:pPr>
        <w:pStyle w:val="Berschrift3"/>
        <w:rPr/>
      </w:pPr>
      <w:r>
        <w:rPr/>
        <w:t>[[@BibleTOBIBLE:Mt 6]]Kapitel 6</w:t>
      </w:r>
    </w:p>
    <w:p>
      <w:pPr>
        <w:pStyle w:val="Textkrper"/>
        <w:rPr/>
      </w:pPr>
      <w:r>
        <w:rPr/>
        <w:br/>
        <w:t>[[@BibleTOBIBLE:Mt 6:9]]</w:t>
      </w:r>
      <w:r>
        <w:rPr>
          <w:b/>
        </w:rPr>
        <w:t>9</w:t>
      </w:r>
      <w:r>
        <w:rPr/>
        <w:t xml:space="preserve"> {{field-on:bible}} </w:t>
      </w:r>
      <w:r>
        <w:rPr>
          <w:rStyle w:val="Funotenanker"/>
        </w:rPr>
        <w:footnoteReference w:customMarkFollows="1" w:id="1079"/>
        <w:t>Status</w:t>
      </w:r>
      <w:r>
        <w:rPr/>
        <w:t xml:space="preserve"> Ihr</w:t>
      </w:r>
      <w:r>
        <w:rPr>
          <w:rStyle w:val="Funotenanker"/>
        </w:rPr>
        <w:footnoteReference w:customMarkFollows="1" w:id="1080"/>
        <w:t>a</w:t>
      </w:r>
      <w:r>
        <w:rPr/>
        <w:t xml:space="preserve"> sollt daher </w:t>
      </w:r>
      <w:r>
        <w:rPr>
          <w:color w:val="808080"/>
        </w:rPr>
        <w:t>(also)</w:t>
      </w:r>
      <w:r>
        <w:rPr/>
        <w:t xml:space="preserve"> folgendermaßen beten: </w:t>
        <w:br/>
        <w:t xml:space="preserve">Unser Vater </w:t>
      </w:r>
      <w:r>
        <w:rPr>
          <w:strike/>
          <w:color w:val="808080"/>
        </w:rPr>
        <w:t>{der}</w:t>
      </w:r>
      <w:r>
        <w:rPr/>
        <w:t xml:space="preserve"> im Himmel</w:t>
      </w:r>
      <w:r>
        <w:rPr>
          <w:rStyle w:val="Funotenanker"/>
        </w:rPr>
        <w:footnoteReference w:customMarkFollows="1" w:id="1081"/>
        <w:t>b</w:t>
      </w:r>
      <w:r>
        <w:rPr/>
        <w:t xml:space="preserve"> </w:t>
      </w:r>
      <w:r>
        <w:rPr>
          <w:rStyle w:val="Funotenanker"/>
        </w:rPr>
        <w:footnoteReference w:customMarkFollows="1" w:id="1082"/>
        <w:t>c</w:t>
      </w:r>
      <w:r>
        <w:rPr/>
        <w:t>,</w:t>
      </w:r>
      <w:r>
        <w:rPr>
          <w:position w:val="8"/>
          <w:sz w:val="19"/>
        </w:rPr>
        <w:t>[[ ℘ &gt;&gt; BibleTOBIBLE:Wis 14:3]][[ ℘ &gt;&gt; BibleTOBIBLE:Is 63:16]][[ ℘ &gt;&gt; BibleTOBIBLE:Is 64:7]][[ ℘ &gt;&gt; BibleTOBIBLE:Je 3:19]][[ ℘ &gt;&gt; BibleTOBIBLE:Mk 11:25]][[ ℘ &gt;&gt; BibleTOBIBLE:Mk 14:36]]</w:t>
      </w:r>
      <w:r>
        <w:rPr/>
        <w:t xml:space="preserve"> </w:t>
        <w:br/>
        <w:t xml:space="preserve">Möge </w:t>
      </w:r>
      <w:r>
        <w:rPr>
          <w:color w:val="808080"/>
        </w:rPr>
        <w:t>(Mögest)</w:t>
      </w:r>
      <w:r>
        <w:rPr/>
        <w:t xml:space="preserve"> </w:t>
      </w:r>
      <w:r>
        <w:rPr>
          <w:rStyle w:val="Funotenanker"/>
        </w:rPr>
        <w:footnoteReference w:customMarkFollows="1" w:id="1083"/>
        <w:t>d</w:t>
      </w:r>
      <w:r>
        <w:rPr/>
        <w:t xml:space="preserve"> dein Name </w:t>
      </w:r>
      <w:r>
        <w:rPr>
          <w:color w:val="808080"/>
        </w:rPr>
        <w:t>(du)</w:t>
      </w:r>
      <w:r>
        <w:rPr/>
        <w:t xml:space="preserve"> geheiligt</w:t>
      </w:r>
      <w:r>
        <w:rPr>
          <w:rStyle w:val="Funotenanker"/>
        </w:rPr>
        <w:footnoteReference w:customMarkFollows="1" w:id="1084"/>
        <w:t>e</w:t>
      </w:r>
      <w:r>
        <w:rPr/>
        <w:t xml:space="preserve"> werden.</w:t>
      </w:r>
      <w:r>
        <w:rPr>
          <w:position w:val="8"/>
          <w:sz w:val="19"/>
        </w:rPr>
        <w:t>[[ ℘ &gt;&gt; BibleTOBIBLE:Is 29:23]][[ ℘ &gt;&gt; BibleTOBIBLE:1Pe 3:15]][[ ℘ &gt;&gt; BibleTOBIBLE:Php 2:10]]</w:t>
      </w:r>
      <w:r>
        <w:rPr/>
        <w:t xml:space="preserve"> </w:t>
        <w:br/>
        <w:t xml:space="preserve">{{field-off:bible}} </w:t>
        <w:br/>
        <w:t>[[@BibleTOBIBLE:Mt 6:10]]</w:t>
      </w:r>
      <w:r>
        <w:rPr>
          <w:b/>
        </w:rPr>
        <w:t>10</w:t>
      </w:r>
      <w:r>
        <w:rPr/>
        <w:t xml:space="preserve"> {{field-on:bible}} </w:t>
        <w:br/>
        <w:t xml:space="preserve">Möge dein Königtum </w:t>
      </w:r>
      <w:r>
        <w:rPr>
          <w:color w:val="808080"/>
        </w:rPr>
        <w:t>(Königsherrschaft, Königreich)</w:t>
      </w:r>
      <w:r>
        <w:rPr/>
        <w:t xml:space="preserve"> </w:t>
      </w:r>
      <w:r>
        <w:rPr>
          <w:rStyle w:val="Funotenanker"/>
        </w:rPr>
        <w:footnoteReference w:customMarkFollows="1" w:id="1085"/>
        <w:t>f</w:t>
      </w:r>
      <w:r>
        <w:rPr/>
        <w:t xml:space="preserve"> kommen</w:t>
      </w:r>
      <w:r>
        <w:rPr>
          <w:rStyle w:val="Funotenanker"/>
        </w:rPr>
        <w:footnoteReference w:customMarkFollows="1" w:id="1086"/>
        <w:t>g</w:t>
      </w:r>
      <w:r>
        <w:rPr/>
        <w:t>.Möge dein Wille geschehen - wie im Himmel so auch auf der Erde</w:t>
      </w:r>
      <w:r>
        <w:rPr>
          <w:rStyle w:val="Funotenanker"/>
        </w:rPr>
        <w:footnoteReference w:customMarkFollows="1" w:id="1087"/>
        <w:t>h</w:t>
      </w:r>
      <w:r>
        <w:rPr/>
        <w:t>.</w:t>
        <w:br/>
        <w:t xml:space="preserve">{{field-off:bible}} </w:t>
        <w:br/>
        <w:t>[[@BibleTOBIBLE:Mt 6:11]]</w:t>
      </w:r>
      <w:r>
        <w:rPr>
          <w:b/>
        </w:rPr>
        <w:t>11</w:t>
      </w:r>
      <w:r>
        <w:rPr/>
        <w:t xml:space="preserve"> {{field-on:bible}} </w:t>
        <w:br/>
        <w:t xml:space="preserve">Unser Brot </w:t>
      </w:r>
      <w:r>
        <w:rPr>
          <w:color w:val="808080"/>
        </w:rPr>
        <w:t>(Essen)</w:t>
      </w:r>
      <w:r>
        <w:rPr/>
        <w:t xml:space="preserve"> </w:t>
      </w:r>
      <w:r>
        <w:rPr>
          <w:rStyle w:val="Funotenanker"/>
        </w:rPr>
        <w:footnoteReference w:customMarkFollows="1" w:id="1088"/>
        <w:t>i</w:t>
      </w:r>
      <w:r>
        <w:rPr/>
        <w:t xml:space="preserve"> für den kommenden Tag </w:t>
      </w:r>
      <w:r>
        <w:rPr>
          <w:color w:val="808080"/>
        </w:rPr>
        <w:t>(unser notwendiges Brot, unser heutiges Brot, unser Brot, das auf uns kommt)</w:t>
      </w:r>
      <w:r>
        <w:rPr/>
        <w:t xml:space="preserve"> </w:t>
      </w:r>
      <w:r>
        <w:rPr>
          <w:rStyle w:val="Funotenanker"/>
        </w:rPr>
        <w:footnoteReference w:customMarkFollows="1" w:id="1089"/>
        <w:t>j</w:t>
      </w:r>
      <w:r>
        <w:rPr/>
        <w:t xml:space="preserve"> gib uns heute </w:t>
      </w:r>
      <w:r>
        <w:rPr>
          <w:position w:val="8"/>
          <w:sz w:val="19"/>
        </w:rPr>
        <w:t>[[ ℘ &gt;&gt; BibleTOBIBLE:Pr 30:8]]</w:t>
      </w:r>
      <w:r>
        <w:rPr/>
        <w:t xml:space="preserve"> </w:t>
        <w:br/>
        <w:t xml:space="preserve">{{field-off:bible}} </w:t>
        <w:br/>
        <w:t>[[@BibleTOBIBLE:Mt 6:12]]</w:t>
      </w:r>
      <w:r>
        <w:rPr>
          <w:b/>
        </w:rPr>
        <w:t>12</w:t>
      </w:r>
      <w:r>
        <w:rPr/>
        <w:t xml:space="preserve"> {{field-on:bible}} </w:t>
        <w:br/>
        <w:t xml:space="preserve">und vergib uns unsere Schulden </w:t>
      </w:r>
      <w:r>
        <w:rPr>
          <w:color w:val="808080"/>
        </w:rPr>
        <w:t>(Schuld, Sünden)</w:t>
      </w:r>
      <w:r>
        <w:rPr/>
        <w:t xml:space="preserve"> </w:t>
      </w:r>
      <w:r>
        <w:rPr>
          <w:rStyle w:val="Funotenanker"/>
        </w:rPr>
        <w:footnoteReference w:customMarkFollows="1" w:id="1090"/>
        <w:t>k</w:t>
      </w:r>
      <w:r>
        <w:rPr/>
        <w:t xml:space="preserve">,wie auch wir unseren Schuldnern vergeben haben </w:t>
      </w:r>
      <w:r>
        <w:rPr>
          <w:color w:val="808080"/>
        </w:rPr>
        <w:t>(vergeben)</w:t>
      </w:r>
      <w:r>
        <w:rPr/>
        <w:t xml:space="preserve"> </w:t>
      </w:r>
      <w:r>
        <w:rPr>
          <w:rStyle w:val="Funotenanker"/>
        </w:rPr>
        <w:footnoteReference w:customMarkFollows="1" w:id="1091"/>
        <w:t>l</w:t>
      </w:r>
      <w:r>
        <w:rPr/>
        <w:t>.</w:t>
        <w:br/>
        <w:t xml:space="preserve">{{field-off:bible}} </w:t>
        <w:br/>
        <w:t>[[@BibleTOBIBLE:Mt 6:13]]</w:t>
      </w:r>
      <w:r>
        <w:rPr>
          <w:b/>
        </w:rPr>
        <w:t>13</w:t>
      </w:r>
      <w:r>
        <w:rPr/>
        <w:t xml:space="preserve"> {{field-on:bible}} </w:t>
        <w:br/>
        <w:t xml:space="preserve">Und führe </w:t>
      </w:r>
      <w:r>
        <w:rPr>
          <w:color w:val="808080"/>
        </w:rPr>
        <w:t>(lass nicht zu, dass wir geraten)</w:t>
      </w:r>
      <w:r>
        <w:rPr/>
        <w:t xml:space="preserve"> </w:t>
      </w:r>
      <w:r>
        <w:rPr>
          <w:rStyle w:val="Funotenanker"/>
        </w:rPr>
        <w:footnoteReference w:customMarkFollows="1" w:id="1092"/>
        <w:t>m</w:t>
      </w:r>
      <w:r>
        <w:rPr/>
        <w:t xml:space="preserve"> uns nicht in Versuchung </w:t>
      </w:r>
      <w:r>
        <w:rPr>
          <w:color w:val="808080"/>
        </w:rPr>
        <w:t>(Tests)</w:t>
      </w:r>
      <w:r>
        <w:rPr/>
        <w:t>,</w:t>
      </w:r>
      <w:r>
        <w:rPr>
          <w:position w:val="8"/>
          <w:sz w:val="19"/>
        </w:rPr>
        <w:t>[[ ℘ &gt;&gt; BibleTOBIBLE:Mt 26:41]][[ ℘ &gt;&gt; BibleTOBIBLE:Mk 14:38]][[ ℘ &gt;&gt; BibleTOBIBLE:Lk 22:40]][[ ℘ &gt;&gt; BibleTOBIBLE:Lk 22:46]][[ ℘ &gt;&gt; BibleTOBIBLE:1Co 10:13]][[ ℘ &gt;&gt; BibleTOBIBLE:Jas 1:13]]</w:t>
      </w:r>
      <w:r>
        <w:rPr/>
        <w:t xml:space="preserve">sondern rette </w:t>
      </w:r>
      <w:r>
        <w:rPr>
          <w:color w:val="808080"/>
        </w:rPr>
        <w:t>(erlöse)</w:t>
      </w:r>
      <w:r>
        <w:rPr/>
        <w:t xml:space="preserve"> uns von dem Bösen.</w:t>
      </w:r>
      <w:r>
        <w:rPr>
          <w:rStyle w:val="Funotenanker"/>
        </w:rPr>
        <w:footnoteReference w:customMarkFollows="1" w:id="1093"/>
        <w:t>n</w:t>
      </w:r>
      <w:r>
        <w:rPr/>
        <w:t xml:space="preserve"> </w:t>
        <w:br/>
        <w:t xml:space="preserve">{{field-off:bible}} </w:t>
      </w:r>
    </w:p>
    <w:p>
      <w:pPr>
        <w:pStyle w:val="Berschrift3"/>
        <w:rPr/>
      </w:pPr>
      <w:r>
        <w:rPr/>
        <w:t>[[@BibleTOBIBLE:Mt 16]]Kapitel 16</w:t>
      </w:r>
    </w:p>
    <w:p>
      <w:pPr>
        <w:pStyle w:val="Textkrper"/>
        <w:rPr/>
      </w:pPr>
      <w:r>
        <w:rPr/>
        <w:br/>
        <w:t>[[@BibleTOBIBLE:Mt 16:1]]</w:t>
      </w:r>
      <w:r>
        <w:rPr>
          <w:b/>
        </w:rPr>
        <w:t>1</w:t>
      </w:r>
      <w:r>
        <w:rPr/>
        <w:t xml:space="preserve"> {{field-on:bible}} </w:t>
      </w:r>
      <w:r>
        <w:rPr>
          <w:rStyle w:val="Funotenanker"/>
        </w:rPr>
        <w:footnoteReference w:customMarkFollows="1" w:id="1094"/>
        <w:t>Status</w:t>
      </w:r>
      <w:r>
        <w:rPr/>
        <w:t xml:space="preserve"> </w:t>
      </w:r>
      <w:r>
        <w:rPr>
          <w:strike/>
          <w:color w:val="808080"/>
        </w:rPr>
        <w:t>{Und}</w:t>
      </w:r>
      <w:r>
        <w:rPr/>
        <w:t xml:space="preserve"> </w:t>
      </w:r>
      <w:r>
        <w:rPr>
          <w:rStyle w:val="Funotenanker"/>
        </w:rPr>
        <w:footnoteReference w:customMarkFollows="1" w:id="1095"/>
        <w:t>a</w:t>
      </w:r>
      <w:r>
        <w:rPr/>
        <w:t xml:space="preserve"> Die Pharisäer und Sadduzäer</w:t>
      </w:r>
      <w:r>
        <w:rPr>
          <w:rStyle w:val="Funotenanker"/>
        </w:rPr>
        <w:footnoteReference w:customMarkFollows="1" w:id="1096"/>
        <w:t>b</w:t>
      </w:r>
      <w:r>
        <w:rPr/>
        <w:t xml:space="preserve"> kamen, </w:t>
      </w:r>
      <w:r>
        <w:rPr>
          <w:b/>
          <w:color w:val="808080"/>
        </w:rPr>
        <w:t>[</w:t>
      </w:r>
      <w:r>
        <w:rPr/>
        <w:t>und</w:t>
      </w:r>
      <w:r>
        <w:rPr>
          <w:b/>
          <w:color w:val="808080"/>
        </w:rPr>
        <w:t>]</w:t>
      </w:r>
      <w:r>
        <w:rPr/>
        <w:t xml:space="preserve"> um ihn zu prüfen </w:t>
      </w:r>
      <w:r>
        <w:rPr>
          <w:color w:val="808080"/>
        </w:rPr>
        <w:t>(auf die Probe zu stellen, herauszufordern)</w:t>
      </w:r>
      <w:r>
        <w:rPr/>
        <w:t xml:space="preserve">, baten sie ihn, ihnen ein Zeichen aus dem Himmel zu zeigen </w:t>
      </w:r>
      <w:r>
        <w:rPr>
          <w:color w:val="808080"/>
        </w:rPr>
        <w:t>(vorzuzeigen, vorzuführen, sehen zu lassen)</w:t>
      </w:r>
      <w:r>
        <w:rPr/>
        <w:t xml:space="preserve">.{{field-off:bible}} </w:t>
        <w:br/>
        <w:t>[[@BibleTOBIBLE:Mt 16:2]]</w:t>
      </w:r>
      <w:r>
        <w:rPr>
          <w:b/>
        </w:rPr>
        <w:t>2</w:t>
      </w:r>
      <w:r>
        <w:rPr/>
        <w:t xml:space="preserve"> {{field-on:bible}}Er aber antworte ihnen: „Wenn es Abend geworden ist, sagt ihr: »Heiteres </w:t>
      </w:r>
      <w:r>
        <w:rPr>
          <w:color w:val="808080"/>
        </w:rPr>
        <w:t>(schönes)</w:t>
      </w:r>
      <w:r>
        <w:rPr/>
        <w:t xml:space="preserve"> Wetter </w:t>
      </w:r>
      <w:r>
        <w:rPr>
          <w:b/>
          <w:color w:val="808080"/>
        </w:rPr>
        <w:t>[</w:t>
      </w:r>
      <w:r>
        <w:rPr/>
        <w:t>wird es geben</w:t>
      </w:r>
      <w:r>
        <w:rPr>
          <w:b/>
          <w:color w:val="808080"/>
        </w:rPr>
        <w:t>]</w:t>
      </w:r>
      <w:r>
        <w:rPr/>
        <w:t xml:space="preserve">, denn feuerrot ist der Himmel.«{{field-off:bible}} </w:t>
        <w:br/>
        <w:t>[[@BibleTOBIBLE:Mt 16:3]]</w:t>
      </w:r>
      <w:r>
        <w:rPr>
          <w:b/>
        </w:rPr>
        <w:t>3</w:t>
      </w:r>
      <w:r>
        <w:rPr/>
        <w:t xml:space="preserve"> {{field-on:bible}}Und früh </w:t>
      </w:r>
      <w:r>
        <w:rPr>
          <w:b/>
          <w:color w:val="808080"/>
        </w:rPr>
        <w:t>[</w:t>
      </w:r>
      <w:r>
        <w:rPr/>
        <w:t>morgens</w:t>
      </w:r>
      <w:r>
        <w:rPr>
          <w:b/>
          <w:color w:val="808080"/>
        </w:rPr>
        <w:t>]</w:t>
      </w:r>
      <w:r>
        <w:rPr/>
        <w:t xml:space="preserve">: »Heute </w:t>
      </w:r>
      <w:r>
        <w:rPr>
          <w:b/>
          <w:color w:val="808080"/>
        </w:rPr>
        <w:t>[</w:t>
      </w:r>
      <w:r>
        <w:rPr/>
        <w:t>wird es</w:t>
      </w:r>
      <w:r>
        <w:rPr>
          <w:b/>
          <w:color w:val="808080"/>
        </w:rPr>
        <w:t>]</w:t>
      </w:r>
      <w:r>
        <w:rPr/>
        <w:t xml:space="preserve"> schlechtes Wetter </w:t>
      </w:r>
      <w:r>
        <w:rPr>
          <w:b/>
          <w:color w:val="808080"/>
        </w:rPr>
        <w:t>[</w:t>
      </w:r>
      <w:r>
        <w:rPr/>
        <w:t>geben</w:t>
      </w:r>
      <w:r>
        <w:rPr>
          <w:b/>
          <w:color w:val="808080"/>
        </w:rPr>
        <w:t>]</w:t>
      </w:r>
      <w:r>
        <w:rPr/>
        <w:t xml:space="preserve">, denn feuerrot </w:t>
      </w:r>
      <w:r>
        <w:rPr>
          <w:b/>
          <w:color w:val="808080"/>
        </w:rPr>
        <w:t>[</w:t>
      </w:r>
      <w:r>
        <w:rPr/>
        <w:t>und</w:t>
      </w:r>
      <w:r>
        <w:rPr>
          <w:b/>
          <w:color w:val="808080"/>
        </w:rPr>
        <w:t>]</w:t>
      </w:r>
      <w:r>
        <w:rPr/>
        <w:t xml:space="preserve"> bedrohlich </w:t>
      </w:r>
      <w:r>
        <w:rPr>
          <w:color w:val="808080"/>
        </w:rPr>
        <w:t>(finster)</w:t>
      </w:r>
      <w:r>
        <w:rPr/>
        <w:t xml:space="preserve"> ist der Himmel.« Das Aussehen des Himmels versteht ihr </w:t>
      </w:r>
      <w:r>
        <w:rPr>
          <w:color w:val="808080"/>
        </w:rPr>
        <w:t>(richtig, sorgfältig)</w:t>
      </w:r>
      <w:r>
        <w:rPr/>
        <w:t xml:space="preserve"> zu beurteilen, aber die Zeichen der Zeit</w:t>
      </w:r>
      <w:r>
        <w:rPr>
          <w:rStyle w:val="Funotenanker"/>
        </w:rPr>
        <w:footnoteReference w:customMarkFollows="1" w:id="1097"/>
        <w:t>c</w:t>
      </w:r>
      <w:r>
        <w:rPr/>
        <w:t xml:space="preserve"> vermögt ihr nicht </w:t>
      </w:r>
      <w:r>
        <w:rPr>
          <w:color w:val="808080"/>
        </w:rPr>
        <w:t>(könnt ihr nicht)</w:t>
      </w:r>
      <w:r>
        <w:rPr/>
        <w:t xml:space="preserve"> </w:t>
      </w:r>
      <w:r>
        <w:rPr>
          <w:b/>
          <w:color w:val="808080"/>
        </w:rPr>
        <w:t>[</w:t>
      </w:r>
      <w:r>
        <w:rPr/>
        <w:t>zu beurteilen</w:t>
      </w:r>
      <w:r>
        <w:rPr>
          <w:b/>
          <w:color w:val="808080"/>
        </w:rPr>
        <w:t>]</w:t>
      </w:r>
      <w:r>
        <w:rPr/>
        <w:t>.</w:t>
      </w:r>
      <w:r>
        <w:rPr>
          <w:rStyle w:val="Funotenanker"/>
        </w:rPr>
        <w:footnoteReference w:customMarkFollows="1" w:id="1098"/>
        <w:t>d</w:t>
      </w:r>
      <w:r>
        <w:rPr/>
        <w:t xml:space="preserve"> {{field-off:bible}} </w:t>
        <w:br/>
        <w:t>[[@BibleTOBIBLE:Mt 16:4]]</w:t>
      </w:r>
      <w:r>
        <w:rPr>
          <w:b/>
        </w:rPr>
        <w:t>4</w:t>
      </w:r>
      <w:r>
        <w:rPr/>
        <w:t xml:space="preserve"> {{field-on:bible}}Ein böses und ehebrecherisches </w:t>
      </w:r>
      <w:r>
        <w:rPr>
          <w:color w:val="808080"/>
        </w:rPr>
        <w:t>(bundesbrüchiges)</w:t>
      </w:r>
      <w:r>
        <w:rPr/>
        <w:t xml:space="preserve"> </w:t>
      </w:r>
      <w:r>
        <w:rPr>
          <w:rStyle w:val="Funotenanker"/>
        </w:rPr>
        <w:footnoteReference w:customMarkFollows="1" w:id="1099"/>
        <w:t>e</w:t>
      </w:r>
      <w:r>
        <w:rPr/>
        <w:t xml:space="preserve"> Geschlecht </w:t>
      </w:r>
      <w:r>
        <w:rPr>
          <w:color w:val="808080"/>
        </w:rPr>
        <w:t>(Generation, Pack)</w:t>
      </w:r>
      <w:r>
        <w:rPr/>
        <w:t xml:space="preserve"> </w:t>
      </w:r>
      <w:r>
        <w:rPr>
          <w:rStyle w:val="Funotenanker"/>
        </w:rPr>
        <w:footnoteReference w:customMarkFollows="1" w:id="1100"/>
        <w:t>f</w:t>
      </w:r>
      <w:r>
        <w:rPr/>
        <w:t xml:space="preserve"> sucht </w:t>
      </w:r>
      <w:r>
        <w:rPr>
          <w:color w:val="808080"/>
        </w:rPr>
        <w:t>(verlangt, fordert)</w:t>
      </w:r>
      <w:r>
        <w:rPr/>
        <w:t xml:space="preserve"> ein Zeichen, aber ein Zeichen wird ihr nicht gegeben werden, außer dem Zeichen Jonas.“ Und er ließ sie zurück </w:t>
      </w:r>
      <w:r>
        <w:rPr>
          <w:color w:val="808080"/>
        </w:rPr>
        <w:t>(stehen)</w:t>
      </w:r>
      <w:r>
        <w:rPr/>
        <w:t xml:space="preserve"> und ging.{{field-off:bible}} </w:t>
        <w:br/>
        <w:t>[[@BibleTOBIBLE:Mt 16:5]]</w:t>
      </w:r>
      <w:r>
        <w:rPr>
          <w:b/>
        </w:rPr>
        <w:t>5</w:t>
      </w:r>
      <w:r>
        <w:rPr/>
        <w:t xml:space="preserve"> {{field-on:bible}} </w:t>
      </w:r>
      <w:r>
        <w:rPr>
          <w:strike/>
          <w:color w:val="808080"/>
        </w:rPr>
        <w:t>{Und}</w:t>
      </w:r>
      <w:r>
        <w:rPr/>
        <w:t xml:space="preserve"> als die Jünger an das jenseitige </w:t>
      </w:r>
      <w:r>
        <w:rPr>
          <w:b/>
          <w:color w:val="808080"/>
        </w:rPr>
        <w:t>[</w:t>
      </w:r>
      <w:r>
        <w:rPr/>
        <w:t>Ufer</w:t>
      </w:r>
      <w:r>
        <w:rPr>
          <w:b/>
          <w:color w:val="808080"/>
        </w:rPr>
        <w:t>]</w:t>
      </w:r>
      <w:r>
        <w:rPr/>
        <w:t xml:space="preserve"> </w:t>
      </w:r>
      <w:r>
        <w:rPr>
          <w:rStyle w:val="Funotenanker"/>
        </w:rPr>
        <w:footnoteReference w:customMarkFollows="1" w:id="1101"/>
        <w:t>g</w:t>
      </w:r>
      <w:r>
        <w:rPr/>
        <w:t xml:space="preserve"> kamen,</w:t>
      </w:r>
      <w:r>
        <w:rPr>
          <w:rStyle w:val="Funotenanker"/>
        </w:rPr>
        <w:footnoteReference w:customMarkFollows="1" w:id="1102"/>
        <w:t>h</w:t>
      </w:r>
      <w:r>
        <w:rPr/>
        <w:t xml:space="preserve"> hatten sie vergessen, Brote mitzunehmen.{{field-off:bible}} </w:t>
        <w:br/>
        <w:t>[[@BibleTOBIBLE:Mt 16:6]]</w:t>
      </w:r>
      <w:r>
        <w:rPr>
          <w:b/>
        </w:rPr>
        <w:t>6</w:t>
      </w:r>
      <w:r>
        <w:rPr/>
        <w:t xml:space="preserve"> {{field-on:bible}} </w:t>
      </w:r>
      <w:r>
        <w:rPr>
          <w:strike/>
          <w:color w:val="808080"/>
        </w:rPr>
        <w:t>{Aber}</w:t>
      </w:r>
      <w:r>
        <w:rPr/>
        <w:t xml:space="preserve"> Jesus sagte ihnen: „Seht zu </w:t>
      </w:r>
      <w:r>
        <w:rPr>
          <w:color w:val="808080"/>
        </w:rPr>
        <w:t>(gebt acht)</w:t>
      </w:r>
      <w:r>
        <w:rPr/>
        <w:t xml:space="preserve"> und hütet euch </w:t>
      </w:r>
      <w:r>
        <w:rPr>
          <w:color w:val="808080"/>
        </w:rPr>
        <w:t>(achtet auf)</w:t>
      </w:r>
      <w:r>
        <w:rPr/>
        <w:t xml:space="preserve"> vor dem Sauerteig der Pharisäer und Sadduzäer!“{{field-off:bible}} </w:t>
        <w:br/>
        <w:t>[[@BibleTOBIBLE:Mt 16:7]]</w:t>
      </w:r>
      <w:r>
        <w:rPr>
          <w:b/>
        </w:rPr>
        <w:t>7</w:t>
      </w:r>
      <w:r>
        <w:rPr/>
        <w:t xml:space="preserve"> {{field-on:bible}}Sie aber diskutierten </w:t>
      </w:r>
      <w:r>
        <w:rPr>
          <w:b/>
          <w:color w:val="808080"/>
        </w:rPr>
        <w:t>[</w:t>
      </w:r>
      <w:r>
        <w:rPr/>
        <w:t>gerade</w:t>
      </w:r>
      <w:r>
        <w:rPr>
          <w:b/>
          <w:color w:val="808080"/>
        </w:rPr>
        <w:t>]</w:t>
      </w:r>
      <w:r>
        <w:rPr/>
        <w:t xml:space="preserve"> </w:t>
      </w:r>
      <w:r>
        <w:rPr>
          <w:rStyle w:val="Funotenanker"/>
        </w:rPr>
        <w:footnoteReference w:customMarkFollows="1" w:id="1103"/>
        <w:t>i</w:t>
      </w:r>
      <w:r>
        <w:rPr/>
        <w:t xml:space="preserve"> miteinander </w:t>
      </w:r>
      <w:r>
        <w:rPr>
          <w:strike/>
          <w:color w:val="808080"/>
        </w:rPr>
        <w:t>{sagend}</w:t>
      </w:r>
      <w:r>
        <w:rPr/>
        <w:t>: „Wir haben keine Brote mitgenommen!“</w:t>
      </w:r>
      <w:r>
        <w:rPr>
          <w:rStyle w:val="Funotenanker"/>
        </w:rPr>
        <w:footnoteReference w:customMarkFollows="1" w:id="1104"/>
        <w:t>j</w:t>
      </w:r>
      <w:r>
        <w:rPr/>
        <w:t xml:space="preserve"> {{field-off:bible}} </w:t>
        <w:br/>
        <w:t>[[@BibleTOBIBLE:Mt 16:8]]</w:t>
      </w:r>
      <w:r>
        <w:rPr>
          <w:b/>
        </w:rPr>
        <w:t>8</w:t>
      </w:r>
      <w:r>
        <w:rPr/>
        <w:t xml:space="preserve"> {{field-on:bible}}Als aber Jesus das merkte, sagte er zu ihnen: „Was diskutiert ihr miteinander, Kleingläubige </w:t>
      </w:r>
      <w:r>
        <w:rPr>
          <w:color w:val="808080"/>
        </w:rPr>
        <w:t>(von schwachem Vertrauen)</w:t>
      </w:r>
      <w:r>
        <w:rPr/>
        <w:t xml:space="preserve">, dass </w:t>
      </w:r>
      <w:r>
        <w:rPr>
          <w:color w:val="808080"/>
        </w:rPr>
        <w:t>(weil)</w:t>
      </w:r>
      <w:r>
        <w:rPr/>
        <w:t xml:space="preserve"> </w:t>
      </w:r>
      <w:r>
        <w:rPr>
          <w:rStyle w:val="Funotenanker"/>
        </w:rPr>
        <w:footnoteReference w:customMarkFollows="1" w:id="1105"/>
        <w:t>k</w:t>
      </w:r>
      <w:r>
        <w:rPr/>
        <w:t xml:space="preserve"> ihr kein Brot habt?{{field-off:bible}} </w:t>
        <w:br/>
        <w:t>[[@BibleTOBIBLE:Mt 16:9]]</w:t>
      </w:r>
      <w:r>
        <w:rPr>
          <w:b/>
        </w:rPr>
        <w:t>9</w:t>
      </w:r>
      <w:r>
        <w:rPr/>
        <w:t xml:space="preserve"> {{field-on:bible}}Begreift </w:t>
      </w:r>
      <w:r>
        <w:rPr>
          <w:color w:val="808080"/>
        </w:rPr>
        <w:t>(versteht, erkennt)</w:t>
      </w:r>
      <w:r>
        <w:rPr/>
        <w:t xml:space="preserve"> ihr noch nicht, und erinnert ihr euch nicht </w:t>
      </w:r>
      <w:r>
        <w:rPr>
          <w:b/>
          <w:color w:val="808080"/>
        </w:rPr>
        <w:t>[</w:t>
      </w:r>
      <w:r>
        <w:rPr/>
        <w:t>mehr</w:t>
      </w:r>
      <w:r>
        <w:rPr>
          <w:b/>
          <w:color w:val="808080"/>
        </w:rPr>
        <w:t>]</w:t>
      </w:r>
      <w:r>
        <w:rPr/>
        <w:t xml:space="preserve"> </w:t>
      </w:r>
      <w:r>
        <w:rPr>
          <w:rStyle w:val="Funotenanker"/>
        </w:rPr>
        <w:footnoteReference w:customMarkFollows="1" w:id="1106"/>
        <w:t>l</w:t>
      </w:r>
      <w:r>
        <w:rPr/>
        <w:t xml:space="preserve"> an die fünf Brote der Fünftausend und </w:t>
      </w:r>
      <w:r>
        <w:rPr>
          <w:b/>
          <w:color w:val="808080"/>
        </w:rPr>
        <w:t>[</w:t>
      </w:r>
      <w:r>
        <w:rPr/>
        <w:t>daran</w:t>
      </w:r>
      <w:r>
        <w:rPr>
          <w:b/>
          <w:color w:val="808080"/>
        </w:rPr>
        <w:t>]</w:t>
      </w:r>
      <w:r>
        <w:rPr/>
        <w:t xml:space="preserve">, wie viele Körbe ihr </w:t>
      </w:r>
      <w:r>
        <w:rPr>
          <w:b/>
          <w:color w:val="808080"/>
        </w:rPr>
        <w:t>[</w:t>
      </w:r>
      <w:r>
        <w:rPr/>
        <w:t>zurück</w:t>
      </w:r>
      <w:r>
        <w:rPr>
          <w:b/>
          <w:color w:val="808080"/>
        </w:rPr>
        <w:t>]</w:t>
      </w:r>
      <w:r>
        <w:rPr/>
        <w:t xml:space="preserve">bekommen habt?{{field-off:bible}} </w:t>
        <w:br/>
        <w:t>[[@BibleTOBIBLE:Mt 16:10]]</w:t>
      </w:r>
      <w:r>
        <w:rPr>
          <w:b/>
        </w:rPr>
        <w:t>10</w:t>
      </w:r>
      <w:r>
        <w:rPr/>
        <w:t xml:space="preserve"> {{field-on:bible}}Und nicht an die sieben Brote der Viertausend und </w:t>
      </w:r>
      <w:r>
        <w:rPr>
          <w:b/>
          <w:color w:val="808080"/>
        </w:rPr>
        <w:t>[</w:t>
      </w:r>
      <w:r>
        <w:rPr/>
        <w:t>daran</w:t>
      </w:r>
      <w:r>
        <w:rPr>
          <w:b/>
          <w:color w:val="808080"/>
        </w:rPr>
        <w:t>]</w:t>
      </w:r>
      <w:r>
        <w:rPr/>
        <w:t xml:space="preserve">, wie viele Körbe ihr </w:t>
      </w:r>
      <w:r>
        <w:rPr>
          <w:b/>
          <w:color w:val="808080"/>
        </w:rPr>
        <w:t>[</w:t>
      </w:r>
      <w:r>
        <w:rPr/>
        <w:t>zurück</w:t>
      </w:r>
      <w:r>
        <w:rPr>
          <w:b/>
          <w:color w:val="808080"/>
        </w:rPr>
        <w:t>]</w:t>
      </w:r>
      <w:r>
        <w:rPr/>
        <w:t xml:space="preserve">bekommen habt?{{field-off:bible}} </w:t>
        <w:br/>
        <w:t>[[@BibleTOBIBLE:Mt 16:11]]</w:t>
      </w:r>
      <w:r>
        <w:rPr>
          <w:b/>
        </w:rPr>
        <w:t>11</w:t>
      </w:r>
      <w:r>
        <w:rPr/>
        <w:t xml:space="preserve"> {{field-on:bible}}Warum </w:t>
      </w:r>
      <w:r>
        <w:rPr>
          <w:color w:val="808080"/>
        </w:rPr>
        <w:t>(wie)</w:t>
      </w:r>
      <w:r>
        <w:rPr/>
        <w:t xml:space="preserve"> begreift </w:t>
      </w:r>
      <w:r>
        <w:rPr>
          <w:color w:val="808080"/>
        </w:rPr>
        <w:t>(versteht, erkennt)</w:t>
      </w:r>
      <w:r>
        <w:rPr/>
        <w:t xml:space="preserve"> ihr nicht, dass ich </w:t>
      </w:r>
      <w:r>
        <w:rPr>
          <w:b/>
          <w:color w:val="808080"/>
        </w:rPr>
        <w:t>[</w:t>
      </w:r>
      <w:r>
        <w:rPr/>
        <w:t>gerade</w:t>
      </w:r>
      <w:r>
        <w:rPr>
          <w:b/>
          <w:color w:val="808080"/>
        </w:rPr>
        <w:t>]</w:t>
      </w:r>
      <w:r>
        <w:rPr/>
        <w:t xml:space="preserve"> nicht über Brote zu euch sprach? Nehmt euch </w:t>
      </w:r>
      <w:r>
        <w:rPr>
          <w:strike/>
          <w:color w:val="808080"/>
        </w:rPr>
        <w:t>{aber}</w:t>
      </w:r>
      <w:r>
        <w:rPr/>
        <w:t xml:space="preserve"> in Acht vor dem Sauerteig der Pharisäer und Sadduzäer.“{{field-off:bible}} </w:t>
        <w:br/>
        <w:t>[[@BibleTOBIBLE:Mt 16:12]]</w:t>
      </w:r>
      <w:r>
        <w:rPr>
          <w:b/>
        </w:rPr>
        <w:t>12</w:t>
      </w:r>
      <w:r>
        <w:rPr/>
        <w:t xml:space="preserve"> {{field-on:bible}}Da verstanden sie, dass er nicht meinte </w:t>
      </w:r>
      <w:r>
        <w:rPr>
          <w:color w:val="808080"/>
        </w:rPr>
        <w:t>(sagte)</w:t>
      </w:r>
      <w:r>
        <w:rPr/>
        <w:t xml:space="preserve">, sich vor dem Sauerteig </w:t>
      </w:r>
      <w:r>
        <w:rPr>
          <w:strike/>
          <w:color w:val="808080"/>
        </w:rPr>
        <w:t>{des Brotes}</w:t>
      </w:r>
      <w:r>
        <w:rPr/>
        <w:t xml:space="preserve"> </w:t>
      </w:r>
      <w:r>
        <w:rPr>
          <w:rStyle w:val="Funotenanker"/>
        </w:rPr>
        <w:footnoteReference w:customMarkFollows="1" w:id="1107"/>
        <w:t>m</w:t>
      </w:r>
      <w:r>
        <w:rPr/>
        <w:t xml:space="preserve"> in Acht zu nehmen, sondern vor der Lehre der Pharisäer und Sadduzäer.{{field-off:bible}} </w:t>
        <w:br/>
        <w:t>[[@BibleTOBIBLE:Mt 16:13]]</w:t>
      </w:r>
      <w:r>
        <w:rPr>
          <w:b/>
        </w:rPr>
        <w:t>13</w:t>
      </w:r>
      <w:r>
        <w:rPr/>
        <w:t xml:space="preserve"> {{field-on:bible}}Als </w:t>
      </w:r>
      <w:r>
        <w:rPr>
          <w:strike/>
          <w:color w:val="808080"/>
        </w:rPr>
        <w:t>{aber}</w:t>
      </w:r>
      <w:r>
        <w:rPr/>
        <w:t xml:space="preserve"> Jesus in das Gebiet von Cäsaräa Philippi gekommen war, fragte er seine Jünger </w:t>
      </w:r>
      <w:r>
        <w:rPr>
          <w:strike/>
          <w:color w:val="808080"/>
        </w:rPr>
        <w:t>{und sprach}</w:t>
      </w:r>
      <w:r>
        <w:rPr/>
        <w:t>: „Wer, sagen die Leute, dass ich - der Menschensohn!</w:t>
      </w:r>
      <w:r>
        <w:rPr>
          <w:rStyle w:val="Funotenanker"/>
        </w:rPr>
        <w:footnoteReference w:customMarkFollows="1" w:id="1108"/>
        <w:t>n</w:t>
      </w:r>
      <w:r>
        <w:rPr/>
        <w:t xml:space="preserve"> - </w:t>
      </w:r>
      <w:r>
        <w:rPr>
          <w:color w:val="808080"/>
        </w:rPr>
        <w:t>(dass der Menschensohn)</w:t>
      </w:r>
      <w:r>
        <w:rPr/>
        <w:t xml:space="preserve"> </w:t>
      </w:r>
      <w:r>
        <w:rPr>
          <w:rStyle w:val="Funotenanker"/>
        </w:rPr>
        <w:footnoteReference w:customMarkFollows="1" w:id="1109"/>
        <w:t>o</w:t>
      </w:r>
      <w:r>
        <w:rPr/>
        <w:t xml:space="preserve"> sei?“{{field-off:bible}} </w:t>
        <w:br/>
        <w:t>[[@BibleTOBIBLE:Mt 16:14]]</w:t>
      </w:r>
      <w:r>
        <w:rPr>
          <w:b/>
        </w:rPr>
        <w:t>14</w:t>
      </w:r>
      <w:r>
        <w:rPr/>
        <w:t xml:space="preserve"> {{field-on:bible}}Sie aber sagten: „Die einen </w:t>
      </w:r>
      <w:r>
        <w:rPr>
          <w:b/>
          <w:color w:val="808080"/>
        </w:rPr>
        <w:t>[</w:t>
      </w:r>
      <w:r>
        <w:rPr/>
        <w:t>sagen</w:t>
      </w:r>
      <w:r>
        <w:rPr>
          <w:b/>
          <w:color w:val="808080"/>
        </w:rPr>
        <w:t>]</w:t>
      </w:r>
      <w:r>
        <w:rPr/>
        <w:t xml:space="preserve">: »Johannes der Täufer«, andere </w:t>
      </w:r>
      <w:r>
        <w:rPr>
          <w:strike/>
          <w:color w:val="808080"/>
        </w:rPr>
        <w:t>{aber}</w:t>
      </w:r>
      <w:r>
        <w:rPr/>
        <w:t xml:space="preserve"> »Elija«, andere </w:t>
      </w:r>
      <w:r>
        <w:rPr>
          <w:strike/>
          <w:color w:val="808080"/>
        </w:rPr>
        <w:t>{aber}</w:t>
      </w:r>
      <w:r>
        <w:rPr/>
        <w:t xml:space="preserve"> »Jeremia oder einer der Propheten«.“{{field-off:bible}} </w:t>
        <w:br/>
        <w:t>[[@BibleTOBIBLE:Mt 16:15]]</w:t>
      </w:r>
      <w:r>
        <w:rPr>
          <w:b/>
        </w:rPr>
        <w:t>15</w:t>
      </w:r>
      <w:r>
        <w:rPr/>
        <w:t xml:space="preserve"> {{field-on:bible}}Er sagte zu ihnen: „Ihr aber, wer sagt ihr, dass ich sei?“{{field-off:bible}} </w:t>
        <w:br/>
        <w:t>[[@BibleTOBIBLE:Mt 16:16]]</w:t>
      </w:r>
      <w:r>
        <w:rPr>
          <w:b/>
        </w:rPr>
        <w:t>16</w:t>
      </w:r>
      <w:r>
        <w:rPr/>
        <w:t xml:space="preserve"> {{field-on:bible}}Es antwortete </w:t>
      </w:r>
      <w:r>
        <w:rPr>
          <w:strike/>
          <w:color w:val="808080"/>
        </w:rPr>
        <w:t>{aber}</w:t>
      </w:r>
      <w:r>
        <w:rPr/>
        <w:t xml:space="preserve"> Simon Petrus </w:t>
      </w:r>
      <w:r>
        <w:rPr>
          <w:strike/>
          <w:color w:val="808080"/>
        </w:rPr>
        <w:t>{und sprach}</w:t>
      </w:r>
      <w:r>
        <w:rPr/>
        <w:t>: „Du bist der Gesalbte</w:t>
      </w:r>
      <w:r>
        <w:rPr>
          <w:rStyle w:val="Funotenanker"/>
        </w:rPr>
        <w:footnoteReference w:customMarkFollows="1" w:id="1110"/>
        <w:t>p</w:t>
      </w:r>
      <w:r>
        <w:rPr/>
        <w:t xml:space="preserve">, der Sohn des lebendigen </w:t>
      </w:r>
      <w:r>
        <w:rPr>
          <w:b/>
          <w:color w:val="808080"/>
        </w:rPr>
        <w:t>[</w:t>
      </w:r>
      <w:r>
        <w:rPr/>
        <w:t>Gottes</w:t>
      </w:r>
      <w:r>
        <w:rPr>
          <w:b/>
          <w:color w:val="808080"/>
        </w:rPr>
        <w:t>]</w:t>
      </w:r>
      <w:r>
        <w:rPr/>
        <w:t xml:space="preserve">.“{{field-off:bible}} </w:t>
        <w:br/>
        <w:t>[[@BibleTOBIBLE:Mt 16:17]]</w:t>
      </w:r>
      <w:r>
        <w:rPr>
          <w:b/>
        </w:rPr>
        <w:t>17</w:t>
      </w:r>
      <w:r>
        <w:rPr/>
        <w:t xml:space="preserve"> {{field-on:bible}}Jesus </w:t>
      </w:r>
      <w:r>
        <w:rPr>
          <w:strike/>
          <w:color w:val="808080"/>
        </w:rPr>
        <w:t>{aber}</w:t>
      </w:r>
      <w:r>
        <w:rPr/>
        <w:t xml:space="preserve"> sagte zu ihm: „</w:t>
      </w:r>
      <w:r>
        <w:rPr>
          <w:b/>
          <w:color w:val="808080"/>
        </w:rPr>
        <w:t>[</w:t>
      </w:r>
      <w:r>
        <w:rPr/>
        <w:t>Wie</w:t>
      </w:r>
      <w:r>
        <w:rPr>
          <w:b/>
          <w:color w:val="808080"/>
        </w:rPr>
        <w:t>]</w:t>
      </w:r>
      <w:r>
        <w:rPr/>
        <w:t xml:space="preserve"> glücklich </w:t>
      </w:r>
      <w:r>
        <w:rPr>
          <w:color w:val="808080"/>
        </w:rPr>
        <w:t>(selig, glückselig)</w:t>
      </w:r>
      <w:r>
        <w:rPr/>
        <w:t xml:space="preserve"> </w:t>
      </w:r>
      <w:r>
        <w:rPr>
          <w:rStyle w:val="Funotenanker"/>
        </w:rPr>
        <w:footnoteReference w:customMarkFollows="1" w:id="1111"/>
        <w:t>q</w:t>
      </w:r>
      <w:r>
        <w:rPr/>
        <w:t xml:space="preserve"> bist du, Simon bar Jona</w:t>
      </w:r>
      <w:r>
        <w:rPr>
          <w:rStyle w:val="Funotenanker"/>
        </w:rPr>
        <w:footnoteReference w:customMarkFollows="1" w:id="1112"/>
        <w:t>r</w:t>
      </w:r>
      <w:r>
        <w:rPr/>
        <w:t>, denn nicht Fleisch und Blut</w:t>
      </w:r>
      <w:r>
        <w:rPr>
          <w:rStyle w:val="Funotenanker"/>
        </w:rPr>
        <w:footnoteReference w:customMarkFollows="1" w:id="1113"/>
        <w:t>s</w:t>
      </w:r>
      <w:r>
        <w:rPr/>
        <w:t xml:space="preserve"> haben dir das offenbart </w:t>
      </w:r>
      <w:r>
        <w:rPr>
          <w:color w:val="808080"/>
        </w:rPr>
        <w:t>(enthüllt)</w:t>
      </w:r>
      <w:r>
        <w:rPr/>
        <w:t>, sondern mein Vater im Himmel.</w:t>
      </w:r>
      <w:r>
        <w:rPr>
          <w:rStyle w:val="Funotenanker"/>
        </w:rPr>
        <w:footnoteReference w:customMarkFollows="1" w:id="1114"/>
        <w:t>t</w:t>
      </w:r>
      <w:r>
        <w:rPr/>
        <w:t xml:space="preserve"> {{field-off:bible}} </w:t>
        <w:br/>
        <w:t>[[@BibleTOBIBLE:Mt 16:18]]</w:t>
      </w:r>
      <w:r>
        <w:rPr>
          <w:b/>
        </w:rPr>
        <w:t>18</w:t>
      </w:r>
      <w:r>
        <w:rPr/>
        <w:t xml:space="preserve"> {{field-on:bible}}Aber ich sage dir: Du bist Petrus </w:t>
      </w:r>
      <w:r>
        <w:rPr>
          <w:color w:val="808080"/>
        </w:rPr>
        <w:t>(Fels)</w:t>
      </w:r>
      <w:r>
        <w:rPr/>
        <w:t>, und auf dieses Gefels</w:t>
      </w:r>
      <w:r>
        <w:rPr>
          <w:rStyle w:val="Funotenanker"/>
        </w:rPr>
        <w:footnoteReference w:customMarkFollows="1" w:id="1115"/>
        <w:t>u</w:t>
      </w:r>
      <w:r>
        <w:rPr/>
        <w:t xml:space="preserve"> werde ich meine Kirche </w:t>
      </w:r>
      <w:r>
        <w:rPr>
          <w:color w:val="808080"/>
        </w:rPr>
        <w:t>(er)</w:t>
      </w:r>
      <w:r>
        <w:rPr/>
        <w:t>bauen, und die Pforten des Hades</w:t>
      </w:r>
      <w:r>
        <w:rPr>
          <w:rStyle w:val="Funotenanker"/>
        </w:rPr>
        <w:footnoteReference w:customMarkFollows="1" w:id="1116"/>
        <w:t>v</w:t>
      </w:r>
      <w:r>
        <w:rPr/>
        <w:t xml:space="preserve"> werden nicht die Oberhand haben </w:t>
      </w:r>
      <w:r>
        <w:rPr>
          <w:color w:val="808080"/>
        </w:rPr>
        <w:t>(erlangen)</w:t>
      </w:r>
      <w:r>
        <w:rPr/>
        <w:t xml:space="preserve"> über sie </w:t>
      </w:r>
      <w:r>
        <w:rPr>
          <w:color w:val="808080"/>
        </w:rPr>
        <w:t>(es)</w:t>
      </w:r>
      <w:r>
        <w:rPr/>
        <w:t>.</w:t>
      </w:r>
      <w:r>
        <w:rPr>
          <w:rStyle w:val="Funotenanker"/>
        </w:rPr>
        <w:footnoteReference w:customMarkFollows="1" w:id="1117"/>
        <w:t>w</w:t>
      </w:r>
      <w:r>
        <w:rPr/>
        <w:t xml:space="preserve"> {{field-off:bible}} </w:t>
        <w:br/>
        <w:t>[[@BibleTOBIBLE:Mt 16:19]]</w:t>
      </w:r>
      <w:r>
        <w:rPr>
          <w:b/>
        </w:rPr>
        <w:t>19</w:t>
      </w:r>
      <w:r>
        <w:rPr/>
        <w:t xml:space="preserve"> {{field-on:bible}}Ich werde dir die Schlüssel des Reiches des Himmels </w:t>
      </w:r>
      <w:r>
        <w:rPr>
          <w:color w:val="808080"/>
        </w:rPr>
        <w:t>(der Himmel)</w:t>
      </w:r>
      <w:r>
        <w:rPr/>
        <w:t xml:space="preserve"> geben, und was </w:t>
      </w:r>
      <w:r>
        <w:rPr>
          <w:b/>
          <w:color w:val="808080"/>
        </w:rPr>
        <w:t>[</w:t>
      </w:r>
      <w:r>
        <w:rPr/>
        <w:t>auch immer</w:t>
      </w:r>
      <w:r>
        <w:rPr>
          <w:b/>
          <w:color w:val="808080"/>
        </w:rPr>
        <w:t>]</w:t>
      </w:r>
      <w:r>
        <w:rPr/>
        <w:t xml:space="preserve"> </w:t>
      </w:r>
      <w:r>
        <w:rPr>
          <w:color w:val="808080"/>
        </w:rPr>
        <w:t>(</w:t>
      </w:r>
      <w:r>
        <w:rPr>
          <w:b/>
          <w:color w:val="808080"/>
        </w:rPr>
        <w:t>[</w:t>
      </w:r>
      <w:r>
        <w:rPr>
          <w:color w:val="808080"/>
        </w:rPr>
        <w:t>alles,</w:t>
      </w:r>
      <w:r>
        <w:rPr>
          <w:b/>
          <w:color w:val="808080"/>
        </w:rPr>
        <w:t>]</w:t>
      </w:r>
      <w:r>
        <w:rPr>
          <w:color w:val="808080"/>
        </w:rPr>
        <w:t xml:space="preserve"> was)</w:t>
      </w:r>
      <w:r>
        <w:rPr/>
        <w:t xml:space="preserve"> du binden wirst auf der Erde, wird gebunden sein im Himmel </w:t>
      </w:r>
      <w:r>
        <w:rPr>
          <w:color w:val="808080"/>
        </w:rPr>
        <w:t>(in den Himmeln)</w:t>
      </w:r>
      <w:r>
        <w:rPr/>
        <w:t xml:space="preserve">, und was </w:t>
      </w:r>
      <w:r>
        <w:rPr>
          <w:b/>
          <w:color w:val="808080"/>
        </w:rPr>
        <w:t>[</w:t>
      </w:r>
      <w:r>
        <w:rPr/>
        <w:t>auch immer</w:t>
      </w:r>
      <w:r>
        <w:rPr>
          <w:b/>
          <w:color w:val="808080"/>
        </w:rPr>
        <w:t>]</w:t>
      </w:r>
      <w:r>
        <w:rPr/>
        <w:t xml:space="preserve"> </w:t>
      </w:r>
      <w:r>
        <w:rPr>
          <w:color w:val="808080"/>
        </w:rPr>
        <w:t>(</w:t>
      </w:r>
      <w:r>
        <w:rPr>
          <w:b/>
          <w:color w:val="808080"/>
        </w:rPr>
        <w:t>[</w:t>
      </w:r>
      <w:r>
        <w:rPr>
          <w:color w:val="808080"/>
        </w:rPr>
        <w:t>alles,</w:t>
      </w:r>
      <w:r>
        <w:rPr>
          <w:b/>
          <w:color w:val="808080"/>
        </w:rPr>
        <w:t>]</w:t>
      </w:r>
      <w:r>
        <w:rPr>
          <w:color w:val="808080"/>
        </w:rPr>
        <w:t xml:space="preserve"> was)</w:t>
      </w:r>
      <w:r>
        <w:rPr/>
        <w:t xml:space="preserve"> du lösen wirst auf der Erde, wird gelöst sein im Himmel </w:t>
      </w:r>
      <w:r>
        <w:rPr>
          <w:color w:val="808080"/>
        </w:rPr>
        <w:t>(in den Himmeln)</w:t>
      </w:r>
      <w:r>
        <w:rPr/>
        <w:t>.“</w:t>
      </w:r>
      <w:r>
        <w:rPr>
          <w:rStyle w:val="Funotenanker"/>
        </w:rPr>
        <w:footnoteReference w:customMarkFollows="1" w:id="1118"/>
        <w:t>x</w:t>
      </w:r>
      <w:r>
        <w:rPr/>
        <w:t xml:space="preserve"> {{field-off:bible}} </w:t>
        <w:br/>
        <w:t>[[@BibleTOBIBLE:Mt 16:20]]</w:t>
      </w:r>
      <w:r>
        <w:rPr>
          <w:b/>
        </w:rPr>
        <w:t>20</w:t>
      </w:r>
      <w:r>
        <w:rPr/>
        <w:t xml:space="preserve"> {{field-on:bible}}Dann befahl er </w:t>
      </w:r>
      <w:r>
        <w:rPr>
          <w:color w:val="808080"/>
        </w:rPr>
        <w:t>(ordnete er an, schärfte er ein)</w:t>
      </w:r>
      <w:r>
        <w:rPr/>
        <w:t xml:space="preserve"> den Jüngern, dass sie niemandem sagen sollten, dass er der Gesalbte sei.{{field-off:bible}} </w:t>
        <w:br/>
        <w:t>[[@BibleTOBIBLE:Mt 16:21]]</w:t>
      </w:r>
      <w:r>
        <w:rPr>
          <w:b/>
        </w:rPr>
        <w:t>21</w:t>
      </w:r>
      <w:r>
        <w:rPr/>
        <w:t xml:space="preserve"> {{field-on:bible}}Von da an begann Jesus, den Jüngern zu zeigen </w:t>
      </w:r>
      <w:r>
        <w:rPr>
          <w:color w:val="808080"/>
        </w:rPr>
        <w:t>(darzutun, klarzumachen, hinzuweisen)</w:t>
      </w:r>
      <w:r>
        <w:rPr/>
        <w:t>, dass er nach Jerusalem gehen und vieles von den Ältesten und Führern und Schriftgelehrten erleiden und getötet werden und am dritten Tage auferstehen müsse.</w:t>
      </w:r>
      <w:r>
        <w:rPr>
          <w:rStyle w:val="Funotenanker"/>
        </w:rPr>
        <w:footnoteReference w:customMarkFollows="1" w:id="1119"/>
        <w:t>y</w:t>
      </w:r>
      <w:r>
        <w:rPr/>
        <w:t xml:space="preserve"> {{field-off:bible}} </w:t>
        <w:br/>
        <w:t>[[@BibleTOBIBLE:Mt 16:22]]</w:t>
      </w:r>
      <w:r>
        <w:rPr>
          <w:b/>
        </w:rPr>
        <w:t>22</w:t>
      </w:r>
      <w:r>
        <w:rPr/>
        <w:t xml:space="preserve"> {{field-on:bible}}Und es nahm ihn beiseite </w:t>
      </w:r>
      <w:r>
        <w:rPr>
          <w:color w:val="808080"/>
        </w:rPr>
        <w:t>(zu sich)</w:t>
      </w:r>
      <w:r>
        <w:rPr/>
        <w:t xml:space="preserve"> Petrus und begann ihn anzufahren </w:t>
      </w:r>
      <w:r>
        <w:rPr>
          <w:color w:val="808080"/>
        </w:rPr>
        <w:t>(zu tadeln, zurechtzuweisen)</w:t>
      </w:r>
      <w:r>
        <w:rPr/>
        <w:t xml:space="preserve"> </w:t>
      </w:r>
      <w:r>
        <w:rPr>
          <w:strike/>
          <w:color w:val="808080"/>
        </w:rPr>
        <w:t>{sagend}</w:t>
      </w:r>
      <w:r>
        <w:rPr/>
        <w:t xml:space="preserve">: „Gott sei dir gnädig </w:t>
      </w:r>
      <w:r>
        <w:rPr>
          <w:color w:val="808080"/>
        </w:rPr>
        <w:t>(wohlgesonnen, gütig gesinnt)</w:t>
      </w:r>
      <w:r>
        <w:rPr/>
        <w:t xml:space="preserve">, Herr! Dies darf </w:t>
      </w:r>
      <w:r>
        <w:rPr>
          <w:color w:val="808080"/>
        </w:rPr>
        <w:t>(soll)</w:t>
      </w:r>
      <w:r>
        <w:rPr/>
        <w:t xml:space="preserve"> dir nicht geschehen </w:t>
      </w:r>
      <w:r>
        <w:rPr>
          <w:color w:val="808080"/>
        </w:rPr>
        <w:t>(zustoßen)</w:t>
      </w:r>
      <w:r>
        <w:rPr/>
        <w:t xml:space="preserve">!“{{field-off:bible}} </w:t>
        <w:br/>
        <w:t>[[@BibleTOBIBLE:Mt 16:23]]</w:t>
      </w:r>
      <w:r>
        <w:rPr>
          <w:b/>
        </w:rPr>
        <w:t>23</w:t>
      </w:r>
      <w:r>
        <w:rPr/>
        <w:t xml:space="preserve"> {{field-on:bible}}Der aber wandte sich um</w:t>
      </w:r>
      <w:r>
        <w:rPr>
          <w:rStyle w:val="Funotenanker"/>
        </w:rPr>
        <w:footnoteReference w:customMarkFollows="1" w:id="1120"/>
        <w:t>z</w:t>
      </w:r>
      <w:r>
        <w:rPr/>
        <w:t xml:space="preserve"> und sagte zu Petrus: „Geh hinter mich </w:t>
      </w:r>
      <w:r>
        <w:rPr>
          <w:color w:val="808080"/>
        </w:rPr>
        <w:t>(geh weg von mir, lass mich in Ruhe)</w:t>
      </w:r>
      <w:r>
        <w:rPr/>
        <w:t>,</w:t>
      </w:r>
      <w:r>
        <w:rPr>
          <w:rStyle w:val="Funotenanker"/>
        </w:rPr>
        <w:footnoteReference w:customMarkFollows="1" w:id="1121"/>
        <w:t>aa</w:t>
      </w:r>
      <w:r>
        <w:rPr/>
        <w:t xml:space="preserve"> Satan! Eine Versuchung </w:t>
      </w:r>
      <w:r>
        <w:rPr>
          <w:color w:val="808080"/>
        </w:rPr>
        <w:t>(Verführung, Falle)</w:t>
      </w:r>
      <w:r>
        <w:rPr/>
        <w:t xml:space="preserve"> bist du mir, denn du denkst </w:t>
      </w:r>
      <w:r>
        <w:rPr>
          <w:color w:val="808080"/>
        </w:rPr>
        <w:t>(meinst)</w:t>
      </w:r>
      <w:r>
        <w:rPr/>
        <w:t xml:space="preserve"> nicht die Sache Gottes, sondern die Sache der Menschen.“{{field-off:bible}} </w:t>
        <w:br/>
        <w:t>[[@BibleTOBIBLE:Mt 16:24]]</w:t>
      </w:r>
      <w:r>
        <w:rPr>
          <w:b/>
        </w:rPr>
        <w:t>24</w:t>
      </w:r>
      <w:r>
        <w:rPr/>
        <w:t xml:space="preserve"> {{field-on:bible}}Dann sagte Jesus seinen Jüngern: „Wenn jemand hinter mir gehen </w:t>
      </w:r>
      <w:r>
        <w:rPr>
          <w:color w:val="808080"/>
        </w:rPr>
        <w:t>(mir nachfolgen)</w:t>
      </w:r>
      <w:r>
        <w:rPr/>
        <w:t xml:space="preserve"> möchte, verleugne er sich selbst, nehme sein Kreuz auf </w:t>
      </w:r>
      <w:r>
        <w:rPr>
          <w:color w:val="808080"/>
        </w:rPr>
        <w:t>(mit)</w:t>
      </w:r>
      <w:r>
        <w:rPr/>
        <w:t xml:space="preserve"> und folge mir nach.{{field-off:bible}} </w:t>
        <w:br/>
        <w:t>[[@BibleTOBIBLE:Mt 16:25]]</w:t>
      </w:r>
      <w:r>
        <w:rPr>
          <w:b/>
        </w:rPr>
        <w:t>25</w:t>
      </w:r>
      <w:r>
        <w:rPr/>
        <w:t xml:space="preserve"> {{field-on:bible}}Denn wer auch immer </w:t>
      </w:r>
      <w:r>
        <w:rPr>
          <w:color w:val="808080"/>
        </w:rPr>
        <w:t>(jeder, der)</w:t>
      </w:r>
      <w:r>
        <w:rPr/>
        <w:t xml:space="preserve"> sein Leben retten möchte, wird es verlieren. Aber wer auch immer </w:t>
      </w:r>
      <w:r>
        <w:rPr>
          <w:color w:val="808080"/>
        </w:rPr>
        <w:t>(jeder, der)</w:t>
      </w:r>
      <w:r>
        <w:rPr/>
        <w:t xml:space="preserve"> sein Leben verliert um meinetwillen </w:t>
      </w:r>
      <w:r>
        <w:rPr>
          <w:color w:val="808080"/>
        </w:rPr>
        <w:t>(wegen mir)</w:t>
      </w:r>
      <w:r>
        <w:rPr/>
        <w:t xml:space="preserve">, wird es erlangen </w:t>
      </w:r>
      <w:r>
        <w:rPr>
          <w:color w:val="808080"/>
        </w:rPr>
        <w:t>(gewinnen, finden)</w:t>
      </w:r>
      <w:r>
        <w:rPr/>
        <w:t xml:space="preserve">.{{field-off:bible}} </w:t>
        <w:br/>
        <w:t>[[@BibleTOBIBLE:Mt 16:26]]</w:t>
      </w:r>
      <w:r>
        <w:rPr>
          <w:b/>
        </w:rPr>
        <w:t>26</w:t>
      </w:r>
      <w:r>
        <w:rPr/>
        <w:t xml:space="preserve"> {{field-on:bible}}Denn was würde es einem Menschen helfen </w:t>
      </w:r>
      <w:r>
        <w:rPr>
          <w:color w:val="808080"/>
        </w:rPr>
        <w:t>(nützen, fördern)</w:t>
      </w:r>
      <w:r>
        <w:rPr/>
        <w:t xml:space="preserve">, wenn er die ganze Welt gewönne, ihm aber sein Leben </w:t>
      </w:r>
      <w:r>
        <w:rPr>
          <w:color w:val="808080"/>
        </w:rPr>
        <w:t>(Seele)</w:t>
      </w:r>
      <w:r>
        <w:rPr/>
        <w:t xml:space="preserve"> abhanden komme </w:t>
      </w:r>
      <w:r>
        <w:rPr>
          <w:color w:val="808080"/>
        </w:rPr>
        <w:t>(er sein Leben einbüßte, sein Leben Schaden erlitte)</w:t>
      </w:r>
      <w:r>
        <w:rPr/>
        <w:t xml:space="preserve">? Oder was kann ein Mensch geben als Tauschmittel </w:t>
      </w:r>
      <w:r>
        <w:rPr>
          <w:color w:val="808080"/>
        </w:rPr>
        <w:t>(Gegenwert)</w:t>
      </w:r>
      <w:r>
        <w:rPr/>
        <w:t xml:space="preserve"> für sein Leben </w:t>
      </w:r>
      <w:r>
        <w:rPr>
          <w:color w:val="808080"/>
        </w:rPr>
        <w:t>(seine Seele)</w:t>
      </w:r>
      <w:r>
        <w:rPr/>
        <w:t>?</w:t>
      </w:r>
      <w:r>
        <w:rPr>
          <w:rStyle w:val="Funotenanker"/>
        </w:rPr>
        <w:footnoteReference w:customMarkFollows="1" w:id="1122"/>
        <w:t>ab</w:t>
      </w:r>
      <w:r>
        <w:rPr/>
        <w:t xml:space="preserve"> {{field-off:bible}} </w:t>
        <w:br/>
        <w:t>[[@BibleTOBIBLE:Mt 16:27]]</w:t>
      </w:r>
      <w:r>
        <w:rPr>
          <w:b/>
        </w:rPr>
        <w:t>27</w:t>
      </w:r>
      <w:r>
        <w:rPr/>
        <w:t xml:space="preserve"> {{field-on:bible}}Denn der Sohn des Menschen wird mit seinen Engeln in der Herrlichkeit</w:t>
      </w:r>
      <w:r>
        <w:rPr>
          <w:rStyle w:val="Funotenanker"/>
        </w:rPr>
        <w:footnoteReference w:customMarkFollows="1" w:id="1123"/>
        <w:t>ac</w:t>
      </w:r>
      <w:r>
        <w:rPr/>
        <w:t xml:space="preserve"> seines Vaters kommen, und dann wird er vergelten einem jeden nach seinem Tun.{{field-off:bible}} </w:t>
        <w:br/>
        <w:t>[[@BibleTOBIBLE:Mt 16:28]]</w:t>
      </w:r>
      <w:r>
        <w:rPr>
          <w:b/>
        </w:rPr>
        <w:t>28</w:t>
      </w:r>
      <w:r>
        <w:rPr/>
        <w:t xml:space="preserve"> {{field-on:bible}}Amen, ich sage euch:</w:t>
      </w:r>
      <w:r>
        <w:rPr>
          <w:rStyle w:val="Funotenanker"/>
        </w:rPr>
        <w:footnoteReference w:customMarkFollows="1" w:id="1124"/>
        <w:t>ad</w:t>
      </w:r>
      <w:r>
        <w:rPr/>
        <w:t xml:space="preserve"> Einige von denen, die hier stehen, werden den Tod nicht schmecken </w:t>
      </w:r>
      <w:r>
        <w:rPr>
          <w:color w:val="808080"/>
        </w:rPr>
        <w:t>(kennen lernen, erfahren)</w:t>
      </w:r>
      <w:r>
        <w:rPr/>
        <w:t xml:space="preserve"> </w:t>
      </w:r>
      <w:r>
        <w:rPr>
          <w:rStyle w:val="Funotenanker"/>
        </w:rPr>
        <w:footnoteReference w:customMarkFollows="1" w:id="1125"/>
        <w:t>ae</w:t>
      </w:r>
      <w:r>
        <w:rPr/>
        <w:t xml:space="preserve"> bis sie gesehen haben den Sohn des Menschen kommend in seine Herrschaft </w:t>
      </w:r>
      <w:r>
        <w:rPr>
          <w:color w:val="808080"/>
        </w:rPr>
        <w:t>(Reich)</w:t>
      </w:r>
      <w:r>
        <w:rPr/>
        <w:t xml:space="preserve">.“{{field-off:bible}}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1126"/>
        <w:t>Status</w:t>
      </w:r>
      <w:r>
        <w:rPr/>
        <w:t xml:space="preserve"> Spät</w:t>
      </w:r>
      <w:r>
        <w:rPr>
          <w:rStyle w:val="Funotenanker"/>
        </w:rPr>
        <w:footnoteReference w:customMarkFollows="1" w:id="1127"/>
        <w:t>a</w:t>
      </w:r>
      <w:r>
        <w:rPr/>
        <w:t xml:space="preserve"> am Sabbat </w:t>
      </w:r>
      <w:r>
        <w:rPr>
          <w:strike/>
          <w:color w:val="808080"/>
        </w:rPr>
        <w:t>{aber}</w:t>
      </w:r>
      <w:r>
        <w:rPr/>
        <w:t xml:space="preserve">, in der Dämmerung des ersten </w:t>
      </w:r>
      <w:r>
        <w:rPr>
          <w:b/>
          <w:color w:val="808080"/>
        </w:rPr>
        <w:t>[</w:t>
      </w:r>
      <w:r>
        <w:rPr/>
        <w:t>Tages</w:t>
      </w:r>
      <w:r>
        <w:rPr>
          <w:b/>
          <w:color w:val="808080"/>
        </w:rPr>
        <w:t>]</w:t>
      </w:r>
      <w:r>
        <w:rPr/>
        <w:t xml:space="preserve"> der Woche, gingen Maria aus Magdala </w:t>
      </w:r>
      <w:r>
        <w:rPr>
          <w:color w:val="808080"/>
        </w:rPr>
        <w:t>(die Magdalenerin)</w:t>
      </w:r>
      <w:r>
        <w:rPr/>
        <w:t xml:space="preserve"> und die andere Maria, um das Grab zu sehen. </w:t>
      </w:r>
      <w:r>
        <w:rPr>
          <w:position w:val="8"/>
          <w:sz w:val="19"/>
        </w:rPr>
        <w:t>[[ ℘ &gt;&gt; BibleTOBIBLE:Mk 16:2]]</w:t>
      </w:r>
      <w:r>
        <w:rPr/>
        <w:t xml:space="preserve"> </w:t>
      </w:r>
      <w:r>
        <w:rPr>
          <w:position w:val="8"/>
          <w:sz w:val="19"/>
        </w:rPr>
        <w:t>[[ ℘ &gt;&gt; BibleTOBIBLE:Lk 24:1]]</w:t>
      </w:r>
      <w:r>
        <w:rPr/>
        <w:t xml:space="preserve"> {{field-off:bible}} </w:t>
        <w:br/>
        <w:t>[[@BibleTOBIBLE:Mt 28:2]]</w:t>
      </w:r>
      <w:r>
        <w:rPr>
          <w:b/>
        </w:rPr>
        <w:t>2</w:t>
      </w:r>
      <w:r>
        <w:rPr/>
        <w:t xml:space="preserve"> {{field-on:bible}}Und siehe – ein großes Erbeben ereignete sich: Ein Engel </w:t>
      </w:r>
      <w:r>
        <w:rPr>
          <w:color w:val="808080"/>
        </w:rPr>
        <w:t>(Bote)</w:t>
      </w:r>
      <w:r>
        <w:rPr/>
        <w:t xml:space="preserve"> des Herrn</w:t>
      </w:r>
      <w:r>
        <w:rPr>
          <w:rStyle w:val="Funotenanker"/>
        </w:rPr>
        <w:footnoteReference w:customMarkFollows="1" w:id="1128"/>
        <w:t>b</w:t>
      </w:r>
      <w:r>
        <w:rPr/>
        <w:t xml:space="preserve"> nämlich, der </w:t>
      </w:r>
      <w:r>
        <w:rPr>
          <w:color w:val="808080"/>
        </w:rPr>
        <w:t>(nachdem er)</w:t>
      </w:r>
      <w:r>
        <w:rPr/>
        <w:t xml:space="preserve"> </w:t>
      </w:r>
      <w:r>
        <w:rPr>
          <w:rStyle w:val="Funotenanker"/>
        </w:rPr>
        <w:footnoteReference w:customMarkFollows="1" w:id="1129"/>
        <w:t>c</w:t>
      </w:r>
      <w:r>
        <w:rPr/>
        <w:t xml:space="preserve"> aus dem Himmel hinabstieg und hinzutrat, rollte den Stein</w:t>
      </w:r>
      <w:r>
        <w:rPr>
          <w:rStyle w:val="Funotenanker"/>
        </w:rPr>
        <w:footnoteReference w:customMarkFollows="1" w:id="1130"/>
        <w:t>d</w:t>
      </w:r>
      <w:r>
        <w:rPr/>
        <w:t xml:space="preserve"> weg und setze sich auf ihn </w:t>
      </w:r>
      <w:r>
        <w:rPr>
          <w:color w:val="808080"/>
        </w:rPr>
        <w:t>(saß auf ihm)</w:t>
      </w:r>
      <w:r>
        <w:rPr/>
        <w:t xml:space="preserve">. </w:t>
      </w:r>
      <w:r>
        <w:rPr>
          <w:position w:val="8"/>
          <w:sz w:val="19"/>
        </w:rPr>
        <w:t>[[ ℘ &gt;&gt; BibleTOBIBLE:Jn 20:1]]</w:t>
      </w:r>
      <w:r>
        <w:rPr/>
        <w:t xml:space="preserve"> </w:t>
      </w:r>
      <w:r>
        <w:rPr>
          <w:position w:val="8"/>
          <w:sz w:val="19"/>
        </w:rPr>
        <w:t>[[ ℘ &gt;&gt; BibleTOBIBLE:Ex 3:2]]</w:t>
      </w:r>
      <w:r>
        <w:rPr/>
        <w:t xml:space="preserve"> </w:t>
      </w:r>
      <w:r>
        <w:rPr>
          <w:position w:val="8"/>
          <w:sz w:val="19"/>
        </w:rPr>
        <w:t>[[ ℘ &gt;&gt; BibleTOBIBLE:Jdg 6:11]]</w:t>
      </w:r>
      <w:r>
        <w:rPr/>
        <w:t xml:space="preserve"> {{field-off:bible}} </w:t>
        <w:br/>
        <w:t>[[@BibleTOBIBLE:Mt 28:3]]</w:t>
      </w:r>
      <w:r>
        <w:rPr>
          <w:b/>
        </w:rPr>
        <w:t>3</w:t>
      </w:r>
      <w:r>
        <w:rPr/>
        <w:t xml:space="preserve"> {{field-on:bible}}Sein Aussehen war </w:t>
      </w:r>
      <w:r>
        <w:rPr>
          <w:strike/>
          <w:color w:val="808080"/>
        </w:rPr>
        <w:t>{aber}</w:t>
      </w:r>
      <w:r>
        <w:rPr/>
        <w:t xml:space="preserve"> wie ein Blitz </w:t>
      </w:r>
      <w:r>
        <w:rPr>
          <w:color w:val="808080"/>
        </w:rPr>
        <w:t>(Lichtstrahl)</w:t>
      </w:r>
      <w:r>
        <w:rPr/>
        <w:t xml:space="preserve"> und seine Kleidung weiß wie Schnee.</w:t>
      </w:r>
      <w:r>
        <w:rPr>
          <w:position w:val="8"/>
          <w:sz w:val="19"/>
        </w:rPr>
        <w:t>[[ ℘ &gt;&gt; BibleTOBIBLE:Da 10:5]]</w:t>
      </w:r>
      <w:r>
        <w:rPr/>
        <w:t xml:space="preserve"> {{field-off:bible}} </w:t>
        <w:br/>
        <w:t>[[@BibleTOBIBLE:Mt 28:4]]</w:t>
      </w:r>
      <w:r>
        <w:rPr>
          <w:b/>
        </w:rPr>
        <w:t>4</w:t>
      </w:r>
      <w:r>
        <w:rPr/>
        <w:t xml:space="preserve"> {{field-on:bible}}Vor </w:t>
      </w:r>
      <w:r>
        <w:rPr>
          <w:strike/>
          <w:color w:val="808080"/>
        </w:rPr>
        <w:t>{ihrer}</w:t>
      </w:r>
      <w:r>
        <w:rPr/>
        <w:t xml:space="preserve"> Furcht </w:t>
      </w:r>
      <w:r>
        <w:rPr>
          <w:strike/>
          <w:color w:val="808080"/>
        </w:rPr>
        <w:t>{aber}</w:t>
      </w:r>
      <w:r>
        <w:rPr/>
        <w:t xml:space="preserve"> zitterten die Wächter und sie wurden wie Tote.{{field-off:bible}} </w:t>
        <w:br/>
        <w:t>[[@BibleTOBIBLE:Mt 28:5]]</w:t>
      </w:r>
      <w:r>
        <w:rPr>
          <w:b/>
        </w:rPr>
        <w:t>5</w:t>
      </w:r>
      <w:r>
        <w:rPr/>
        <w:t xml:space="preserve"> {{field-on:bible}}Da </w:t>
      </w:r>
      <w:r>
        <w:rPr>
          <w:color w:val="808080"/>
        </w:rPr>
        <w:t>(aber)</w:t>
      </w:r>
      <w:r>
        <w:rPr/>
        <w:t xml:space="preserve"> ergriff der Engel das Wort </w:t>
      </w:r>
      <w:r>
        <w:rPr>
          <w:color w:val="808080"/>
        </w:rPr>
        <w:t>(antwortete der Engel)</w:t>
      </w:r>
      <w:r>
        <w:rPr/>
        <w:t xml:space="preserve"> und sagte</w:t>
      </w:r>
      <w:r>
        <w:rPr>
          <w:rStyle w:val="Funotenanker"/>
        </w:rPr>
        <w:footnoteReference w:customMarkFollows="1" w:id="1131"/>
        <w:t>e</w:t>
      </w:r>
      <w:r>
        <w:rPr/>
        <w:t xml:space="preserve"> zu den Frauen: „Fürchtet ''ihr''</w:t>
      </w:r>
      <w:r>
        <w:rPr>
          <w:rStyle w:val="Funotenanker"/>
        </w:rPr>
        <w:footnoteReference w:customMarkFollows="1" w:id="1132"/>
        <w:t>f</w:t>
      </w:r>
      <w:r>
        <w:rPr/>
        <w:t xml:space="preserve"> euch nicht! Ich weiß nämlich, dass ihr Jesus, den Gekreuzigten, sucht. </w:t>
      </w:r>
      <w:r>
        <w:rPr>
          <w:position w:val="8"/>
          <w:sz w:val="19"/>
        </w:rPr>
        <w:t>[[ ℘ &gt;&gt; BibleTOBIBLE:Jn 20:11]]</w:t>
      </w:r>
      <w:r>
        <w:rPr/>
        <w:t xml:space="preserve"> </w:t>
      </w:r>
      <w:r>
        <w:rPr>
          <w:position w:val="8"/>
          <w:sz w:val="19"/>
        </w:rPr>
        <w:t>[[ ℘ &gt;&gt; BibleTOBIBLE:Lk 1:12]]</w:t>
      </w:r>
      <w:r>
        <w:rPr/>
        <w:t xml:space="preserve"> </w:t>
      </w:r>
      <w:r>
        <w:rPr>
          <w:position w:val="8"/>
          <w:sz w:val="19"/>
        </w:rPr>
        <w:t>[[ ℘ &gt;&gt; BibleTOBIBLE:Da 10:12]]</w:t>
      </w:r>
      <w:r>
        <w:rPr/>
        <w:t xml:space="preserve"> {{field-off:bible}} </w:t>
        <w:br/>
        <w:t>[[@BibleTOBIBLE:Mt 28:6]]</w:t>
      </w:r>
      <w:r>
        <w:rPr>
          <w:b/>
        </w:rPr>
        <w:t>6</w:t>
      </w:r>
      <w:r>
        <w:rPr/>
        <w:t xml:space="preserve"> {{field-on:bible}}Er ist nicht hier, denn er wurde auferweckt, wie er gesagt hat. Kommt, seht den Ort, wo er</w:t>
      </w:r>
      <w:r>
        <w:rPr>
          <w:rStyle w:val="Funotenanker"/>
        </w:rPr>
        <w:footnoteReference w:customMarkFollows="1" w:id="1133"/>
        <w:t>g</w:t>
      </w:r>
      <w:r>
        <w:rPr/>
        <w:t xml:space="preserve"> lag!{{field-off:bible}} </w:t>
        <w:br/>
        <w:t>[[@BibleTOBIBLE:Mt 28:7]]</w:t>
      </w:r>
      <w:r>
        <w:rPr>
          <w:b/>
        </w:rPr>
        <w:t>7</w:t>
      </w:r>
      <w:r>
        <w:rPr/>
        <w:t xml:space="preserve"> {{field-on:bible}}Und schnell, geht los</w:t>
      </w:r>
      <w:r>
        <w:rPr>
          <w:rStyle w:val="Funotenanker"/>
        </w:rPr>
        <w:footnoteReference w:customMarkFollows="1" w:id="1134"/>
        <w:t>h</w:t>
      </w:r>
      <w:r>
        <w:rPr/>
        <w:t xml:space="preserve"> und sagt seinen Jüngern </w:t>
      </w:r>
      <w:r>
        <w:rPr>
          <w:color w:val="808080"/>
        </w:rPr>
        <w:t>(Jüngern und Jüngerinnen)</w:t>
      </w:r>
      <w:r>
        <w:rPr/>
        <w:t xml:space="preserve"> </w:t>
      </w:r>
      <w:r>
        <w:rPr>
          <w:rStyle w:val="Funotenanker"/>
        </w:rPr>
        <w:footnoteReference w:customMarkFollows="1" w:id="1135"/>
        <w:t>i</w:t>
      </w:r>
      <w:r>
        <w:rPr/>
        <w:t xml:space="preserve">: »Er wurde auferweckt von den Toten und siehe – er geht euch voraus nach Galiläa; dort werdet ihr ihn sehen. Siehe, ich habe es euch gesagt.«“{{field-off:bible}} </w:t>
        <w:br/>
        <w:t>[[@BibleTOBIBLE:Mt 28:8]]</w:t>
      </w:r>
      <w:r>
        <w:rPr>
          <w:b/>
        </w:rPr>
        <w:t>8</w:t>
      </w:r>
      <w:r>
        <w:rPr/>
        <w:t xml:space="preserve"> {{field-on:bible}}Da </w:t>
      </w:r>
      <w:r>
        <w:rPr>
          <w:color w:val="808080"/>
        </w:rPr>
        <w:t>(und)</w:t>
      </w:r>
      <w:r>
        <w:rPr/>
        <w:t xml:space="preserve"> gingen</w:t>
      </w:r>
      <w:r>
        <w:rPr>
          <w:rStyle w:val="Funotenanker"/>
        </w:rPr>
        <w:footnoteReference w:customMarkFollows="1" w:id="1136"/>
        <w:t>j</w:t>
      </w:r>
      <w:r>
        <w:rPr/>
        <w:t xml:space="preserve"> sie schnell fort</w:t>
      </w:r>
      <w:r>
        <w:rPr>
          <w:rStyle w:val="Funotenanker"/>
        </w:rPr>
        <w:footnoteReference w:customMarkFollows="1" w:id="1137"/>
        <w:t>k</w:t>
      </w:r>
      <w:r>
        <w:rPr/>
        <w:t xml:space="preserve"> vom Grab mit Furcht</w:t>
      </w:r>
      <w:r>
        <w:rPr>
          <w:rStyle w:val="Funotenanker"/>
        </w:rPr>
        <w:footnoteReference w:customMarkFollows="1" w:id="1138"/>
        <w:t>l</w:t>
      </w:r>
      <w:r>
        <w:rPr/>
        <w:t xml:space="preserve"> und großer Freude und eilten, um es seinen Jüngern </w:t>
      </w:r>
      <w:r>
        <w:rPr>
          <w:color w:val="808080"/>
        </w:rPr>
        <w:t>(Jüngerinnen)</w:t>
      </w:r>
      <w:r>
        <w:rPr/>
        <w:t xml:space="preserve"> zu berichten </w:t>
      </w:r>
      <w:r>
        <w:rPr>
          <w:color w:val="808080"/>
        </w:rPr>
        <w:t>(verkünden)</w:t>
      </w:r>
      <w:r>
        <w:rPr/>
        <w:t xml:space="preserve">.{{field-off:bible}} </w:t>
        <w:br/>
        <w:t>[[@BibleTOBIBLE:Mt 28:9]]</w:t>
      </w:r>
      <w:r>
        <w:rPr>
          <w:b/>
        </w:rPr>
        <w:t>9</w:t>
      </w:r>
      <w:r>
        <w:rPr/>
        <w:t xml:space="preserve"> {{field-on:bible}}Und</w:t>
      </w:r>
      <w:r>
        <w:rPr>
          <w:rStyle w:val="Funotenanker"/>
        </w:rPr>
        <w:footnoteReference w:customMarkFollows="1" w:id="1139"/>
        <w:t>m</w:t>
      </w:r>
      <w:r>
        <w:rPr/>
        <w:t xml:space="preserve"> siehe, Jesus ging ihnen entgegen </w:t>
      </w:r>
      <w:r>
        <w:rPr>
          <w:color w:val="808080"/>
        </w:rPr>
        <w:t>(begegnete ihnen)</w:t>
      </w:r>
      <w:r>
        <w:rPr/>
        <w:t xml:space="preserve"> und</w:t>
      </w:r>
      <w:r>
        <w:rPr>
          <w:rStyle w:val="Funotenanker"/>
        </w:rPr>
        <w:footnoteReference w:customMarkFollows="1" w:id="1140"/>
        <w:t>n</w:t>
      </w:r>
      <w:r>
        <w:rPr/>
        <w:t xml:space="preserve"> sagte: „Freut euch! </w:t>
      </w:r>
      <w:r>
        <w:rPr>
          <w:color w:val="808080"/>
        </w:rPr>
        <w:t>(Seid gegrüßt!)</w:t>
      </w:r>
      <w:r>
        <w:rPr/>
        <w:t xml:space="preserve"> </w:t>
      </w:r>
      <w:r>
        <w:rPr>
          <w:rStyle w:val="Funotenanker"/>
        </w:rPr>
        <w:footnoteReference w:customMarkFollows="1" w:id="1141"/>
        <w:t>o</w:t>
      </w:r>
      <w:r>
        <w:rPr/>
        <w:t>“ Und als</w:t>
      </w:r>
      <w:r>
        <w:rPr>
          <w:rStyle w:val="Funotenanker"/>
        </w:rPr>
        <w:footnoteReference w:customMarkFollows="1" w:id="1142"/>
        <w:t>p</w:t>
      </w:r>
      <w:r>
        <w:rPr/>
        <w:t xml:space="preserve"> sie herangekommen waren, </w:t>
      </w:r>
      <w:r>
        <w:rPr>
          <w:b/>
          <w:color w:val="808080"/>
        </w:rPr>
        <w:t>[</w:t>
      </w:r>
      <w:r>
        <w:rPr/>
        <w:t>warfen sie sich zu Boden,</w:t>
      </w:r>
      <w:r>
        <w:rPr>
          <w:b/>
          <w:color w:val="808080"/>
        </w:rPr>
        <w:t>]</w:t>
      </w:r>
      <w:r>
        <w:rPr/>
        <w:t xml:space="preserve"> fassten seine Füße und beteten ihn an </w:t>
      </w:r>
      <w:r>
        <w:rPr>
          <w:color w:val="808080"/>
        </w:rPr>
        <w:t>(küssten ihm die Füße)</w:t>
      </w:r>
      <w:r>
        <w:rPr/>
        <w:t xml:space="preserve"> </w:t>
      </w:r>
      <w:r>
        <w:rPr>
          <w:rStyle w:val="Funotenanker"/>
        </w:rPr>
        <w:footnoteReference w:customMarkFollows="1" w:id="1143"/>
        <w:t>q</w:t>
      </w:r>
      <w:r>
        <w:rPr/>
        <w:t xml:space="preserve">.{{field-off:bible}} </w:t>
        <w:br/>
        <w:t>[[@BibleTOBIBLE:Mt 28:10]]</w:t>
      </w:r>
      <w:r>
        <w:rPr>
          <w:b/>
        </w:rPr>
        <w:t>10</w:t>
      </w:r>
      <w:r>
        <w:rPr/>
        <w:t xml:space="preserve"> {{field-on:bible}}Dann sagte Jesus zu ihnen: „Fürchtet euch nicht! Geht fort, berichtet </w:t>
      </w:r>
      <w:r>
        <w:rPr>
          <w:color w:val="808080"/>
        </w:rPr>
        <w:t>(verkündet)</w:t>
      </w:r>
      <w:r>
        <w:rPr/>
        <w:t xml:space="preserve"> </w:t>
      </w:r>
      <w:r>
        <w:rPr>
          <w:b/>
          <w:color w:val="808080"/>
        </w:rPr>
        <w:t>[</w:t>
      </w:r>
      <w:r>
        <w:rPr/>
        <w:t>es</w:t>
      </w:r>
      <w:r>
        <w:rPr>
          <w:b/>
          <w:color w:val="808080"/>
        </w:rPr>
        <w:t>]</w:t>
      </w:r>
      <w:r>
        <w:rPr/>
        <w:t xml:space="preserve"> meinen Geschwistern </w:t>
      </w:r>
      <w:r>
        <w:rPr>
          <w:color w:val="808080"/>
        </w:rPr>
        <w:t>(Brüdern)</w:t>
      </w:r>
      <w:r>
        <w:rPr/>
        <w:t xml:space="preserve">, so dass sie nach Galiläa aufbrechen! Und dort werden sie mich sehen.“{{field-off:bible}} </w:t>
        <w:br/>
        <w:t>[[@BibleTOBIBLE:Mt 28:11]]</w:t>
      </w:r>
      <w:r>
        <w:rPr>
          <w:b/>
        </w:rPr>
        <w:t>11</w:t>
      </w:r>
      <w:r>
        <w:rPr/>
        <w:t xml:space="preserve"> {{field-on:bible}}Während sie </w:t>
      </w:r>
      <w:r>
        <w:rPr>
          <w:strike/>
          <w:color w:val="808080"/>
        </w:rPr>
        <w:t>{aber}</w:t>
      </w:r>
      <w:r>
        <w:rPr/>
        <w:t xml:space="preserve"> gingen</w:t>
      </w:r>
      <w:r>
        <w:rPr>
          <w:rStyle w:val="Funotenanker"/>
        </w:rPr>
        <w:footnoteReference w:customMarkFollows="1" w:id="1144"/>
        <w:t>r</w:t>
      </w:r>
      <w:r>
        <w:rPr/>
        <w:t>, siehe, da kamen</w:t>
      </w:r>
      <w:r>
        <w:rPr>
          <w:rStyle w:val="Funotenanker"/>
        </w:rPr>
        <w:footnoteReference w:customMarkFollows="1" w:id="1145"/>
        <w:t>s</w:t>
      </w:r>
      <w:r>
        <w:rPr/>
        <w:t xml:space="preserve"> einige der Wächter in die Stadt und berichteten den Hohepriestern alles, was geschehen war.{{field-off:bible}} </w:t>
        <w:br/>
        <w:t>[[@BibleTOBIBLE:Mt 28:12]]</w:t>
      </w:r>
      <w:r>
        <w:rPr>
          <w:b/>
        </w:rPr>
        <w:t>12</w:t>
      </w:r>
      <w:r>
        <w:rPr/>
        <w:t xml:space="preserve"> {{field-on:bible}}Und nachdem</w:t>
      </w:r>
      <w:r>
        <w:rPr>
          <w:rStyle w:val="Funotenanker"/>
        </w:rPr>
        <w:footnoteReference w:customMarkFollows="1" w:id="1146"/>
        <w:t>t</w:t>
      </w:r>
      <w:r>
        <w:rPr/>
        <w:t xml:space="preserve"> sie sich versammelt hatten mit den Ältesten und auch einen Beschluss gefasst hatten, gaben sie jenen Wächtern Silbermünzen{{field-off:bible}} </w:t>
        <w:br/>
        <w:t>[[@BibleTOBIBLE:Mt 28:13]]</w:t>
      </w:r>
      <w:r>
        <w:rPr>
          <w:b/>
        </w:rPr>
        <w:t>13</w:t>
      </w:r>
      <w:r>
        <w:rPr/>
        <w:t xml:space="preserve"> {{field-on:bible}}und sprachen</w:t>
      </w:r>
      <w:r>
        <w:rPr>
          <w:rStyle w:val="Funotenanker"/>
        </w:rPr>
        <w:footnoteReference w:customMarkFollows="1" w:id="1147"/>
        <w:t>u</w:t>
      </w:r>
      <w:r>
        <w:rPr/>
        <w:t xml:space="preserve"> </w:t>
      </w:r>
      <w:r>
        <w:rPr>
          <w:b/>
          <w:color w:val="808080"/>
        </w:rPr>
        <w:t>[</w:t>
      </w:r>
      <w:r>
        <w:rPr/>
        <w:t>zu ihnen</w:t>
      </w:r>
      <w:r>
        <w:rPr>
          <w:b/>
          <w:color w:val="808080"/>
        </w:rPr>
        <w:t>]</w:t>
      </w:r>
      <w:r>
        <w:rPr/>
        <w:t>: „Sagt:</w:t>
      </w:r>
      <w:r>
        <w:rPr>
          <w:rStyle w:val="Funotenanker"/>
        </w:rPr>
        <w:footnoteReference w:customMarkFollows="1" w:id="1148"/>
        <w:t>v</w:t>
      </w:r>
      <w:r>
        <w:rPr/>
        <w:t xml:space="preserve"> »Seine Jünger sind nachts gekommen</w:t>
      </w:r>
      <w:r>
        <w:rPr>
          <w:rStyle w:val="Funotenanker"/>
        </w:rPr>
        <w:footnoteReference w:customMarkFollows="1" w:id="1149"/>
        <w:t>w</w:t>
      </w:r>
      <w:r>
        <w:rPr/>
        <w:t xml:space="preserve"> und haben ihn genommen, während</w:t>
      </w:r>
      <w:r>
        <w:rPr>
          <w:rStyle w:val="Funotenanker"/>
        </w:rPr>
        <w:footnoteReference w:customMarkFollows="1" w:id="1150"/>
        <w:t>x</w:t>
      </w:r>
      <w:r>
        <w:rPr/>
        <w:t xml:space="preserve"> wir schliefen.</w:t>
      </w:r>
      <w:r>
        <w:rPr>
          <w:rStyle w:val="Funotenanker"/>
        </w:rPr>
        <w:footnoteReference w:customMarkFollows="1" w:id="1151"/>
        <w:t>y</w:t>
      </w:r>
      <w:r>
        <w:rPr/>
        <w:t xml:space="preserve">«{{field-off:bible}} </w:t>
        <w:br/>
        <w:t>[[@BibleTOBIBLE:Mt 28:14]]</w:t>
      </w:r>
      <w:r>
        <w:rPr>
          <w:b/>
        </w:rPr>
        <w:t>14</w:t>
      </w:r>
      <w:r>
        <w:rPr/>
        <w:t xml:space="preserve"> {{field-on:bible}}Und selbst wenn dies bei dem </w:t>
      </w:r>
      <w:r>
        <w:rPr>
          <w:color w:val="808080"/>
        </w:rPr>
        <w:t>(durch den)</w:t>
      </w:r>
      <w:r>
        <w:rPr/>
        <w:t xml:space="preserve"> Statthalter zu Ohren kommen </w:t>
      </w:r>
      <w:r>
        <w:rPr>
          <w:color w:val="808080"/>
        </w:rPr>
        <w:t>(gehört werden)</w:t>
      </w:r>
      <w:r>
        <w:rPr/>
        <w:t xml:space="preserve"> sollte, dann werden wir ihn überreden </w:t>
      </w:r>
      <w:r>
        <w:rPr>
          <w:color w:val="808080"/>
        </w:rPr>
        <w:t>(überzeugen, beschwichtigen)</w:t>
      </w:r>
      <w:r>
        <w:rPr/>
        <w:t xml:space="preserve"> </w:t>
      </w:r>
      <w:r>
        <w:rPr>
          <w:rStyle w:val="Funotenanker"/>
        </w:rPr>
        <w:footnoteReference w:customMarkFollows="1" w:id="1152"/>
        <w:t>z</w:t>
      </w:r>
      <w:r>
        <w:rPr/>
        <w:t xml:space="preserve"> und sicher stellen, dass ihr ohne Sorge sein könnt</w:t>
      </w:r>
      <w:r>
        <w:rPr>
          <w:rStyle w:val="Funotenanker"/>
        </w:rPr>
        <w:footnoteReference w:customMarkFollows="1" w:id="1153"/>
        <w:t>aa</w:t>
      </w:r>
      <w:r>
        <w:rPr/>
        <w:t xml:space="preserve">.“{{field-off:bible}} </w:t>
        <w:br/>
        <w:t>[[@BibleTOBIBLE:Mt 28:15]]</w:t>
      </w:r>
      <w:r>
        <w:rPr>
          <w:b/>
        </w:rPr>
        <w:t>15</w:t>
      </w:r>
      <w:r>
        <w:rPr/>
        <w:t xml:space="preserve"> {{field-on:bible}}Und </w:t>
      </w:r>
      <w:r>
        <w:rPr>
          <w:color w:val="808080"/>
        </w:rPr>
        <w:t>(aber)</w:t>
      </w:r>
      <w:r>
        <w:rPr/>
        <w:t xml:space="preserve"> sie nahmen</w:t>
      </w:r>
      <w:r>
        <w:rPr>
          <w:rStyle w:val="Funotenanker"/>
        </w:rPr>
        <w:footnoteReference w:customMarkFollows="1" w:id="1154"/>
        <w:t>ab</w:t>
      </w:r>
      <w:r>
        <w:rPr/>
        <w:t xml:space="preserve"> die Silbermünzen und taten so, wie sie gelehrt worden waren. Und dieses Wort verbreitete sich</w:t>
      </w:r>
      <w:r>
        <w:rPr>
          <w:rStyle w:val="Funotenanker"/>
        </w:rPr>
        <w:footnoteReference w:customMarkFollows="1" w:id="1155"/>
        <w:t>ac</w:t>
      </w:r>
      <w:r>
        <w:rPr/>
        <w:t xml:space="preserve"> unter </w:t>
      </w:r>
      <w:r>
        <w:rPr>
          <w:b/>
          <w:color w:val="808080"/>
        </w:rPr>
        <w:t>[</w:t>
      </w:r>
      <w:r>
        <w:rPr/>
        <w:t>vielen</w:t>
      </w:r>
      <w:r>
        <w:rPr>
          <w:b/>
          <w:color w:val="808080"/>
        </w:rPr>
        <w:t>]</w:t>
      </w:r>
      <w:r>
        <w:rPr/>
        <w:t xml:space="preserve"> </w:t>
      </w:r>
      <w:r>
        <w:rPr>
          <w:rStyle w:val="Funotenanker"/>
        </w:rPr>
        <w:footnoteReference w:customMarkFollows="1" w:id="1156"/>
        <w:t>ad</w:t>
      </w:r>
      <w:r>
        <w:rPr/>
        <w:t xml:space="preserve"> Juden{{field-off:bible}} </w:t>
        <w:br/>
        <w:t>[[@BibleTOBIBLE:Mt 28:16]]</w:t>
      </w:r>
      <w:r>
        <w:rPr>
          <w:b/>
        </w:rPr>
        <w:t>16</w:t>
      </w:r>
      <w:r>
        <w:rPr/>
        <w:t xml:space="preserve"> {{field-on:bible}}Die elf Jünger </w:t>
      </w:r>
      <w:r>
        <w:rPr>
          <w:strike/>
          <w:color w:val="808080"/>
        </w:rPr>
        <w:t>{aber}</w:t>
      </w:r>
      <w:r>
        <w:rPr/>
        <w:t xml:space="preserve"> gingen nach Galiläa zu dem Berg, zu dem Jesus sie bestellt hatte;{{field-off:bible}} </w:t>
        <w:br/>
        <w:t>[[@BibleTOBIBLE:Mt 28:17]]</w:t>
      </w:r>
      <w:r>
        <w:rPr>
          <w:b/>
        </w:rPr>
        <w:t>17</w:t>
      </w:r>
      <w:r>
        <w:rPr/>
        <w:t xml:space="preserve"> {{field-on:bible}} </w:t>
      </w:r>
      <w:r>
        <w:rPr>
          <w:strike/>
          <w:color w:val="808080"/>
        </w:rPr>
        <w:t>{und}</w:t>
      </w:r>
      <w:r>
        <w:rPr/>
        <w:t xml:space="preserve"> als </w:t>
      </w:r>
      <w:r>
        <w:rPr>
          <w:color w:val="808080"/>
        </w:rPr>
        <w:t>(weil, sobald)</w:t>
      </w:r>
      <w:r>
        <w:rPr/>
        <w:t xml:space="preserve"> </w:t>
      </w:r>
      <w:r>
        <w:rPr>
          <w:rStyle w:val="Funotenanker"/>
        </w:rPr>
        <w:footnoteReference w:customMarkFollows="1" w:id="1157"/>
        <w:t>ae</w:t>
      </w:r>
      <w:r>
        <w:rPr/>
        <w:t xml:space="preserve"> sie ihn sahen, warfen sie sich vor ihm verehrend </w:t>
      </w:r>
      <w:r>
        <w:rPr>
          <w:color w:val="808080"/>
        </w:rPr>
        <w:t>(huldigend, anbetend)</w:t>
      </w:r>
      <w:r>
        <w:rPr/>
        <w:t xml:space="preserve"> nieder</w:t>
      </w:r>
      <w:r>
        <w:rPr>
          <w:rStyle w:val="Funotenanker"/>
        </w:rPr>
        <w:footnoteReference w:customMarkFollows="1" w:id="1158"/>
        <w:t>af</w:t>
      </w:r>
      <w:r>
        <w:rPr/>
        <w:t xml:space="preserve">; doch zweifelten sie </w:t>
      </w:r>
      <w:r>
        <w:rPr>
          <w:color w:val="808080"/>
        </w:rPr>
        <w:t>(einige von ihnen)</w:t>
      </w:r>
      <w:r>
        <w:rPr/>
        <w:t xml:space="preserve"> </w:t>
      </w:r>
      <w:r>
        <w:rPr>
          <w:rStyle w:val="Funotenanker"/>
        </w:rPr>
        <w:footnoteReference w:customMarkFollows="1" w:id="1159"/>
        <w:t>ag</w:t>
      </w:r>
      <w:r>
        <w:rPr/>
        <w:t xml:space="preserve">.{{field-off:bible}} </w:t>
        <w:br/>
        <w:t>[[@BibleTOBIBLE:Mt 28:18]]</w:t>
      </w:r>
      <w:r>
        <w:rPr>
          <w:b/>
        </w:rPr>
        <w:t>18</w:t>
      </w:r>
      <w:r>
        <w:rPr/>
        <w:t xml:space="preserve"> {{field-on:bible}} </w:t>
      </w:r>
      <w:r>
        <w:rPr>
          <w:strike/>
          <w:color w:val="808080"/>
        </w:rPr>
        <w:t>{Und}</w:t>
      </w:r>
      <w:r>
        <w:rPr/>
        <w:t xml:space="preserve"> Jesus ging zu ihnen</w:t>
      </w:r>
      <w:r>
        <w:rPr>
          <w:rStyle w:val="Funotenanker"/>
        </w:rPr>
        <w:footnoteReference w:customMarkFollows="1" w:id="1160"/>
        <w:t>ah</w:t>
      </w:r>
      <w:r>
        <w:rPr/>
        <w:t xml:space="preserve"> und sagte zu ihnen </w:t>
      </w:r>
      <w:r>
        <w:rPr>
          <w:strike/>
          <w:color w:val="808080"/>
        </w:rPr>
        <w:t>{folgendes}</w:t>
      </w:r>
      <w:r>
        <w:rPr/>
        <w:t xml:space="preserve">: „Es ist mir </w:t>
      </w:r>
      <w:r>
        <w:rPr>
          <w:b/>
          <w:color w:val="808080"/>
        </w:rPr>
        <w:t>[</w:t>
      </w:r>
      <w:r>
        <w:rPr/>
        <w:t>von Gott</w:t>
      </w:r>
      <w:r>
        <w:rPr>
          <w:b/>
          <w:color w:val="808080"/>
        </w:rPr>
        <w:t>]</w:t>
      </w:r>
      <w:r>
        <w:rPr/>
        <w:t xml:space="preserve"> </w:t>
      </w:r>
      <w:r>
        <w:rPr>
          <w:rStyle w:val="Funotenanker"/>
        </w:rPr>
        <w:footnoteReference w:customMarkFollows="1" w:id="1161"/>
        <w:t>ai</w:t>
      </w:r>
      <w:r>
        <w:rPr/>
        <w:t xml:space="preserve"> alle Macht gegeben worden im Himmel und auf </w:t>
      </w:r>
      <w:r>
        <w:rPr>
          <w:b/>
          <w:color w:val="808080"/>
        </w:rPr>
        <w:t>[</w:t>
      </w:r>
      <w:r>
        <w:rPr/>
        <w:t>der</w:t>
      </w:r>
      <w:r>
        <w:rPr>
          <w:b/>
          <w:color w:val="808080"/>
        </w:rPr>
        <w:t>]</w:t>
      </w:r>
      <w:r>
        <w:rPr/>
        <w:t xml:space="preserve"> </w:t>
      </w:r>
      <w:r>
        <w:rPr>
          <w:rStyle w:val="Funotenanker"/>
        </w:rPr>
        <w:footnoteReference w:customMarkFollows="1" w:id="1162"/>
        <w:t>aj</w:t>
      </w:r>
      <w:r>
        <w:rPr/>
        <w:t xml:space="preserve"> Erde.{{field-off:bible}} </w:t>
        <w:br/>
        <w:t>[[@BibleTOBIBLE:Mt 28:19]]</w:t>
      </w:r>
      <w:r>
        <w:rPr>
          <w:b/>
        </w:rPr>
        <w:t>19</w:t>
      </w:r>
      <w:r>
        <w:rPr/>
        <w:t xml:space="preserve"> {{field-on:bible}}Geht also</w:t>
      </w:r>
      <w:r>
        <w:rPr>
          <w:rStyle w:val="Funotenanker"/>
        </w:rPr>
        <w:footnoteReference w:customMarkFollows="1" w:id="1163"/>
        <w:t>ak</w:t>
      </w:r>
      <w:r>
        <w:rPr/>
        <w:t xml:space="preserve">: Macht zu Jüngern </w:t>
      </w:r>
      <w:r>
        <w:rPr>
          <w:color w:val="808080"/>
        </w:rPr>
        <w:t>(unterrichtet)</w:t>
      </w:r>
      <w:r>
        <w:rPr/>
        <w:t xml:space="preserve"> alle Völker, tauft sie im Namen </w:t>
      </w:r>
      <w:r>
        <w:rPr>
          <w:color w:val="808080"/>
        </w:rPr>
        <w:t>(im Auftrag)</w:t>
      </w:r>
      <w:r>
        <w:rPr/>
        <w:t xml:space="preserve"> des Vaters und des Sohnes und des heiligen Geistes,{{field-off:bible}} </w:t>
        <w:br/>
        <w:t>[[@BibleTOBIBLE:Mt 28:20]]</w:t>
      </w:r>
      <w:r>
        <w:rPr>
          <w:b/>
        </w:rPr>
        <w:t>20</w:t>
      </w:r>
      <w:r>
        <w:rPr/>
        <w:t xml:space="preserve"> {{field-on:bible}}und lehrt sie, alles zu beachten, was ich euch geboten habe. Und sieh: Ich bin bei euch </w:t>
      </w:r>
      <w:r>
        <w:rPr>
          <w:color w:val="808080"/>
        </w:rPr>
        <w:t>(mit euch)</w:t>
      </w:r>
      <w:r>
        <w:rPr/>
        <w:t xml:space="preserve"> an allen Tagen bis zum Ende der Zeit </w:t>
      </w:r>
      <w:r>
        <w:rPr>
          <w:color w:val="808080"/>
        </w:rPr>
        <w:t>(des Zeitalters, der Ewigkeit)</w:t>
      </w:r>
      <w:r>
        <w:rPr/>
        <w:t xml:space="preserve">.“{{field-off:bible}}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1164"/>
        <w:t>Status</w:t>
      </w:r>
      <w:r>
        <w:rPr/>
        <w:t xml:space="preserve"> </w:t>
      </w:r>
      <w:r>
        <w:rPr>
          <w:b/>
          <w:color w:val="808080"/>
        </w:rPr>
        <w:t>[</w:t>
      </w:r>
      <w:r>
        <w:rPr/>
        <w:t>Der</w:t>
      </w:r>
      <w:r>
        <w:rPr>
          <w:b/>
          <w:color w:val="808080"/>
        </w:rPr>
        <w:t>]</w:t>
      </w:r>
      <w:r>
        <w:rPr/>
        <w:t xml:space="preserve"> Anfang des Evangeliums </w:t>
      </w:r>
      <w:r>
        <w:rPr>
          <w:rStyle w:val="Funotenanker"/>
        </w:rPr>
        <w:footnoteReference w:customMarkFollows="1" w:id="1165"/>
        <w:t>a</w:t>
      </w:r>
      <w:r>
        <w:rPr/>
        <w:t xml:space="preserve"> von Jesus Christus, </w:t>
      </w:r>
      <w:r>
        <w:rPr>
          <w:b/>
          <w:color w:val="808080"/>
        </w:rPr>
        <w:t>[</w:t>
      </w:r>
      <w:r>
        <w:rPr/>
        <w:t>dem</w:t>
      </w:r>
      <w:r>
        <w:rPr>
          <w:b/>
          <w:color w:val="808080"/>
        </w:rPr>
        <w:t>]</w:t>
      </w:r>
      <w:r>
        <w:rPr/>
        <w:t xml:space="preserve"> Sohn Gottes, </w:t>
      </w:r>
      <w:r>
        <w:rPr>
          <w:rStyle w:val="Funotenanker"/>
        </w:rPr>
        <w:footnoteReference w:customMarkFollows="1" w:id="1166"/>
        <w:t>b</w:t>
      </w:r>
      <w:r>
        <w:rPr/>
        <w:t xml:space="preserve"> {{field-off:bible}} </w:t>
        <w:br/>
        <w:t>[[@BibleTOBIBLE:Mk 1:2]]</w:t>
      </w:r>
      <w:r>
        <w:rPr>
          <w:b/>
        </w:rPr>
        <w:t>2</w:t>
      </w:r>
      <w:r>
        <w:rPr/>
        <w:t xml:space="preserve"> {{field-on:bible}}wie es im </w:t>
      </w:r>
      <w:r>
        <w:rPr>
          <w:b/>
          <w:color w:val="808080"/>
        </w:rPr>
        <w:t>[</w:t>
      </w:r>
      <w:r>
        <w:rPr/>
        <w:t>Buch</w:t>
      </w:r>
      <w:r>
        <w:rPr>
          <w:b/>
          <w:color w:val="808080"/>
        </w:rPr>
        <w:t>]</w:t>
      </w:r>
      <w:r>
        <w:rPr/>
        <w:t xml:space="preserve"> des Propheten Jesaja heißt </w:t>
      </w:r>
      <w:r>
        <w:rPr>
          <w:color w:val="808080"/>
        </w:rPr>
        <w:t>(geschrieben steht)</w:t>
      </w:r>
      <w:r>
        <w:rPr/>
        <w:t xml:space="preserve">: </w:t>
      </w:r>
      <w:r>
        <w:rPr>
          <w:rStyle w:val="Funotenanker"/>
        </w:rPr>
        <w:footnoteReference w:customMarkFollows="1" w:id="1167"/>
        <w:t>c</w:t>
      </w:r>
      <w:r>
        <w:rPr/>
        <w:t xml:space="preserve"> „Siehe, ich sende meinen Boten vor dir her </w:t>
      </w:r>
      <w:r>
        <w:rPr>
          <w:rStyle w:val="Funotenanker"/>
        </w:rPr>
        <w:footnoteReference w:customMarkFollows="1" w:id="1168"/>
        <w:t>d</w:t>
      </w:r>
      <w:r>
        <w:rPr/>
        <w:t xml:space="preserve">, der dir den Weg bereiten </w:t>
      </w:r>
      <w:r>
        <w:rPr>
          <w:color w:val="808080"/>
        </w:rPr>
        <w:t>(alles für dich vorbereiten)</w:t>
      </w:r>
      <w:r>
        <w:rPr/>
        <w:t xml:space="preserve"> wird.“</w:t>
      </w:r>
      <w:r>
        <w:rPr>
          <w:position w:val="8"/>
          <w:sz w:val="19"/>
        </w:rPr>
        <w:t>[[ ℘ &gt;&gt; BibleTOBIBLE:Ex 23:20]][[ ℘ &gt;&gt; BibleTOBIBLE:Mal 3:1]][[ ℘ &gt;&gt; BibleTOBIBLE:Mt 11:10]][[ ℘ &gt;&gt; BibleTOBIBLE:Lk 7:27]]</w:t>
      </w:r>
      <w:r>
        <w:rPr/>
        <w:t xml:space="preserve"> {{field-off:bible}} </w:t>
        <w:br/>
        <w:t>[[@BibleTOBIBLE:Mk 1:3]]</w:t>
      </w:r>
      <w:r>
        <w:rPr>
          <w:b/>
        </w:rPr>
        <w:t>3</w:t>
      </w:r>
      <w:r>
        <w:rPr/>
        <w:t xml:space="preserve"> {{field-on:bible}}„Stimme eines Rufenden in der Wüste </w:t>
      </w:r>
      <w:r>
        <w:rPr>
          <w:color w:val="808080"/>
        </w:rPr>
        <w:t>(Wildnis)</w:t>
      </w:r>
      <w:r>
        <w:rPr/>
        <w:t xml:space="preserve">: </w:t>
      </w:r>
      <w:r>
        <w:rPr>
          <w:rStyle w:val="Funotenanker"/>
        </w:rPr>
        <w:footnoteReference w:customMarkFollows="1" w:id="1169"/>
        <w:t>e</w:t>
      </w:r>
      <w:r>
        <w:rPr/>
        <w:t xml:space="preserve"> »Bereitet den Weg des Herrn vor, macht seine Pfade gerade«“, </w:t>
      </w:r>
      <w:r>
        <w:rPr>
          <w:rStyle w:val="Funotenanker"/>
        </w:rPr>
        <w:footnoteReference w:customMarkFollows="1" w:id="1170"/>
        <w:t>f</w:t>
      </w:r>
      <w:r>
        <w:rPr/>
        <w:t xml:space="preserve"> </w:t>
      </w:r>
      <w:r>
        <w:rPr>
          <w:position w:val="8"/>
          <w:sz w:val="19"/>
        </w:rPr>
        <w:t>[[ ℘ &gt;&gt; BibleTOBIBLE:Is 40:3]][[ ℘ &gt;&gt; BibleTOBIBLE:Mt 3:3]][[ ℘ &gt;&gt; BibleTOBIBLE:Lk 3:4]][[ ℘ &gt;&gt; BibleTOBIBLE:Jn 1:23]]</w:t>
      </w:r>
      <w:r>
        <w:rPr/>
        <w:t xml:space="preserve"> {{field-off:bible}} </w:t>
        <w:br/>
        <w:t>[[@BibleTOBIBLE:Mk 1:4]]</w:t>
      </w:r>
      <w:r>
        <w:rPr>
          <w:b/>
        </w:rPr>
        <w:t>4</w:t>
      </w:r>
      <w:r>
        <w:rPr/>
        <w:t xml:space="preserve"> {{field-on:bible}}trat Johannes der Täufer in der Wüste </w:t>
      </w:r>
      <w:r>
        <w:rPr>
          <w:color w:val="808080"/>
        </w:rPr>
        <w:t>(Wildnis)</w:t>
      </w:r>
      <w:r>
        <w:rPr/>
        <w:t xml:space="preserve"> auf </w:t>
      </w:r>
      <w:r>
        <w:rPr>
          <w:rStyle w:val="Funotenanker"/>
        </w:rPr>
        <w:footnoteReference w:customMarkFollows="1" w:id="1171"/>
        <w:t>g</w:t>
      </w:r>
      <w:r>
        <w:rPr/>
        <w:t xml:space="preserve"> </w:t>
      </w:r>
      <w:r>
        <w:rPr>
          <w:color w:val="808080"/>
        </w:rPr>
        <w:t>(trat Johannes auf, der in der Wüste taufte)</w:t>
      </w:r>
      <w:r>
        <w:rPr/>
        <w:t xml:space="preserve"> </w:t>
      </w:r>
      <w:r>
        <w:rPr>
          <w:rStyle w:val="Funotenanker"/>
        </w:rPr>
        <w:footnoteReference w:customMarkFollows="1" w:id="1172"/>
        <w:t>h</w:t>
      </w:r>
      <w:r>
        <w:rPr/>
        <w:t xml:space="preserve"> und predigte </w:t>
      </w:r>
      <w:r>
        <w:rPr>
          <w:color w:val="808080"/>
        </w:rPr>
        <w:t>(verkündete)</w:t>
      </w:r>
      <w:r>
        <w:rPr/>
        <w:t xml:space="preserve"> eine Taufe der Umkehr </w:t>
      </w:r>
      <w:r>
        <w:rPr>
          <w:color w:val="808080"/>
        </w:rPr>
        <w:t>(Buße; Umkehr-Taufe)</w:t>
      </w:r>
      <w:r>
        <w:rPr/>
        <w:t xml:space="preserve"> </w:t>
      </w:r>
      <w:r>
        <w:rPr>
          <w:rStyle w:val="Funotenanker"/>
        </w:rPr>
        <w:footnoteReference w:customMarkFollows="1" w:id="1173"/>
        <w:t>i</w:t>
      </w:r>
      <w:r>
        <w:rPr/>
        <w:t xml:space="preserve"> zur Vergebung der Sünden.</w:t>
      </w:r>
      <w:r>
        <w:rPr>
          <w:position w:val="8"/>
          <w:sz w:val="19"/>
        </w:rPr>
        <w:t>[[ ℘ &gt;&gt; BibleTOBIBLE:Mt 3:1]][[ ℘ &gt;&gt; BibleTOBIBLE:Lk 3:2]]</w:t>
      </w:r>
      <w:r>
        <w:rPr/>
        <w:t xml:space="preserve"> {{field-off:bible}} </w:t>
        <w:br/>
        <w:t>[[@BibleTOBIBLE:Mk 1:5]]</w:t>
      </w:r>
      <w:r>
        <w:rPr>
          <w:b/>
        </w:rPr>
        <w:t>5</w:t>
      </w:r>
      <w:r>
        <w:rPr/>
        <w:t xml:space="preserve"> {{field-on:bible}}Und das gesamte judäische Gebiet </w:t>
      </w:r>
      <w:r>
        <w:rPr>
          <w:rStyle w:val="Funotenanker"/>
        </w:rPr>
        <w:footnoteReference w:customMarkFollows="1" w:id="1174"/>
        <w:t>j</w:t>
      </w:r>
      <w:r>
        <w:rPr/>
        <w:t xml:space="preserve"> </w:t>
      </w:r>
      <w:r>
        <w:rPr>
          <w:color w:val="808080"/>
        </w:rPr>
        <w:t>(Gegend, Land)</w:t>
      </w:r>
      <w:r>
        <w:rPr/>
        <w:t xml:space="preserve"> und alle Jerusalemer begaben sich </w:t>
      </w:r>
      <w:r>
        <w:rPr>
          <w:rStyle w:val="Funotenanker"/>
        </w:rPr>
        <w:footnoteReference w:customMarkFollows="1" w:id="1175"/>
        <w:t>k</w:t>
      </w:r>
      <w:r>
        <w:rPr/>
        <w:t xml:space="preserve"> </w:t>
      </w:r>
      <w:r>
        <w:rPr>
          <w:color w:val="808080"/>
        </w:rPr>
        <w:t>(gingen)</w:t>
      </w:r>
      <w:r>
        <w:rPr/>
        <w:t xml:space="preserve"> hinaus zu ihm und ließen sich von ihm im Fluss Jordan taufen </w:t>
      </w:r>
      <w:r>
        <w:rPr>
          <w:rStyle w:val="Funotenanker"/>
        </w:rPr>
        <w:footnoteReference w:customMarkFollows="1" w:id="1176"/>
        <w:t>l</w:t>
      </w:r>
      <w:r>
        <w:rPr/>
        <w:t xml:space="preserve">, wobei </w:t>
      </w:r>
      <w:r>
        <w:rPr>
          <w:color w:val="808080"/>
        </w:rPr>
        <w:t>(und)</w:t>
      </w:r>
      <w:r>
        <w:rPr/>
        <w:t xml:space="preserve"> sie ihre Sünden bekannten. </w:t>
      </w:r>
      <w:r>
        <w:rPr>
          <w:rStyle w:val="Funotenanker"/>
        </w:rPr>
        <w:footnoteReference w:customMarkFollows="1" w:id="1177"/>
        <w:t>m</w:t>
      </w:r>
      <w:r>
        <w:rPr/>
        <w:t xml:space="preserve"> </w:t>
      </w:r>
      <w:r>
        <w:rPr>
          <w:position w:val="8"/>
          <w:sz w:val="19"/>
        </w:rPr>
        <w:t>[[ ℘ &gt;&gt; BibleTOBIBLE:Mt 3:5]]</w:t>
      </w:r>
      <w:r>
        <w:rPr/>
        <w:t xml:space="preserve"> {{field-off:bible}} </w:t>
        <w:br/>
        <w:t>[[@BibleTOBIBLE:Mk 1:6]]</w:t>
      </w:r>
      <w:r>
        <w:rPr>
          <w:b/>
        </w:rPr>
        <w:t>6</w:t>
      </w:r>
      <w:r>
        <w:rPr/>
        <w:t xml:space="preserve"> {{field-on:bible}}Und Johannes pflegte </w:t>
      </w:r>
      <w:r>
        <w:rPr>
          <w:b/>
          <w:color w:val="808080"/>
        </w:rPr>
        <w:t>[</w:t>
      </w:r>
      <w:r>
        <w:rPr/>
        <w:t>ein Gewand aus</w:t>
      </w:r>
      <w:r>
        <w:rPr>
          <w:b/>
          <w:color w:val="808080"/>
        </w:rPr>
        <w:t>]</w:t>
      </w:r>
      <w:r>
        <w:rPr/>
        <w:t xml:space="preserve"> Kamelhaar und einen Ledergürtel um seine Hüften </w:t>
      </w:r>
      <w:r>
        <w:rPr>
          <w:color w:val="808080"/>
        </w:rPr>
        <w:t>(Taille)</w:t>
      </w:r>
      <w:r>
        <w:rPr/>
        <w:t xml:space="preserve"> zu tragen</w:t>
      </w:r>
      <w:r>
        <w:rPr>
          <w:position w:val="8"/>
          <w:sz w:val="19"/>
        </w:rPr>
        <w:t>[[ ℘ &gt;&gt; BibleTOBIBLE:2Ki 1:18]]</w:t>
      </w:r>
      <w:r>
        <w:rPr/>
        <w:t xml:space="preserve"> </w:t>
      </w:r>
      <w:r>
        <w:rPr>
          <w:rStyle w:val="Funotenanker"/>
        </w:rPr>
        <w:footnoteReference w:customMarkFollows="1" w:id="1178"/>
        <w:t>n</w:t>
      </w:r>
      <w:r>
        <w:rPr/>
        <w:t xml:space="preserve"> und Heuschrecken und wilden Honig zu essen </w:t>
      </w:r>
      <w:r>
        <w:rPr>
          <w:rStyle w:val="Funotenanker"/>
        </w:rPr>
        <w:footnoteReference w:customMarkFollows="1" w:id="1179"/>
        <w:t>o</w:t>
      </w:r>
      <w:r>
        <w:rPr/>
        <w:t xml:space="preserve"> .</w:t>
      </w:r>
      <w:r>
        <w:rPr>
          <w:position w:val="8"/>
          <w:sz w:val="19"/>
        </w:rPr>
        <w:t>[[ ℘ &gt;&gt; BibleTOBIBLE:Mt 3:4]]</w:t>
      </w:r>
      <w:r>
        <w:rPr/>
        <w:t xml:space="preserve"> {{field-off:bible}} </w:t>
        <w:br/>
        <w:t>[[@BibleTOBIBLE:Mk 1:7]]</w:t>
      </w:r>
      <w:r>
        <w:rPr>
          <w:b/>
        </w:rPr>
        <w:t>7</w:t>
      </w:r>
      <w:r>
        <w:rPr/>
        <w:t xml:space="preserve"> {{field-on:bible}}Und er predigte </w:t>
      </w:r>
      <w:r>
        <w:rPr>
          <w:color w:val="808080"/>
        </w:rPr>
        <w:t>(verkündete)</w:t>
      </w:r>
      <w:r>
        <w:rPr/>
        <w:t xml:space="preserve"> </w:t>
      </w:r>
      <w:r>
        <w:rPr>
          <w:rStyle w:val="Funotenanker"/>
        </w:rPr>
        <w:footnoteReference w:customMarkFollows="1" w:id="1180"/>
        <w:t>p</w:t>
      </w:r>
      <w:r>
        <w:rPr/>
        <w:t xml:space="preserve"> </w:t>
      </w:r>
      <w:r>
        <w:rPr>
          <w:strike/>
          <w:color w:val="808080"/>
        </w:rPr>
        <w:t>{sagend}</w:t>
      </w:r>
      <w:r>
        <w:rPr/>
        <w:t xml:space="preserve">: „Es kommt nach mir </w:t>
      </w:r>
      <w:r>
        <w:rPr>
          <w:b/>
          <w:color w:val="808080"/>
        </w:rPr>
        <w:t>[</w:t>
      </w:r>
      <w:r>
        <w:rPr/>
        <w:t>einer</w:t>
      </w:r>
      <w:r>
        <w:rPr>
          <w:b/>
          <w:color w:val="808080"/>
        </w:rPr>
        <w:t>]</w:t>
      </w:r>
      <w:r>
        <w:rPr/>
        <w:t xml:space="preserve">, der mächtiger </w:t>
      </w:r>
      <w:r>
        <w:rPr>
          <w:color w:val="808080"/>
        </w:rPr>
        <w:t>(stärker)</w:t>
      </w:r>
      <w:r>
        <w:rPr/>
        <w:t xml:space="preserve"> </w:t>
      </w:r>
      <w:r>
        <w:rPr>
          <w:b/>
          <w:color w:val="808080"/>
        </w:rPr>
        <w:t>[</w:t>
      </w:r>
      <w:r>
        <w:rPr/>
        <w:t>ist</w:t>
      </w:r>
      <w:r>
        <w:rPr>
          <w:b/>
          <w:color w:val="808080"/>
        </w:rPr>
        <w:t>]</w:t>
      </w:r>
      <w:r>
        <w:rPr/>
        <w:t xml:space="preserve"> als ich. </w:t>
      </w:r>
      <w:r>
        <w:rPr>
          <w:rStyle w:val="Funotenanker"/>
        </w:rPr>
        <w:footnoteReference w:customMarkFollows="1" w:id="1181"/>
        <w:t>q</w:t>
      </w:r>
      <w:r>
        <w:rPr/>
        <w:t xml:space="preserve"> Ich bin es nicht wert </w:t>
      </w:r>
      <w:r>
        <w:rPr>
          <w:color w:val="808080"/>
        </w:rPr>
        <w:t>(gut genug, würdig)</w:t>
      </w:r>
      <w:r>
        <w:rPr/>
        <w:t xml:space="preserve">, mich zu bücken und </w:t>
      </w:r>
      <w:r>
        <w:rPr>
          <w:color w:val="808080"/>
        </w:rPr>
        <w:t>(gebückt)</w:t>
      </w:r>
      <w:r>
        <w:rPr/>
        <w:t xml:space="preserve"> </w:t>
      </w:r>
      <w:r>
        <w:rPr>
          <w:rStyle w:val="Funotenanker"/>
        </w:rPr>
        <w:footnoteReference w:customMarkFollows="1" w:id="1182"/>
        <w:t>r</w:t>
      </w:r>
      <w:r>
        <w:rPr/>
        <w:t xml:space="preserve"> ihm </w:t>
      </w:r>
      <w:r>
        <w:rPr>
          <w:rStyle w:val="Funotenanker"/>
        </w:rPr>
        <w:footnoteReference w:customMarkFollows="1" w:id="1183"/>
        <w:t>s</w:t>
      </w:r>
      <w:r>
        <w:rPr/>
        <w:t xml:space="preserve"> die Riemen seiner Sandalen aufzubinden!</w:t>
      </w:r>
      <w:r>
        <w:rPr>
          <w:position w:val="8"/>
          <w:sz w:val="19"/>
        </w:rPr>
        <w:t>[[ ℘ &gt;&gt; BibleTOBIBLE:Jn 1:27]][[ ℘ &gt;&gt; BibleTOBIBLE:Mt 3:11]][[ ℘ &gt;&gt; BibleTOBIBLE:Lk 3:16]]</w:t>
      </w:r>
      <w:r>
        <w:rPr/>
        <w:t xml:space="preserve"> {{field-off:bible}} </w:t>
        <w:br/>
        <w:t>[[@BibleTOBIBLE:Mk 1:8]]</w:t>
      </w:r>
      <w:r>
        <w:rPr>
          <w:b/>
        </w:rPr>
        <w:t>8</w:t>
      </w:r>
      <w:r>
        <w:rPr/>
        <w:t xml:space="preserve"> {{field-on:bible}}''Ich'' habe euch mit Wasser getauft, ''er'' aber wird euch mit </w:t>
      </w:r>
      <w:r>
        <w:rPr>
          <w:b/>
          <w:color w:val="808080"/>
        </w:rPr>
        <w:t>[</w:t>
      </w:r>
      <w:r>
        <w:rPr/>
        <w:t>dem</w:t>
      </w:r>
      <w:r>
        <w:rPr>
          <w:b/>
          <w:color w:val="808080"/>
        </w:rPr>
        <w:t>]</w:t>
      </w:r>
      <w:r>
        <w:rPr/>
        <w:t xml:space="preserve"> </w:t>
      </w:r>
      <w:r>
        <w:rPr>
          <w:color w:val="808080"/>
        </w:rPr>
        <w:t>(im)</w:t>
      </w:r>
      <w:r>
        <w:rPr/>
        <w:t xml:space="preserve"> Heiligem Geist taufen.“</w:t>
      </w:r>
      <w:r>
        <w:rPr>
          <w:position w:val="8"/>
          <w:sz w:val="19"/>
        </w:rPr>
        <w:t>[[ ℘ &gt;&gt; BibleTOBIBLE:Mt 3:11]][[ ℘ &gt;&gt; BibleTOBIBLE:Lk 3:16]][[ ℘ &gt;&gt; BibleTOBIBLE:Jn 1:26]]</w:t>
      </w:r>
      <w:r>
        <w:rPr/>
        <w:t xml:space="preserve"> {{field-off:bible}} </w:t>
        <w:br/>
        <w:t>[[@BibleTOBIBLE:Mk 1:9]]</w:t>
      </w:r>
      <w:r>
        <w:rPr>
          <w:b/>
        </w:rPr>
        <w:t>9</w:t>
      </w:r>
      <w:r>
        <w:rPr/>
        <w:t xml:space="preserve"> {{field-on:bible}}Und </w:t>
      </w:r>
      <w:r>
        <w:rPr>
          <w:strike/>
          <w:color w:val="808080"/>
        </w:rPr>
        <w:t>{es geschah}</w:t>
      </w:r>
      <w:r>
        <w:rPr/>
        <w:t xml:space="preserve"> </w:t>
      </w:r>
      <w:r>
        <w:rPr>
          <w:rStyle w:val="Funotenanker"/>
        </w:rPr>
        <w:footnoteReference w:customMarkFollows="1" w:id="1184"/>
        <w:t>t</w:t>
      </w:r>
      <w:r>
        <w:rPr/>
        <w:t xml:space="preserve"> in jenen Tagen kam Jesus aus </w:t>
      </w:r>
      <w:r>
        <w:rPr>
          <w:color w:val="808080"/>
        </w:rPr>
        <w:t>(von)</w:t>
      </w:r>
      <w:r>
        <w:rPr/>
        <w:t xml:space="preserve"> Nazaret </w:t>
      </w:r>
      <w:r>
        <w:rPr>
          <w:b/>
          <w:color w:val="808080"/>
        </w:rPr>
        <w:t>[</w:t>
      </w:r>
      <w:r>
        <w:rPr/>
        <w:t>in</w:t>
      </w:r>
      <w:r>
        <w:rPr>
          <w:b/>
          <w:color w:val="808080"/>
        </w:rPr>
        <w:t>]</w:t>
      </w:r>
      <w:r>
        <w:rPr/>
        <w:t xml:space="preserve"> Galiläa </w:t>
      </w:r>
      <w:r>
        <w:rPr>
          <w:rStyle w:val="Funotenanker"/>
        </w:rPr>
        <w:footnoteReference w:customMarkFollows="1" w:id="1185"/>
        <w:t>u</w:t>
      </w:r>
      <w:r>
        <w:rPr/>
        <w:t xml:space="preserve"> und ließ sich von Johannes im Jordan taufen.</w:t>
      </w:r>
      <w:r>
        <w:rPr>
          <w:position w:val="8"/>
          <w:sz w:val="19"/>
        </w:rPr>
        <w:t>[[ ℘ &gt;&gt; BibleTOBIBLE:Mt 3:13]][[ ℘ &gt;&gt; BibleTOBIBLE:Lk 3:21]]</w:t>
      </w:r>
      <w:r>
        <w:rPr/>
        <w:t xml:space="preserve"> {{field-off:bible}} </w:t>
        <w:br/>
        <w:t>[[@BibleTOBIBLE:Mk 1:10]]</w:t>
      </w:r>
      <w:r>
        <w:rPr>
          <w:b/>
        </w:rPr>
        <w:t>10</w:t>
      </w:r>
      <w:r>
        <w:rPr/>
        <w:t xml:space="preserve"> {{field-on:bible}}Und in dem Moment </w:t>
      </w:r>
      <w:r>
        <w:rPr>
          <w:color w:val="808080"/>
        </w:rPr>
        <w:t>(gleich)</w:t>
      </w:r>
      <w:r>
        <w:rPr/>
        <w:t xml:space="preserve">, als er aus dem Wasser stieg </w:t>
      </w:r>
      <w:r>
        <w:rPr>
          <w:rStyle w:val="Funotenanker"/>
        </w:rPr>
        <w:footnoteReference w:customMarkFollows="1" w:id="1186"/>
        <w:t>v</w:t>
      </w:r>
      <w:r>
        <w:rPr/>
        <w:t xml:space="preserve">, sah er, wie </w:t>
      </w:r>
      <w:r>
        <w:rPr>
          <w:color w:val="808080"/>
        </w:rPr>
        <w:t>(dass)</w:t>
      </w:r>
      <w:r>
        <w:rPr/>
        <w:t xml:space="preserve"> der Himmel </w:t>
      </w:r>
      <w:r>
        <w:rPr>
          <w:rStyle w:val="Funotenanker"/>
        </w:rPr>
        <w:footnoteReference w:customMarkFollows="1" w:id="1187"/>
        <w:t>w</w:t>
      </w:r>
      <w:r>
        <w:rPr/>
        <w:t xml:space="preserve"> geteilt </w:t>
      </w:r>
      <w:r>
        <w:rPr>
          <w:color w:val="808080"/>
        </w:rPr>
        <w:t>(geöffnet)</w:t>
      </w:r>
      <w:r>
        <w:rPr/>
        <w:t xml:space="preserve"> wurde </w:t>
      </w:r>
      <w:r>
        <w:rPr>
          <w:rStyle w:val="Funotenanker"/>
        </w:rPr>
        <w:footnoteReference w:customMarkFollows="1" w:id="1188"/>
        <w:t>x</w:t>
      </w:r>
      <w:r>
        <w:rPr/>
        <w:t xml:space="preserve"> und der Geist wie eine Taube in ihn </w:t>
      </w:r>
      <w:r>
        <w:rPr>
          <w:color w:val="808080"/>
        </w:rPr>
        <w:t>(zu ihm; auf ihn)</w:t>
      </w:r>
      <w:r>
        <w:rPr/>
        <w:t xml:space="preserve"> </w:t>
      </w:r>
      <w:r>
        <w:rPr>
          <w:rStyle w:val="Funotenanker"/>
        </w:rPr>
        <w:footnoteReference w:customMarkFollows="1" w:id="1189"/>
        <w:t>y</w:t>
      </w:r>
      <w:r>
        <w:rPr/>
        <w:t xml:space="preserve"> herabkam.</w:t>
      </w:r>
      <w:r>
        <w:rPr>
          <w:position w:val="8"/>
          <w:sz w:val="19"/>
        </w:rPr>
        <w:t>[[ ℘ &gt;&gt; BibleTOBIBLE:Is 61:1]][[ ℘ &gt;&gt; BibleTOBIBLE:Mt 3:16]][[ ℘ &gt;&gt; BibleTOBIBLE:Lk 3:22]][[ ℘ &gt;&gt; BibleTOBIBLE:Jn 1:32]]</w:t>
      </w:r>
      <w:r>
        <w:rPr/>
        <w:t xml:space="preserve"> {{field-off:bible}} </w:t>
        <w:br/>
        <w:t>[[@BibleTOBIBLE:Mk 1:11]]</w:t>
      </w:r>
      <w:r>
        <w:rPr>
          <w:b/>
        </w:rPr>
        <w:t>11</w:t>
      </w:r>
      <w:r>
        <w:rPr/>
        <w:t xml:space="preserve"> {{field-on:bible}}Und eine Stimme kam </w:t>
      </w:r>
      <w:r>
        <w:rPr>
          <w:color w:val="808080"/>
        </w:rPr>
        <w:t>(geschah)</w:t>
      </w:r>
      <w:r>
        <w:rPr/>
        <w:t xml:space="preserve"> </w:t>
      </w:r>
      <w:r>
        <w:rPr>
          <w:rStyle w:val="Funotenanker"/>
        </w:rPr>
        <w:footnoteReference w:customMarkFollows="1" w:id="1190"/>
        <w:t>z</w:t>
      </w:r>
      <w:r>
        <w:rPr/>
        <w:t xml:space="preserve"> aus dem Himmel </w:t>
      </w:r>
      <w:r>
        <w:rPr>
          <w:rStyle w:val="Funotenanker"/>
        </w:rPr>
        <w:footnoteReference w:customMarkFollows="1" w:id="1191"/>
        <w:t>aa</w:t>
      </w:r>
      <w:r>
        <w:rPr/>
        <w:t xml:space="preserve">: „Du bist mein geliebter Sohn, an dir habe ich Freude </w:t>
      </w:r>
      <w:r>
        <w:rPr>
          <w:color w:val="808080"/>
        </w:rPr>
        <w:t>(Gefallen gefunden)</w:t>
      </w:r>
      <w:r>
        <w:rPr/>
        <w:t xml:space="preserve"> </w:t>
      </w:r>
      <w:r>
        <w:rPr>
          <w:rStyle w:val="Funotenanker"/>
        </w:rPr>
        <w:footnoteReference w:customMarkFollows="1" w:id="1192"/>
        <w:t>ab</w:t>
      </w:r>
      <w:r>
        <w:rPr/>
        <w:t xml:space="preserve"> !“</w:t>
      </w:r>
      <w:r>
        <w:rPr>
          <w:position w:val="8"/>
          <w:sz w:val="19"/>
        </w:rPr>
        <w:t>[[ ℘ &gt;&gt; BibleTOBIBLE:Mt 3:17]][[ ℘ &gt;&gt; BibleTOBIBLE:Lk 3:22]]</w:t>
      </w:r>
      <w:r>
        <w:rPr/>
        <w:t xml:space="preserve"> {{field-off:bible}} </w:t>
        <w:br/>
        <w:t>[[@BibleTOBIBLE:Mk 1:12]]</w:t>
      </w:r>
      <w:r>
        <w:rPr>
          <w:b/>
        </w:rPr>
        <w:t>12</w:t>
      </w:r>
      <w:r>
        <w:rPr/>
        <w:t xml:space="preserve"> {{field-on:bible}}Und gleich danach brachte </w:t>
      </w:r>
      <w:r>
        <w:rPr>
          <w:color w:val="808080"/>
        </w:rPr>
        <w:t>(führte; trieb)</w:t>
      </w:r>
      <w:r>
        <w:rPr/>
        <w:t xml:space="preserve"> </w:t>
      </w:r>
      <w:r>
        <w:rPr>
          <w:rStyle w:val="Funotenanker"/>
        </w:rPr>
        <w:footnoteReference w:customMarkFollows="1" w:id="1193"/>
        <w:t>ac</w:t>
      </w:r>
      <w:r>
        <w:rPr/>
        <w:t xml:space="preserve"> der Geist ihn in die Wüste </w:t>
      </w:r>
      <w:r>
        <w:rPr>
          <w:color w:val="808080"/>
        </w:rPr>
        <w:t>(Wildnis)</w:t>
      </w:r>
      <w:r>
        <w:rPr/>
        <w:t>.</w:t>
      </w:r>
      <w:r>
        <w:rPr>
          <w:position w:val="8"/>
          <w:sz w:val="19"/>
        </w:rPr>
        <w:t>[[ ℘ &gt;&gt; BibleTOBIBLE:Mt 4:1]][[ ℘ &gt;&gt; BibleTOBIBLE:Lk 4:1]]</w:t>
      </w:r>
      <w:r>
        <w:rPr/>
        <w:t xml:space="preserve"> {{field-off:bible}} </w:t>
        <w:br/>
        <w:t>[[@BibleTOBIBLE:Mk 1:13]]</w:t>
      </w:r>
      <w:r>
        <w:rPr>
          <w:b/>
        </w:rPr>
        <w:t>13</w:t>
      </w:r>
      <w:r>
        <w:rPr/>
        <w:t xml:space="preserve"> {{field-on:bible}}Und er war </w:t>
      </w:r>
      <w:r>
        <w:rPr>
          <w:color w:val="808080"/>
        </w:rPr>
        <w:t>(lebte, verbrachte)</w:t>
      </w:r>
      <w:r>
        <w:rPr/>
        <w:t xml:space="preserve"> vierzig Tage in der Wüste </w:t>
      </w:r>
      <w:r>
        <w:rPr>
          <w:color w:val="808080"/>
        </w:rPr>
        <w:t>(Wildnis)</w:t>
      </w:r>
      <w:r>
        <w:rPr/>
        <w:t xml:space="preserve"> und </w:t>
      </w:r>
      <w:r>
        <w:rPr>
          <w:color w:val="808080"/>
        </w:rPr>
        <w:t>(während, wobei)</w:t>
      </w:r>
      <w:r>
        <w:rPr/>
        <w:t xml:space="preserve"> wurde vom Satan auf die Probe gestellt </w:t>
      </w:r>
      <w:r>
        <w:rPr>
          <w:color w:val="808080"/>
        </w:rPr>
        <w:t>(versucht)</w:t>
      </w:r>
      <w:r>
        <w:rPr/>
        <w:t xml:space="preserve">, </w:t>
      </w:r>
      <w:r>
        <w:rPr>
          <w:rStyle w:val="Funotenanker"/>
        </w:rPr>
        <w:footnoteReference w:customMarkFollows="1" w:id="1194"/>
        <w:t>ad</w:t>
      </w:r>
      <w:r>
        <w:rPr/>
        <w:t xml:space="preserve"> und er war </w:t>
      </w:r>
      <w:r>
        <w:rPr>
          <w:color w:val="808080"/>
        </w:rPr>
        <w:t>(lebte)</w:t>
      </w:r>
      <w:r>
        <w:rPr/>
        <w:t xml:space="preserve"> unter </w:t>
      </w:r>
      <w:r>
        <w:rPr>
          <w:color w:val="808080"/>
        </w:rPr>
        <w:t>(mit)</w:t>
      </w:r>
      <w:r>
        <w:rPr/>
        <w:t xml:space="preserve"> den Tieren, und die Engel dienten </w:t>
      </w:r>
      <w:r>
        <w:rPr>
          <w:color w:val="808080"/>
        </w:rPr>
        <w:t>(versorgten, warteten auf)</w:t>
      </w:r>
      <w:r>
        <w:rPr/>
        <w:t xml:space="preserve"> ihm.</w:t>
      </w:r>
      <w:r>
        <w:rPr>
          <w:position w:val="8"/>
          <w:sz w:val="19"/>
        </w:rPr>
        <w:t>[[ ℘ &gt;&gt; BibleTOBIBLE:Mt 4:1]][[ ℘ &gt;&gt; BibleTOBIBLE:Lk 4:1]]</w:t>
      </w:r>
      <w:r>
        <w:rPr/>
        <w:t xml:space="preserve"> {{field-off:bible}} </w:t>
        <w:br/>
        <w:t>[[@BibleTOBIBLE:Mk 1:14]]</w:t>
      </w:r>
      <w:r>
        <w:rPr>
          <w:b/>
        </w:rPr>
        <w:t>14</w:t>
      </w:r>
      <w:r>
        <w:rPr/>
        <w:t xml:space="preserve"> {{field-on:bible}} </w:t>
      </w:r>
      <w:r>
        <w:rPr>
          <w:strike/>
          <w:color w:val="808080"/>
        </w:rPr>
        <w:t>{Aber}</w:t>
      </w:r>
      <w:r>
        <w:rPr/>
        <w:t xml:space="preserve"> Nachdem Johannes verhaftet </w:t>
      </w:r>
      <w:r>
        <w:rPr>
          <w:rStyle w:val="Funotenanker"/>
        </w:rPr>
        <w:footnoteReference w:customMarkFollows="1" w:id="1195"/>
        <w:t>ae</w:t>
      </w:r>
      <w:r>
        <w:rPr/>
        <w:t xml:space="preserve"> worden war, begab sich </w:t>
      </w:r>
      <w:r>
        <w:rPr>
          <w:color w:val="808080"/>
        </w:rPr>
        <w:t>(kam)</w:t>
      </w:r>
      <w:r>
        <w:rPr/>
        <w:t xml:space="preserve"> Jesus nach Galiläa und predigte </w:t>
      </w:r>
      <w:r>
        <w:rPr>
          <w:color w:val="808080"/>
        </w:rPr>
        <w:t>(verkündete)</w:t>
      </w:r>
      <w:r>
        <w:rPr/>
        <w:t xml:space="preserve"> </w:t>
      </w:r>
      <w:r>
        <w:rPr>
          <w:rStyle w:val="Funotenanker"/>
        </w:rPr>
        <w:footnoteReference w:customMarkFollows="1" w:id="1196"/>
        <w:t>af</w:t>
      </w:r>
      <w:r>
        <w:rPr/>
        <w:t xml:space="preserve"> das Evangelium Gottes </w:t>
      </w:r>
      <w:r>
        <w:rPr>
          <w:rStyle w:val="Funotenanker"/>
        </w:rPr>
        <w:footnoteReference w:customMarkFollows="1" w:id="1197"/>
        <w:t>ag</w:t>
      </w:r>
      <w:r>
        <w:rPr/>
        <w:t xml:space="preserve"> </w:t>
      </w:r>
      <w:r>
        <w:rPr>
          <w:position w:val="8"/>
          <w:sz w:val="19"/>
        </w:rPr>
        <w:t>[[ ℘ &gt;&gt; BibleTOBIBLE:Mt 4:12]][[ ℘ &gt;&gt; BibleTOBIBLE:Lk 4:14]][[ ℘ &gt;&gt; BibleTOBIBLE:Jn 4:1]]</w:t>
      </w:r>
      <w:r>
        <w:rPr/>
        <w:t xml:space="preserve"> {{field-off:bible}} </w:t>
        <w:br/>
        <w:t>[[@BibleTOBIBLE:Mk 1:15]]</w:t>
      </w:r>
      <w:r>
        <w:rPr>
          <w:b/>
        </w:rPr>
        <w:t>15</w:t>
      </w:r>
      <w:r>
        <w:rPr/>
        <w:t xml:space="preserve"> {{field-on:bible}}und sagte </w:t>
      </w:r>
      <w:r>
        <w:rPr>
          <w:rStyle w:val="Funotenanker"/>
        </w:rPr>
        <w:footnoteReference w:customMarkFollows="1" w:id="1198"/>
        <w:t>ah</w:t>
      </w:r>
      <w:r>
        <w:rPr/>
        <w:t xml:space="preserve"> </w:t>
      </w:r>
      <w:r>
        <w:rPr>
          <w:strike/>
          <w:color w:val="808080"/>
        </w:rPr>
        <w:t>{dass}</w:t>
      </w:r>
      <w:r>
        <w:rPr/>
        <w:t xml:space="preserve">: „Die Zeit ist eingetreten </w:t>
      </w:r>
      <w:r>
        <w:rPr>
          <w:color w:val="808080"/>
        </w:rPr>
        <w:t>(gekommen, erfüllt)</w:t>
      </w:r>
      <w:r>
        <w:rPr/>
        <w:t xml:space="preserve"> </w:t>
      </w:r>
      <w:r>
        <w:rPr>
          <w:rStyle w:val="Funotenanker"/>
        </w:rPr>
        <w:footnoteReference w:customMarkFollows="1" w:id="1199"/>
        <w:t>ai</w:t>
      </w:r>
      <w:r>
        <w:rPr/>
        <w:t xml:space="preserve"> und Gottes Königsherrschaft </w:t>
      </w:r>
      <w:r>
        <w:rPr>
          <w:color w:val="808080"/>
        </w:rPr>
        <w:t>(Königreich)</w:t>
      </w:r>
      <w:r>
        <w:rPr/>
        <w:t xml:space="preserve"> </w:t>
      </w:r>
      <w:r>
        <w:rPr>
          <w:rStyle w:val="Funotenanker"/>
        </w:rPr>
        <w:footnoteReference w:customMarkFollows="1" w:id="1200"/>
        <w:t>aj</w:t>
      </w:r>
      <w:r>
        <w:rPr/>
        <w:t xml:space="preserve"> ist nahegekommen. Kehrt um </w:t>
      </w:r>
      <w:r>
        <w:rPr>
          <w:color w:val="808080"/>
        </w:rPr>
        <w:t>(tut Buße)</w:t>
      </w:r>
      <w:r>
        <w:rPr/>
        <w:t xml:space="preserve"> und glaubt an das Evangelium!“</w:t>
      </w:r>
      <w:r>
        <w:rPr>
          <w:position w:val="8"/>
          <w:sz w:val="19"/>
        </w:rPr>
        <w:t>[[ ℘ &gt;&gt; BibleTOBIBLE:Is 61:1]][[ ℘ &gt;&gt; BibleTOBIBLE:Mt 4:17]]</w:t>
      </w:r>
      <w:r>
        <w:rPr/>
        <w:t xml:space="preserve"> {{field-off:bible}} </w:t>
        <w:br/>
        <w:t>[[@BibleTOBIBLE:Mk 1:16]]</w:t>
      </w:r>
      <w:r>
        <w:rPr>
          <w:b/>
        </w:rPr>
        <w:t>16</w:t>
      </w:r>
      <w:r>
        <w:rPr/>
        <w:t xml:space="preserve"> {{field-on:bible}}Und während </w:t>
      </w:r>
      <w:r>
        <w:rPr>
          <w:color w:val="808080"/>
        </w:rPr>
        <w:t>(als)</w:t>
      </w:r>
      <w:r>
        <w:rPr/>
        <w:t xml:space="preserve"> er am Meer von Galiläa entlangging, </w:t>
      </w:r>
      <w:r>
        <w:rPr>
          <w:rStyle w:val="Funotenanker"/>
        </w:rPr>
        <w:footnoteReference w:customMarkFollows="1" w:id="1201"/>
        <w:t>ak</w:t>
      </w:r>
      <w:r>
        <w:rPr/>
        <w:t xml:space="preserve"> sah er Simon und Andreas, Simons Bruder, die gerade Wurfnetze </w:t>
      </w:r>
      <w:r>
        <w:rPr>
          <w:color w:val="808080"/>
        </w:rPr>
        <w:t>(ein Wurfnetz)</w:t>
      </w:r>
      <w:r>
        <w:rPr/>
        <w:t xml:space="preserve"> ins Meer warfen </w:t>
      </w:r>
      <w:r>
        <w:rPr>
          <w:rStyle w:val="Funotenanker"/>
        </w:rPr>
        <w:footnoteReference w:customMarkFollows="1" w:id="1202"/>
        <w:t>al</w:t>
      </w:r>
      <w:r>
        <w:rPr/>
        <w:t>. Sie waren nämlich Fischer.</w:t>
      </w:r>
      <w:r>
        <w:rPr>
          <w:position w:val="8"/>
          <w:sz w:val="19"/>
        </w:rPr>
        <w:t>[[ ℘ &gt;&gt; BibleTOBIBLE:Mt 4:18]]</w:t>
      </w:r>
      <w:r>
        <w:rPr/>
        <w:t xml:space="preserve"> {{field-off:bible}} </w:t>
        <w:br/>
        <w:t>[[@BibleTOBIBLE:Mk 1:17]]</w:t>
      </w:r>
      <w:r>
        <w:rPr>
          <w:b/>
        </w:rPr>
        <w:t>17</w:t>
      </w:r>
      <w:r>
        <w:rPr/>
        <w:t xml:space="preserve"> {{field-on:bible}}Und Jesus sagte zu ihnen: „Kommt, </w:t>
      </w:r>
      <w:r>
        <w:rPr>
          <w:b/>
          <w:color w:val="808080"/>
        </w:rPr>
        <w:t>[</w:t>
      </w:r>
      <w:r>
        <w:rPr/>
        <w:t>folgt</w:t>
      </w:r>
      <w:r>
        <w:rPr>
          <w:b/>
          <w:color w:val="808080"/>
        </w:rPr>
        <w:t>]</w:t>
      </w:r>
      <w:r>
        <w:rPr/>
        <w:t xml:space="preserve"> mir nach, dann werde ich euch </w:t>
      </w:r>
      <w:r>
        <w:rPr>
          <w:b/>
          <w:color w:val="808080"/>
        </w:rPr>
        <w:t>[</w:t>
      </w:r>
      <w:r>
        <w:rPr/>
        <w:t>zu</w:t>
      </w:r>
      <w:r>
        <w:rPr>
          <w:b/>
          <w:color w:val="808080"/>
        </w:rPr>
        <w:t>]</w:t>
      </w:r>
      <w:r>
        <w:rPr/>
        <w:t xml:space="preserve"> Menschenfischern </w:t>
      </w:r>
      <w:r>
        <w:rPr>
          <w:strike/>
          <w:color w:val="808080"/>
        </w:rPr>
        <w:t>{werden}</w:t>
      </w:r>
      <w:r>
        <w:rPr/>
        <w:t xml:space="preserve"> machen!“ </w:t>
      </w:r>
      <w:r>
        <w:rPr>
          <w:rStyle w:val="Funotenanker"/>
        </w:rPr>
        <w:footnoteReference w:customMarkFollows="1" w:id="1203"/>
        <w:t>am</w:t>
      </w:r>
      <w:r>
        <w:rPr/>
        <w:t xml:space="preserve"> </w:t>
      </w:r>
      <w:r>
        <w:rPr>
          <w:position w:val="8"/>
          <w:sz w:val="19"/>
        </w:rPr>
        <w:t>[[ ℘ &gt;&gt; BibleTOBIBLE:Mt 4:19]][[ ℘ &gt;&gt; BibleTOBIBLE:Lk 5:10]]</w:t>
      </w:r>
      <w:r>
        <w:rPr/>
        <w:t xml:space="preserve"> {{field-off:bible}} </w:t>
        <w:br/>
        <w:t>[[@BibleTOBIBLE:Mk 1:18]]</w:t>
      </w:r>
      <w:r>
        <w:rPr>
          <w:b/>
        </w:rPr>
        <w:t>18</w:t>
      </w:r>
      <w:r>
        <w:rPr/>
        <w:t xml:space="preserve"> {{field-on:bible}}Und sofort ließen sie </w:t>
      </w:r>
      <w:r>
        <w:rPr>
          <w:b/>
          <w:color w:val="808080"/>
        </w:rPr>
        <w:t>[</w:t>
      </w:r>
      <w:r>
        <w:rPr/>
        <w:t>ihre</w:t>
      </w:r>
      <w:r>
        <w:rPr>
          <w:b/>
          <w:color w:val="808080"/>
        </w:rPr>
        <w:t>]</w:t>
      </w:r>
      <w:r>
        <w:rPr/>
        <w:t xml:space="preserve"> Netze </w:t>
      </w:r>
      <w:r>
        <w:rPr>
          <w:b/>
          <w:color w:val="808080"/>
        </w:rPr>
        <w:t>[</w:t>
      </w:r>
      <w:r>
        <w:rPr/>
        <w:t>liegen</w:t>
      </w:r>
      <w:r>
        <w:rPr>
          <w:b/>
          <w:color w:val="808080"/>
        </w:rPr>
        <w:t>]</w:t>
      </w:r>
      <w:r>
        <w:rPr/>
        <w:t xml:space="preserve"> und </w:t>
      </w:r>
      <w:r>
        <w:rPr>
          <w:rStyle w:val="Funotenanker"/>
        </w:rPr>
        <w:footnoteReference w:customMarkFollows="1" w:id="1204"/>
        <w:t>an</w:t>
      </w:r>
      <w:r>
        <w:rPr/>
        <w:t xml:space="preserve"> folgten ihm.</w:t>
      </w:r>
      <w:r>
        <w:rPr>
          <w:position w:val="8"/>
          <w:sz w:val="19"/>
        </w:rPr>
        <w:t>[[ ℘ &gt;&gt; BibleTOBIBLE:Mt 4:20]][[ ℘ &gt;&gt; BibleTOBIBLE:Lk 5:11]]</w:t>
      </w:r>
      <w:r>
        <w:rPr/>
        <w:t xml:space="preserve"> {{field-off:bible}} </w:t>
        <w:br/>
        <w:t>[[@BibleTOBIBLE:Mk 1:19]]</w:t>
      </w:r>
      <w:r>
        <w:rPr>
          <w:b/>
        </w:rPr>
        <w:t>19</w:t>
      </w:r>
      <w:r>
        <w:rPr/>
        <w:t xml:space="preserve"> {{field-on:bible}}Und nachdem </w:t>
      </w:r>
      <w:r>
        <w:rPr>
          <w:color w:val="808080"/>
        </w:rPr>
        <w:t>(als)</w:t>
      </w:r>
      <w:r>
        <w:rPr/>
        <w:t xml:space="preserve"> er ein wenig weitergegangen war, </w:t>
      </w:r>
      <w:r>
        <w:rPr>
          <w:rStyle w:val="Funotenanker"/>
        </w:rPr>
        <w:footnoteReference w:customMarkFollows="1" w:id="1205"/>
        <w:t>ao</w:t>
      </w:r>
      <w:r>
        <w:rPr/>
        <w:t xml:space="preserve"> sah er Jakobus, den </w:t>
      </w:r>
      <w:r>
        <w:rPr>
          <w:b/>
          <w:color w:val="808080"/>
        </w:rPr>
        <w:t>[</w:t>
      </w:r>
      <w:r>
        <w:rPr/>
        <w:t>Sohn</w:t>
      </w:r>
      <w:r>
        <w:rPr>
          <w:b/>
          <w:color w:val="808080"/>
        </w:rPr>
        <w:t>]</w:t>
      </w:r>
      <w:r>
        <w:rPr/>
        <w:t xml:space="preserve"> von Zebedäus, und seinen Bruder Johannes. Auch sie </w:t>
      </w:r>
      <w:r>
        <w:rPr>
          <w:b/>
          <w:color w:val="808080"/>
        </w:rPr>
        <w:t>[</w:t>
      </w:r>
      <w:r>
        <w:rPr/>
        <w:t>saßen</w:t>
      </w:r>
      <w:r>
        <w:rPr>
          <w:b/>
          <w:color w:val="808080"/>
        </w:rPr>
        <w:t>]</w:t>
      </w:r>
      <w:r>
        <w:rPr/>
        <w:t xml:space="preserve"> im Boot </w:t>
      </w:r>
      <w:r>
        <w:rPr>
          <w:b/>
          <w:color w:val="808080"/>
        </w:rPr>
        <w:t>[</w:t>
      </w:r>
      <w:r>
        <w:rPr/>
        <w:t>und</w:t>
      </w:r>
      <w:r>
        <w:rPr>
          <w:b/>
          <w:color w:val="808080"/>
        </w:rPr>
        <w:t>]</w:t>
      </w:r>
      <w:r>
        <w:rPr/>
        <w:t xml:space="preserve"> brachten </w:t>
      </w:r>
      <w:r>
        <w:rPr>
          <w:b/>
          <w:color w:val="808080"/>
        </w:rPr>
        <w:t>[</w:t>
      </w:r>
      <w:r>
        <w:rPr/>
        <w:t>ihre</w:t>
      </w:r>
      <w:r>
        <w:rPr>
          <w:b/>
          <w:color w:val="808080"/>
        </w:rPr>
        <w:t>]</w:t>
      </w:r>
      <w:r>
        <w:rPr/>
        <w:t xml:space="preserve"> Netze in Ordnung </w:t>
      </w:r>
      <w:r>
        <w:rPr>
          <w:color w:val="808080"/>
        </w:rPr>
        <w:t>(setzten instand, besserten aus, flickten)</w:t>
      </w:r>
      <w:r>
        <w:rPr/>
        <w:t xml:space="preserve">, </w:t>
      </w:r>
      <w:r>
        <w:rPr>
          <w:rStyle w:val="Funotenanker"/>
        </w:rPr>
        <w:footnoteReference w:customMarkFollows="1" w:id="1206"/>
        <w:t>ap</w:t>
      </w:r>
      <w:r>
        <w:rPr/>
        <w:t xml:space="preserve"> </w:t>
      </w:r>
      <w:r>
        <w:rPr>
          <w:position w:val="8"/>
          <w:sz w:val="19"/>
        </w:rPr>
        <w:t>[[ ℘ &gt;&gt; BibleTOBIBLE:Mt 4:21]][[ ℘ &gt;&gt; BibleTOBIBLE:Lk 5:10]]</w:t>
      </w:r>
      <w:r>
        <w:rPr/>
        <w:t xml:space="preserve"> {{field-off:bible}} </w:t>
        <w:br/>
        <w:t>[[@BibleTOBIBLE:Mk 1:20]]</w:t>
      </w:r>
      <w:r>
        <w:rPr>
          <w:b/>
        </w:rPr>
        <w:t>20</w:t>
      </w:r>
      <w:r>
        <w:rPr/>
        <w:t xml:space="preserve"> {{field-on:bible}}und er rief sie umgehend </w:t>
      </w:r>
      <w:r>
        <w:rPr>
          <w:color w:val="808080"/>
        </w:rPr>
        <w:t>(sofort)</w:t>
      </w:r>
      <w:r>
        <w:rPr/>
        <w:t xml:space="preserve">. Und sie ließen ihren Vater mit den bezahlten Arbeitern im Boot zurück und gingen </w:t>
      </w:r>
      <w:r>
        <w:rPr>
          <w:rStyle w:val="Funotenanker"/>
        </w:rPr>
        <w:footnoteReference w:customMarkFollows="1" w:id="1207"/>
        <w:t>aq</w:t>
      </w:r>
      <w:r>
        <w:rPr/>
        <w:t xml:space="preserve"> ihm nach.</w:t>
      </w:r>
      <w:r>
        <w:rPr>
          <w:position w:val="8"/>
          <w:sz w:val="19"/>
        </w:rPr>
        <w:t>[[ ℘ &gt;&gt; BibleTOBIBLE:Mt 4:22]][[ ℘ &gt;&gt; BibleTOBIBLE:Lk 5:11]]</w:t>
      </w:r>
      <w:r>
        <w:rPr/>
        <w:t xml:space="preserve"> {{field-off:bible}} </w:t>
        <w:br/>
        <w:t>[[@BibleTOBIBLE:Mk 1:21]]</w:t>
      </w:r>
      <w:r>
        <w:rPr>
          <w:b/>
        </w:rPr>
        <w:t>21</w:t>
      </w:r>
      <w:r>
        <w:rPr/>
        <w:t xml:space="preserve"> {{field-on:bible}}Und </w:t>
      </w:r>
      <w:r>
        <w:rPr>
          <w:color w:val="808080"/>
        </w:rPr>
        <w:t>(daraufhin)</w:t>
      </w:r>
      <w:r>
        <w:rPr/>
        <w:t xml:space="preserve"> sie begaben sich nach Kafarnaum </w:t>
      </w:r>
      <w:r>
        <w:rPr>
          <w:strike/>
          <w:color w:val="808080"/>
        </w:rPr>
        <w:t>{hinein}</w:t>
      </w:r>
      <w:r>
        <w:rPr/>
        <w:t xml:space="preserve">. </w:t>
      </w:r>
      <w:r>
        <w:rPr>
          <w:strike/>
          <w:color w:val="808080"/>
        </w:rPr>
        <w:t>{Und}</w:t>
      </w:r>
      <w:r>
        <w:rPr/>
        <w:t xml:space="preserve"> Dann </w:t>
      </w:r>
      <w:r>
        <w:rPr>
          <w:rStyle w:val="Funotenanker"/>
        </w:rPr>
        <w:footnoteReference w:customMarkFollows="1" w:id="1208"/>
        <w:t>ar</w:t>
      </w:r>
      <w:r>
        <w:rPr/>
        <w:t xml:space="preserve"> , </w:t>
      </w:r>
      <w:r>
        <w:rPr>
          <w:b/>
          <w:color w:val="808080"/>
        </w:rPr>
        <w:t>[</w:t>
      </w:r>
      <w:r>
        <w:rPr/>
        <w:t>am</w:t>
      </w:r>
      <w:r>
        <w:rPr>
          <w:b/>
          <w:color w:val="808080"/>
        </w:rPr>
        <w:t>]</w:t>
      </w:r>
      <w:r>
        <w:rPr/>
        <w:t xml:space="preserve"> Sabbat, begann er in der Synagoge </w:t>
      </w:r>
      <w:r>
        <w:rPr>
          <w:color w:val="808080"/>
        </w:rPr>
        <w:t xml:space="preserve">(begab er sich in die Synagoge und </w:t>
      </w:r>
      <w:r>
        <w:rPr>
          <w:rStyle w:val="Funotenanker"/>
        </w:rPr>
        <w:footnoteReference w:customMarkFollows="1" w:id="1209"/>
        <w:t>as</w:t>
      </w:r>
      <w:r>
        <w:rPr/>
        <w:t xml:space="preserve"> </w:t>
      </w:r>
      <w:r>
        <w:rPr>
          <w:color w:val="808080"/>
        </w:rPr>
        <w:t>begann)</w:t>
      </w:r>
      <w:r>
        <w:rPr/>
        <w:t xml:space="preserve"> </w:t>
      </w:r>
      <w:r>
        <w:rPr>
          <w:rStyle w:val="Funotenanker"/>
        </w:rPr>
        <w:footnoteReference w:customMarkFollows="1" w:id="1210"/>
        <w:t>at</w:t>
      </w:r>
      <w:r>
        <w:rPr/>
        <w:t xml:space="preserve"> zu lehren </w:t>
      </w:r>
      <w:r>
        <w:rPr>
          <w:rStyle w:val="Funotenanker"/>
        </w:rPr>
        <w:footnoteReference w:customMarkFollows="1" w:id="1211"/>
        <w:t>au</w:t>
      </w:r>
      <w:r>
        <w:rPr/>
        <w:t>.</w:t>
      </w:r>
      <w:r>
        <w:rPr>
          <w:position w:val="8"/>
          <w:sz w:val="19"/>
        </w:rPr>
        <w:t>[[ ℘ &gt;&gt; BibleTOBIBLE:Lk 4:31]]</w:t>
      </w:r>
      <w:r>
        <w:rPr/>
        <w:t xml:space="preserve"> {{field-off:bible}} </w:t>
        <w:br/>
        <w:t>[[@BibleTOBIBLE:Mk 1:22]]</w:t>
      </w:r>
      <w:r>
        <w:rPr>
          <w:b/>
        </w:rPr>
        <w:t>22</w:t>
      </w:r>
      <w:r>
        <w:rPr/>
        <w:t xml:space="preserve"> {{field-on:bible}}Und sie waren tief beeindruckt </w:t>
      </w:r>
      <w:r>
        <w:rPr>
          <w:rStyle w:val="Funotenanker"/>
        </w:rPr>
        <w:footnoteReference w:customMarkFollows="1" w:id="1212"/>
        <w:t>av</w:t>
      </w:r>
      <w:r>
        <w:rPr/>
        <w:t xml:space="preserve"> von seiner Lehre, denn er lehrte sie wie einer, der Vollmacht hat, und nicht wie die Schriftgelehrten.</w:t>
      </w:r>
      <w:r>
        <w:rPr>
          <w:position w:val="8"/>
          <w:sz w:val="19"/>
        </w:rPr>
        <w:t>[[ ℘ &gt;&gt; BibleTOBIBLE:Mt 7:28]][[ ℘ &gt;&gt; BibleTOBIBLE:Mt 13:54]][[ ℘ &gt;&gt; BibleTOBIBLE:Lk 4:32]]</w:t>
      </w:r>
      <w:r>
        <w:rPr/>
        <w:t xml:space="preserve"> {{field-off:bible}} </w:t>
        <w:br/>
        <w:t>[[@BibleTOBIBLE:Mk 1:23]]</w:t>
      </w:r>
      <w:r>
        <w:rPr>
          <w:b/>
        </w:rPr>
        <w:t>23</w:t>
      </w:r>
      <w:r>
        <w:rPr/>
        <w:t xml:space="preserve"> {{field-on:bible}}Und dann </w:t>
      </w:r>
      <w:r>
        <w:rPr>
          <w:color w:val="808080"/>
        </w:rPr>
        <w:t>(plötzlich)</w:t>
      </w:r>
      <w:r>
        <w:rPr/>
        <w:t xml:space="preserve"> war in der dortigen Synagoge ein Mann mit einem unreinen Geist </w:t>
      </w:r>
      <w:r>
        <w:rPr>
          <w:rStyle w:val="Funotenanker"/>
        </w:rPr>
        <w:footnoteReference w:customMarkFollows="1" w:id="1213"/>
        <w:t>aw</w:t>
      </w:r>
      <w:r>
        <w:rPr/>
        <w:t xml:space="preserve"> , und er schrie:</w:t>
      </w:r>
      <w:r>
        <w:rPr>
          <w:position w:val="8"/>
          <w:sz w:val="19"/>
        </w:rPr>
        <w:t>[[ ℘ &gt;&gt; BibleTOBIBLE:Lk 4:33]]</w:t>
      </w:r>
      <w:r>
        <w:rPr/>
        <w:t xml:space="preserve"> {{field-off:bible}} </w:t>
        <w:br/>
        <w:t>[[@BibleTOBIBLE:Mk 1:24]]</w:t>
      </w:r>
      <w:r>
        <w:rPr>
          <w:b/>
        </w:rPr>
        <w:t>24</w:t>
      </w:r>
      <w:r>
        <w:rPr/>
        <w:t xml:space="preserve"> {{field-on:bible}} </w:t>
      </w:r>
      <w:r>
        <w:rPr>
          <w:strike/>
          <w:color w:val="808080"/>
        </w:rPr>
        <w:t>{sagend}</w:t>
      </w:r>
      <w:r>
        <w:rPr/>
        <w:t xml:space="preserve"> „Was willst du von uns, </w:t>
      </w:r>
      <w:r>
        <w:rPr>
          <w:rStyle w:val="Funotenanker"/>
        </w:rPr>
        <w:footnoteReference w:customMarkFollows="1" w:id="1214"/>
        <w:t>ax</w:t>
      </w:r>
      <w:r>
        <w:rPr/>
        <w:t xml:space="preserve"> Jesus von Nazaret </w:t>
      </w:r>
      <w:r>
        <w:rPr>
          <w:rStyle w:val="Funotenanker"/>
        </w:rPr>
        <w:footnoteReference w:customMarkFollows="1" w:id="1215"/>
        <w:t>ay</w:t>
      </w:r>
      <w:r>
        <w:rPr/>
        <w:t xml:space="preserve">? Bist du gekommen, </w:t>
      </w:r>
      <w:r>
        <w:rPr>
          <w:b/>
          <w:color w:val="808080"/>
        </w:rPr>
        <w:t>[</w:t>
      </w:r>
      <w:r>
        <w:rPr/>
        <w:t>um</w:t>
      </w:r>
      <w:r>
        <w:rPr>
          <w:b/>
          <w:color w:val="808080"/>
        </w:rPr>
        <w:t>]</w:t>
      </w:r>
      <w:r>
        <w:rPr/>
        <w:t xml:space="preserve"> uns zu vernichten? Ich weiß, wer du bist: der Heilige Gottes </w:t>
      </w:r>
      <w:r>
        <w:rPr>
          <w:rStyle w:val="Funotenanker"/>
        </w:rPr>
        <w:footnoteReference w:customMarkFollows="1" w:id="1216"/>
        <w:t>az</w:t>
      </w:r>
      <w:r>
        <w:rPr/>
        <w:t>!“</w:t>
      </w:r>
      <w:r>
        <w:rPr>
          <w:position w:val="8"/>
          <w:sz w:val="19"/>
        </w:rPr>
        <w:t>[[ ℘ &gt;&gt; BibleTOBIBLE:Lk 4:34]]</w:t>
      </w:r>
      <w:r>
        <w:rPr/>
        <w:t xml:space="preserve"> {{field-off:bible}} </w:t>
        <w:br/>
        <w:t>[[@BibleTOBIBLE:Mk 1:25]]</w:t>
      </w:r>
      <w:r>
        <w:rPr>
          <w:b/>
        </w:rPr>
        <w:t>25</w:t>
      </w:r>
      <w:r>
        <w:rPr/>
        <w:t xml:space="preserve"> {{field-on:bible}}Und Jesus wies ihn an </w:t>
      </w:r>
      <w:r>
        <w:rPr>
          <w:color w:val="808080"/>
        </w:rPr>
        <w:t>(unterwarf ihn seiner Kontrolle)</w:t>
      </w:r>
      <w:r>
        <w:rPr/>
        <w:t xml:space="preserve"> </w:t>
      </w:r>
      <w:r>
        <w:rPr>
          <w:rStyle w:val="Funotenanker"/>
        </w:rPr>
        <w:footnoteReference w:customMarkFollows="1" w:id="1217"/>
        <w:t>ba</w:t>
      </w:r>
      <w:r>
        <w:rPr/>
        <w:t xml:space="preserve"> </w:t>
      </w:r>
      <w:r>
        <w:rPr>
          <w:strike/>
          <w:color w:val="808080"/>
        </w:rPr>
        <w:t>{sagend}</w:t>
      </w:r>
      <w:r>
        <w:rPr/>
        <w:t xml:space="preserve">: „Sei still </w:t>
      </w:r>
      <w:r>
        <w:rPr>
          <w:color w:val="808080"/>
        </w:rPr>
        <w:t>(Schweig, Verstumme)</w:t>
      </w:r>
      <w:r>
        <w:rPr/>
        <w:t xml:space="preserve"> und komm </w:t>
      </w:r>
      <w:r>
        <w:rPr>
          <w:color w:val="808080"/>
        </w:rPr>
        <w:t>(verlass, fahre)</w:t>
      </w:r>
      <w:r>
        <w:rPr/>
        <w:t xml:space="preserve"> aus ihm heraus!“</w:t>
      </w:r>
      <w:r>
        <w:rPr>
          <w:position w:val="8"/>
          <w:sz w:val="19"/>
        </w:rPr>
        <w:t>[[ ℘ &gt;&gt; BibleTOBIBLE:Lk 4:35]]</w:t>
      </w:r>
      <w:r>
        <w:rPr/>
        <w:t xml:space="preserve"> {{field-off:bible}} </w:t>
        <w:br/>
        <w:t>[[@BibleTOBIBLE:Mk 1:26]]</w:t>
      </w:r>
      <w:r>
        <w:rPr>
          <w:b/>
        </w:rPr>
        <w:t>26</w:t>
      </w:r>
      <w:r>
        <w:rPr/>
        <w:t xml:space="preserve"> {{field-on:bible}}Und nachdem </w:t>
      </w:r>
      <w:r>
        <w:rPr>
          <w:color w:val="808080"/>
        </w:rPr>
        <w:t>(während)</w:t>
      </w:r>
      <w:r>
        <w:rPr/>
        <w:t xml:space="preserve"> der unreine Geist ihn geschüttelt und </w:t>
      </w:r>
      <w:r>
        <w:rPr>
          <w:b/>
          <w:color w:val="808080"/>
        </w:rPr>
        <w:t>[</w:t>
      </w:r>
      <w:r>
        <w:rPr/>
        <w:t>mit</w:t>
      </w:r>
      <w:r>
        <w:rPr>
          <w:b/>
          <w:color w:val="808080"/>
        </w:rPr>
        <w:t>]</w:t>
      </w:r>
      <w:r>
        <w:rPr/>
        <w:t xml:space="preserve"> lauter Stimme geschrien hatte, </w:t>
      </w:r>
      <w:r>
        <w:rPr>
          <w:rStyle w:val="Funotenanker"/>
        </w:rPr>
        <w:footnoteReference w:customMarkFollows="1" w:id="1218"/>
        <w:t>bb</w:t>
      </w:r>
      <w:r>
        <w:rPr/>
        <w:t xml:space="preserve"> kam </w:t>
      </w:r>
      <w:r>
        <w:rPr>
          <w:color w:val="808080"/>
        </w:rPr>
        <w:t>(verließ, fuhr)</w:t>
      </w:r>
      <w:r>
        <w:rPr/>
        <w:t xml:space="preserve"> er aus ihm heraus.</w:t>
      </w:r>
      <w:r>
        <w:rPr>
          <w:position w:val="8"/>
          <w:sz w:val="19"/>
        </w:rPr>
        <w:t>[[ ℘ &gt;&gt; BibleTOBIBLE:Lk 4:35]]</w:t>
      </w:r>
      <w:r>
        <w:rPr/>
        <w:t xml:space="preserve"> {{field-off:bible}} </w:t>
        <w:br/>
        <w:t>[[@BibleTOBIBLE:Mk 1:27]]</w:t>
      </w:r>
      <w:r>
        <w:rPr>
          <w:b/>
        </w:rPr>
        <w:t>27</w:t>
      </w:r>
      <w:r>
        <w:rPr/>
        <w:t xml:space="preserve"> {{field-on:bible}}Und alle waren so entgeistert </w:t>
      </w:r>
      <w:r>
        <w:rPr>
          <w:color w:val="808080"/>
        </w:rPr>
        <w:t>(erstaunt, erschrocken)</w:t>
      </w:r>
      <w:r>
        <w:rPr/>
        <w:t xml:space="preserve">, dass sie einander fragten </w:t>
      </w:r>
      <w:r>
        <w:rPr>
          <w:rStyle w:val="Funotenanker"/>
        </w:rPr>
        <w:footnoteReference w:customMarkFollows="1" w:id="1219"/>
        <w:t>bc</w:t>
      </w:r>
      <w:r>
        <w:rPr/>
        <w:t xml:space="preserve"> </w:t>
      </w:r>
      <w:r>
        <w:rPr>
          <w:strike/>
          <w:color w:val="808080"/>
        </w:rPr>
        <w:t>{wobei sie sagten}</w:t>
      </w:r>
      <w:r>
        <w:rPr/>
        <w:t xml:space="preserve">: „Was ist das? Eine neue Lehre mit Vollmacht – sogar </w:t>
      </w:r>
      <w:r>
        <w:rPr>
          <w:color w:val="808080"/>
        </w:rPr>
        <w:t>(selbst, und)</w:t>
      </w:r>
      <w:r>
        <w:rPr/>
        <w:t xml:space="preserve"> den unreinen Geistern befiehlt er, und sie gehorchen ihm!“</w:t>
      </w:r>
      <w:r>
        <w:rPr>
          <w:position w:val="8"/>
          <w:sz w:val="19"/>
        </w:rPr>
        <w:t>[[ ℘ &gt;&gt; BibleTOBIBLE:Lk 4:36]]</w:t>
      </w:r>
      <w:r>
        <w:rPr/>
        <w:t xml:space="preserve"> {{field-off:bible}} </w:t>
        <w:br/>
        <w:t>[[@BibleTOBIBLE:Mk 1:28]]</w:t>
      </w:r>
      <w:r>
        <w:rPr>
          <w:b/>
        </w:rPr>
        <w:t>28</w:t>
      </w:r>
      <w:r>
        <w:rPr/>
        <w:t xml:space="preserve"> {{field-on:bible}}Und bald </w:t>
      </w:r>
      <w:r>
        <w:rPr>
          <w:color w:val="808080"/>
        </w:rPr>
        <w:t>(rasch)</w:t>
      </w:r>
      <w:r>
        <w:rPr/>
        <w:t xml:space="preserve"> verbreitete sich die Kunde von ihm </w:t>
      </w:r>
      <w:r>
        <w:rPr>
          <w:color w:val="808080"/>
        </w:rPr>
        <w:t>(sein Ruf)</w:t>
      </w:r>
      <w:r>
        <w:rPr/>
        <w:t xml:space="preserve"> überall in der ganzen Umgebung, </w:t>
      </w:r>
      <w:r>
        <w:rPr>
          <w:b/>
          <w:color w:val="808080"/>
        </w:rPr>
        <w:t>[</w:t>
      </w:r>
      <w:r>
        <w:rPr/>
        <w:t>in ganz</w:t>
      </w:r>
      <w:r>
        <w:rPr>
          <w:b/>
          <w:color w:val="808080"/>
        </w:rPr>
        <w:t>]</w:t>
      </w:r>
      <w:r>
        <w:rPr/>
        <w:t xml:space="preserve"> Galiläa </w:t>
      </w:r>
      <w:r>
        <w:rPr>
          <w:color w:val="808080"/>
        </w:rPr>
        <w:t>(im ganzen Umland von Galiläa)</w:t>
      </w:r>
      <w:r>
        <w:rPr/>
        <w:t xml:space="preserve"> </w:t>
      </w:r>
      <w:r>
        <w:rPr>
          <w:rStyle w:val="Funotenanker"/>
        </w:rPr>
        <w:footnoteReference w:customMarkFollows="1" w:id="1220"/>
        <w:t>bd</w:t>
      </w:r>
      <w:r>
        <w:rPr/>
        <w:t>.</w:t>
      </w:r>
      <w:r>
        <w:rPr>
          <w:position w:val="8"/>
          <w:sz w:val="19"/>
        </w:rPr>
        <w:t>[[ ℘ &gt;&gt; BibleTOBIBLE:Lk 4:37]]</w:t>
      </w:r>
      <w:r>
        <w:rPr/>
        <w:t xml:space="preserve"> {{field-off:bible}} </w:t>
        <w:br/>
        <w:t>[[@BibleTOBIBLE:Mk 1:29]]</w:t>
      </w:r>
      <w:r>
        <w:rPr>
          <w:b/>
        </w:rPr>
        <w:t>29</w:t>
      </w:r>
      <w:r>
        <w:rPr/>
        <w:t xml:space="preserve"> {{field-on:bible}}Und dann </w:t>
      </w:r>
      <w:r>
        <w:rPr>
          <w:rStyle w:val="Funotenanker"/>
        </w:rPr>
        <w:footnoteReference w:customMarkFollows="1" w:id="1221"/>
        <w:t>be</w:t>
      </w:r>
      <w:r>
        <w:rPr/>
        <w:t xml:space="preserve"> verließen sie </w:t>
      </w:r>
      <w:r>
        <w:rPr>
          <w:strike/>
          <w:color w:val="808080"/>
        </w:rPr>
        <w:t>{aus}</w:t>
      </w:r>
      <w:r>
        <w:rPr/>
        <w:t xml:space="preserve"> die Synagoge und </w:t>
      </w:r>
      <w:r>
        <w:rPr>
          <w:rStyle w:val="Funotenanker"/>
        </w:rPr>
        <w:footnoteReference w:customMarkFollows="1" w:id="1222"/>
        <w:t>bf</w:t>
      </w:r>
      <w:r>
        <w:rPr/>
        <w:t xml:space="preserve"> gingen </w:t>
      </w:r>
      <w:r>
        <w:rPr>
          <w:color w:val="808080"/>
        </w:rPr>
        <w:t>(begaben sich, kamen)</w:t>
      </w:r>
      <w:r>
        <w:rPr/>
        <w:t xml:space="preserve"> zum </w:t>
      </w:r>
      <w:r>
        <w:rPr>
          <w:color w:val="808080"/>
        </w:rPr>
        <w:t>(in das)</w:t>
      </w:r>
      <w:r>
        <w:rPr/>
        <w:t xml:space="preserve"> Haus von Simon und Andreas mit Jakobus und Johannes.</w:t>
      </w:r>
      <w:r>
        <w:rPr>
          <w:position w:val="8"/>
          <w:sz w:val="19"/>
        </w:rPr>
        <w:t>[[ ℘ &gt;&gt; BibleTOBIBLE:Mt 8:14]][[ ℘ &gt;&gt; BibleTOBIBLE:Lk 4:38]]</w:t>
      </w:r>
      <w:r>
        <w:rPr/>
        <w:t xml:space="preserve"> {{field-off:bible}} </w:t>
        <w:br/>
        <w:t>[[@BibleTOBIBLE:Mk 1:30]]</w:t>
      </w:r>
      <w:r>
        <w:rPr>
          <w:b/>
        </w:rPr>
        <w:t>30</w:t>
      </w:r>
      <w:r>
        <w:rPr/>
        <w:t xml:space="preserve"> {{field-on:bible}}Simons Schwiegermutter </w:t>
      </w:r>
      <w:r>
        <w:rPr>
          <w:strike/>
          <w:color w:val="808080"/>
        </w:rPr>
        <w:t>{aber}</w:t>
      </w:r>
      <w:r>
        <w:rPr/>
        <w:t xml:space="preserve"> lag mit Fieber </w:t>
      </w:r>
      <w:r>
        <w:rPr>
          <w:b/>
          <w:color w:val="808080"/>
        </w:rPr>
        <w:t>[</w:t>
      </w:r>
      <w:r>
        <w:rPr/>
        <w:t>im Bett</w:t>
      </w:r>
      <w:r>
        <w:rPr>
          <w:b/>
          <w:color w:val="808080"/>
        </w:rPr>
        <w:t>]</w:t>
      </w:r>
      <w:r>
        <w:rPr/>
        <w:t xml:space="preserve"> </w:t>
      </w:r>
      <w:r>
        <w:rPr>
          <w:rStyle w:val="Funotenanker"/>
        </w:rPr>
        <w:footnoteReference w:customMarkFollows="1" w:id="1223"/>
        <w:t>bg</w:t>
      </w:r>
      <w:r>
        <w:rPr/>
        <w:t xml:space="preserve"> , und sie erzählten </w:t>
      </w:r>
      <w:r>
        <w:rPr>
          <w:color w:val="808080"/>
        </w:rPr>
        <w:t>(berichteten)</w:t>
      </w:r>
      <w:r>
        <w:rPr/>
        <w:t xml:space="preserve"> ihm gleich von ihr.</w:t>
      </w:r>
      <w:r>
        <w:rPr>
          <w:position w:val="8"/>
          <w:sz w:val="19"/>
        </w:rPr>
        <w:t>[[ ℘ &gt;&gt; BibleTOBIBLE:Mt 8:14]][[ ℘ &gt;&gt; BibleTOBIBLE:Lk 4:38]]</w:t>
      </w:r>
      <w:r>
        <w:rPr/>
        <w:t xml:space="preserve"> {{field-off:bible}} </w:t>
        <w:br/>
        <w:t>[[@BibleTOBIBLE:Mk 1:31]]</w:t>
      </w:r>
      <w:r>
        <w:rPr>
          <w:b/>
        </w:rPr>
        <w:t>31</w:t>
      </w:r>
      <w:r>
        <w:rPr/>
        <w:t xml:space="preserve"> {{field-on:bible}}Da </w:t>
      </w:r>
      <w:r>
        <w:rPr>
          <w:color w:val="808080"/>
        </w:rPr>
        <w:t>(Und)</w:t>
      </w:r>
      <w:r>
        <w:rPr/>
        <w:t xml:space="preserve"> ging er zu </w:t>
      </w:r>
      <w:r>
        <w:rPr>
          <w:b/>
          <w:color w:val="808080"/>
        </w:rPr>
        <w:t>[</w:t>
      </w:r>
      <w:r>
        <w:rPr/>
        <w:t>ihr</w:t>
      </w:r>
      <w:r>
        <w:rPr>
          <w:b/>
          <w:color w:val="808080"/>
        </w:rPr>
        <w:t>]</w:t>
      </w:r>
      <w:r>
        <w:rPr/>
        <w:t xml:space="preserve"> und </w:t>
      </w:r>
      <w:r>
        <w:rPr>
          <w:rStyle w:val="Funotenanker"/>
        </w:rPr>
        <w:footnoteReference w:customMarkFollows="1" w:id="1224"/>
        <w:t>bh</w:t>
      </w:r>
      <w:r>
        <w:rPr/>
        <w:t xml:space="preserve"> half ihr beim Aufstehen </w:t>
      </w:r>
      <w:r>
        <w:rPr>
          <w:color w:val="808080"/>
        </w:rPr>
        <w:t>(richtete sie auf)</w:t>
      </w:r>
      <w:r>
        <w:rPr/>
        <w:t xml:space="preserve">, indem er ihre Hand nahm </w:t>
      </w:r>
      <w:r>
        <w:rPr>
          <w:color w:val="808080"/>
        </w:rPr>
        <w:t>(ergriff)</w:t>
      </w:r>
      <w:r>
        <w:rPr/>
        <w:t xml:space="preserve"> </w:t>
      </w:r>
      <w:r>
        <w:rPr>
          <w:rStyle w:val="Funotenanker"/>
        </w:rPr>
        <w:footnoteReference w:customMarkFollows="1" w:id="1225"/>
        <w:t>bi</w:t>
      </w:r>
      <w:r>
        <w:rPr/>
        <w:t xml:space="preserve">. Da </w:t>
      </w:r>
      <w:r>
        <w:rPr>
          <w:color w:val="808080"/>
        </w:rPr>
        <w:t>(und)</w:t>
      </w:r>
      <w:r>
        <w:rPr/>
        <w:t xml:space="preserve"> verließ das Fieber sie, und sie begann, sie zu bewirten </w:t>
      </w:r>
      <w:r>
        <w:rPr>
          <w:color w:val="808080"/>
        </w:rPr>
        <w:t>(bedienen, dienen; bewirtete sie)</w:t>
      </w:r>
      <w:r>
        <w:rPr/>
        <w:t xml:space="preserve"> </w:t>
      </w:r>
      <w:r>
        <w:rPr>
          <w:rStyle w:val="Funotenanker"/>
        </w:rPr>
        <w:footnoteReference w:customMarkFollows="1" w:id="1226"/>
        <w:t>bj</w:t>
      </w:r>
      <w:r>
        <w:rPr/>
        <w:t>.</w:t>
      </w:r>
      <w:r>
        <w:rPr>
          <w:position w:val="8"/>
          <w:sz w:val="19"/>
        </w:rPr>
        <w:t>[[ ℘ &gt;&gt; BibleTOBIBLE:Mt 8:15]][[ ℘ &gt;&gt; BibleTOBIBLE:Lk 4:39]]</w:t>
      </w:r>
      <w:r>
        <w:rPr/>
        <w:t xml:space="preserve"> {{field-off:bible}} </w:t>
        <w:br/>
        <w:t>[[@BibleTOBIBLE:Mk 1:32]]</w:t>
      </w:r>
      <w:r>
        <w:rPr>
          <w:b/>
        </w:rPr>
        <w:t>32</w:t>
      </w:r>
      <w:r>
        <w:rPr/>
        <w:t xml:space="preserve"> {{field-on:bible}}Als es Abend geworden </w:t>
      </w:r>
      <w:r>
        <w:rPr>
          <w:color w:val="808080"/>
        </w:rPr>
        <w:t>(wurde)</w:t>
      </w:r>
      <w:r>
        <w:rPr/>
        <w:t xml:space="preserve"> und </w:t>
      </w:r>
      <w:r>
        <w:rPr>
          <w:rStyle w:val="Funotenanker"/>
        </w:rPr>
        <w:footnoteReference w:customMarkFollows="1" w:id="1227"/>
        <w:t>bk</w:t>
      </w:r>
      <w:r>
        <w:rPr/>
        <w:t xml:space="preserve"> die Sonne untergegangen war </w:t>
      </w:r>
      <w:r>
        <w:rPr>
          <w:color w:val="808080"/>
        </w:rPr>
        <w:t>(unterging)</w:t>
      </w:r>
      <w:r>
        <w:rPr/>
        <w:t xml:space="preserve">, brachte </w:t>
      </w:r>
      <w:r>
        <w:rPr>
          <w:rStyle w:val="Funotenanker"/>
        </w:rPr>
        <w:footnoteReference w:customMarkFollows="1" w:id="1228"/>
        <w:t>bl</w:t>
      </w:r>
      <w:r>
        <w:rPr/>
        <w:t xml:space="preserve"> man alle Kranken </w:t>
      </w:r>
      <w:r>
        <w:rPr>
          <w:color w:val="808080"/>
        </w:rPr>
        <w:t>(denen es schlecht ging)</w:t>
      </w:r>
      <w:r>
        <w:rPr/>
        <w:t xml:space="preserve"> </w:t>
      </w:r>
      <w:r>
        <w:rPr>
          <w:rStyle w:val="Funotenanker"/>
        </w:rPr>
        <w:footnoteReference w:customMarkFollows="1" w:id="1229"/>
        <w:t>bm</w:t>
      </w:r>
      <w:r>
        <w:rPr/>
        <w:t xml:space="preserve"> und </w:t>
      </w:r>
      <w:r>
        <w:rPr>
          <w:b/>
          <w:color w:val="808080"/>
        </w:rPr>
        <w:t>[</w:t>
      </w:r>
      <w:r>
        <w:rPr/>
        <w:t>alle</w:t>
      </w:r>
      <w:r>
        <w:rPr>
          <w:b/>
          <w:color w:val="808080"/>
        </w:rPr>
        <w:t>]</w:t>
      </w:r>
      <w:r>
        <w:rPr/>
        <w:t xml:space="preserve"> Besessenen zu ihm,</w:t>
      </w:r>
      <w:r>
        <w:rPr>
          <w:position w:val="8"/>
          <w:sz w:val="19"/>
        </w:rPr>
        <w:t>[[ ℘ &gt;&gt; BibleTOBIBLE:Mt 8:16]][[ ℘ &gt;&gt; BibleTOBIBLE:Lk 4:40]]</w:t>
      </w:r>
      <w:r>
        <w:rPr/>
        <w:t xml:space="preserve"> {{field-off:bible}} </w:t>
        <w:br/>
        <w:t>[[@BibleTOBIBLE:Mk 1:33]]</w:t>
      </w:r>
      <w:r>
        <w:rPr>
          <w:b/>
        </w:rPr>
        <w:t>33</w:t>
      </w:r>
      <w:r>
        <w:rPr/>
        <w:t xml:space="preserve"> {{field-on:bible}}und die ganze Stadt war vor der Tür versammelt.{{field-off:bible}} </w:t>
        <w:br/>
        <w:t>[[@BibleTOBIBLE:Mk 1:34]]</w:t>
      </w:r>
      <w:r>
        <w:rPr>
          <w:b/>
        </w:rPr>
        <w:t>34</w:t>
      </w:r>
      <w:r>
        <w:rPr/>
        <w:t xml:space="preserve"> {{field-on:bible}}Und er heilte viele Kranke </w:t>
      </w:r>
      <w:r>
        <w:rPr>
          <w:color w:val="808080"/>
        </w:rPr>
        <w:t>(denen es schlecht ging)</w:t>
      </w:r>
      <w:r>
        <w:rPr/>
        <w:t xml:space="preserve"> von verschiedenen Krankheiten und trieb viele Dämonen aus, aber </w:t>
      </w:r>
      <w:r>
        <w:rPr>
          <w:color w:val="808080"/>
        </w:rPr>
        <w:t>(und)</w:t>
      </w:r>
      <w:r>
        <w:rPr/>
        <w:t xml:space="preserve"> die Dämonen ließ er nicht sprechen, weil sie ihn kannten.</w:t>
      </w:r>
      <w:r>
        <w:rPr>
          <w:position w:val="8"/>
          <w:sz w:val="19"/>
        </w:rPr>
        <w:t>[[ ℘ &gt;&gt; BibleTOBIBLE:Mt 8:16]][[ ℘ &gt;&gt; BibleTOBIBLE:Lk 4:40]]</w:t>
      </w:r>
      <w:r>
        <w:rPr/>
        <w:t xml:space="preserve"> {{field-off:bible}} </w:t>
        <w:br/>
        <w:t>[[@BibleTOBIBLE:Mk 1:35]]</w:t>
      </w:r>
      <w:r>
        <w:rPr>
          <w:b/>
        </w:rPr>
        <w:t>35</w:t>
      </w:r>
      <w:r>
        <w:rPr/>
        <w:t xml:space="preserve"> {{field-on:bible}}Und früh morgens, </w:t>
      </w:r>
      <w:r>
        <w:rPr>
          <w:b/>
          <w:color w:val="808080"/>
        </w:rPr>
        <w:t>[</w:t>
      </w:r>
      <w:r>
        <w:rPr/>
        <w:t>als es noch</w:t>
      </w:r>
      <w:r>
        <w:rPr>
          <w:b/>
          <w:color w:val="808080"/>
        </w:rPr>
        <w:t>]</w:t>
      </w:r>
      <w:r>
        <w:rPr/>
        <w:t xml:space="preserve"> ganz dunkel </w:t>
      </w:r>
      <w:r>
        <w:rPr>
          <w:b/>
          <w:color w:val="808080"/>
        </w:rPr>
        <w:t>[</w:t>
      </w:r>
      <w:r>
        <w:rPr/>
        <w:t>war</w:t>
      </w:r>
      <w:r>
        <w:rPr>
          <w:b/>
          <w:color w:val="808080"/>
        </w:rPr>
        <w:t>]</w:t>
      </w:r>
      <w:r>
        <w:rPr/>
        <w:t xml:space="preserve">, </w:t>
      </w:r>
      <w:r>
        <w:rPr>
          <w:rStyle w:val="Funotenanker"/>
        </w:rPr>
        <w:footnoteReference w:customMarkFollows="1" w:id="1230"/>
        <w:t>bn</w:t>
      </w:r>
      <w:r>
        <w:rPr/>
        <w:t xml:space="preserve"> stand er auf, </w:t>
      </w:r>
      <w:r>
        <w:rPr>
          <w:rStyle w:val="Funotenanker"/>
        </w:rPr>
        <w:footnoteReference w:customMarkFollows="1" w:id="1231"/>
        <w:t>bo</w:t>
      </w:r>
      <w:r>
        <w:rPr/>
        <w:t xml:space="preserve"> ging hinaus </w:t>
      </w:r>
      <w:r>
        <w:rPr>
          <w:color w:val="808080"/>
        </w:rPr>
        <w:t xml:space="preserve">(verließ </w:t>
      </w:r>
      <w:r>
        <w:rPr>
          <w:b/>
          <w:color w:val="808080"/>
        </w:rPr>
        <w:t>[</w:t>
      </w:r>
      <w:r>
        <w:rPr>
          <w:color w:val="808080"/>
        </w:rPr>
        <w:t>das Haus (die Stadt)</w:t>
      </w:r>
      <w:r>
        <w:rPr>
          <w:b/>
          <w:color w:val="808080"/>
        </w:rPr>
        <w:t>]</w:t>
      </w:r>
      <w:r>
        <w:rPr>
          <w:color w:val="808080"/>
        </w:rPr>
        <w:t>)</w:t>
      </w:r>
      <w:r>
        <w:rPr/>
        <w:t xml:space="preserve"> und ging fort an einen abgeschiedenen Ort, wo er </w:t>
      </w:r>
      <w:r>
        <w:rPr>
          <w:b/>
          <w:color w:val="808080"/>
        </w:rPr>
        <w:t>[</w:t>
      </w:r>
      <w:r>
        <w:rPr/>
        <w:t>eine Zeit lang</w:t>
      </w:r>
      <w:r>
        <w:rPr>
          <w:b/>
          <w:color w:val="808080"/>
        </w:rPr>
        <w:t>]</w:t>
      </w:r>
      <w:r>
        <w:rPr/>
        <w:t xml:space="preserve"> betete </w:t>
      </w:r>
      <w:r>
        <w:rPr>
          <w:color w:val="808080"/>
        </w:rPr>
        <w:t>(und betete dort)</w:t>
      </w:r>
      <w:r>
        <w:rPr/>
        <w:t xml:space="preserve"> </w:t>
      </w:r>
      <w:r>
        <w:rPr>
          <w:rStyle w:val="Funotenanker"/>
        </w:rPr>
        <w:footnoteReference w:customMarkFollows="1" w:id="1232"/>
        <w:t>bp</w:t>
      </w:r>
      <w:r>
        <w:rPr/>
        <w:t>.</w:t>
      </w:r>
      <w:r>
        <w:rPr>
          <w:position w:val="8"/>
          <w:sz w:val="19"/>
        </w:rPr>
        <w:t>[[ ℘ &gt;&gt; BibleTOBIBLE:Lk 4:42]][[ ℘ &gt;&gt; BibleTOBIBLE:Mk 6:46]]</w:t>
      </w:r>
      <w:r>
        <w:rPr/>
        <w:t xml:space="preserve"> {{field-off:bible}} </w:t>
        <w:br/>
        <w:t>[[@BibleTOBIBLE:Mk 1:36]]</w:t>
      </w:r>
      <w:r>
        <w:rPr>
          <w:b/>
        </w:rPr>
        <w:t>36</w:t>
      </w:r>
      <w:r>
        <w:rPr/>
        <w:t xml:space="preserve"> {{field-on:bible}}Und Simon und </w:t>
      </w:r>
      <w:r>
        <w:rPr>
          <w:b/>
          <w:color w:val="808080"/>
        </w:rPr>
        <w:t>[</w:t>
      </w:r>
      <w:r>
        <w:rPr/>
        <w:t>jene</w:t>
      </w:r>
      <w:r>
        <w:rPr>
          <w:b/>
          <w:color w:val="808080"/>
        </w:rPr>
        <w:t>]</w:t>
      </w:r>
      <w:r>
        <w:rPr/>
        <w:t xml:space="preserve">, die bei ihm waren, spürten </w:t>
      </w:r>
      <w:r>
        <w:rPr>
          <w:color w:val="808080"/>
        </w:rPr>
        <w:t>(eilten)</w:t>
      </w:r>
      <w:r>
        <w:rPr/>
        <w:t xml:space="preserve"> ihm nach </w:t>
      </w:r>
      <w:r>
        <w:rPr>
          <w:rStyle w:val="Funotenanker"/>
        </w:rPr>
        <w:footnoteReference w:customMarkFollows="1" w:id="1233"/>
        <w:t>bq</w:t>
      </w:r>
      <w:r>
        <w:rPr/>
        <w:t xml:space="preserve"> {{field-off:bible}} </w:t>
        <w:br/>
        <w:t>[[@BibleTOBIBLE:Mk 1:37]]</w:t>
      </w:r>
      <w:r>
        <w:rPr>
          <w:b/>
        </w:rPr>
        <w:t>37</w:t>
      </w:r>
      <w:r>
        <w:rPr/>
        <w:t xml:space="preserve"> {{field-on:bible}}und fanden ihn. </w:t>
      </w:r>
      <w:r>
        <w:rPr>
          <w:strike/>
          <w:color w:val="808080"/>
        </w:rPr>
        <w:t>{und}</w:t>
      </w:r>
      <w:r>
        <w:rPr/>
        <w:t xml:space="preserve"> Sie teilten ihm mit </w:t>
      </w:r>
      <w:r>
        <w:rPr>
          <w:color w:val="808080"/>
        </w:rPr>
        <w:t>(sagten)</w:t>
      </w:r>
      <w:r>
        <w:rPr/>
        <w:t xml:space="preserve"> </w:t>
      </w:r>
      <w:r>
        <w:rPr>
          <w:strike/>
          <w:color w:val="808080"/>
        </w:rPr>
        <w:t>{dass}</w:t>
      </w:r>
      <w:r>
        <w:rPr/>
        <w:t xml:space="preserve">: </w:t>
      </w:r>
      <w:r>
        <w:rPr>
          <w:rStyle w:val="Funotenanker"/>
        </w:rPr>
        <w:footnoteReference w:customMarkFollows="1" w:id="1234"/>
        <w:t>br</w:t>
      </w:r>
      <w:r>
        <w:rPr/>
        <w:t xml:space="preserve"> „Alle fragen </w:t>
      </w:r>
      <w:r>
        <w:rPr>
          <w:color w:val="808080"/>
        </w:rPr>
        <w:t>(suchen, forschen)</w:t>
      </w:r>
      <w:r>
        <w:rPr/>
        <w:t xml:space="preserve"> nach dir!“{{field-off:bible}} </w:t>
        <w:br/>
        <w:t>[[@BibleTOBIBLE:Mk 1:38]]</w:t>
      </w:r>
      <w:r>
        <w:rPr>
          <w:b/>
        </w:rPr>
        <w:t>38</w:t>
      </w:r>
      <w:r>
        <w:rPr/>
        <w:t xml:space="preserve"> {{field-on:bible}} </w:t>
      </w:r>
      <w:r>
        <w:rPr>
          <w:strike/>
          <w:color w:val="808080"/>
        </w:rPr>
        <w:t>{und}</w:t>
      </w:r>
      <w:r>
        <w:rPr/>
        <w:t xml:space="preserve"> Er entgegnete </w:t>
      </w:r>
      <w:r>
        <w:rPr>
          <w:color w:val="808080"/>
        </w:rPr>
        <w:t>(sagte)</w:t>
      </w:r>
      <w:r>
        <w:rPr/>
        <w:t xml:space="preserve"> ihnen: „Gehen wir stattdessen </w:t>
      </w:r>
      <w:r>
        <w:rPr>
          <w:color w:val="808080"/>
        </w:rPr>
        <w:t>(lasst uns gehen)</w:t>
      </w:r>
      <w:r>
        <w:rPr/>
        <w:t xml:space="preserve"> anderswohin, in die benachbarten Ortschaften </w:t>
      </w:r>
      <w:r>
        <w:rPr>
          <w:color w:val="808080"/>
        </w:rPr>
        <w:t>(Dörfer)</w:t>
      </w:r>
      <w:r>
        <w:rPr/>
        <w:t xml:space="preserve">, damit ich auch dort predigen </w:t>
      </w:r>
      <w:r>
        <w:rPr>
          <w:color w:val="808080"/>
        </w:rPr>
        <w:t>(verkündigen)</w:t>
      </w:r>
      <w:r>
        <w:rPr/>
        <w:t xml:space="preserve"> </w:t>
      </w:r>
      <w:r>
        <w:rPr>
          <w:b/>
          <w:color w:val="808080"/>
        </w:rPr>
        <w:t>[</w:t>
      </w:r>
      <w:r>
        <w:rPr/>
        <w:t>kann</w:t>
      </w:r>
      <w:r>
        <w:rPr>
          <w:b/>
          <w:color w:val="808080"/>
        </w:rPr>
        <w:t>]</w:t>
      </w:r>
      <w:r>
        <w:rPr/>
        <w:t xml:space="preserve">. Zu diesem Zweck </w:t>
      </w:r>
      <w:r>
        <w:rPr>
          <w:color w:val="808080"/>
        </w:rPr>
        <w:t>(Dazu)</w:t>
      </w:r>
      <w:r>
        <w:rPr/>
        <w:t xml:space="preserve"> bin ich nämlich aus </w:t>
      </w:r>
      <w:r>
        <w:rPr>
          <w:b/>
          <w:color w:val="808080"/>
        </w:rPr>
        <w:t>[</w:t>
      </w:r>
      <w:r>
        <w:rPr/>
        <w:t>der Stadt</w:t>
      </w:r>
      <w:r>
        <w:rPr>
          <w:b/>
          <w:color w:val="808080"/>
        </w:rPr>
        <w:t>]</w:t>
      </w:r>
      <w:r>
        <w:rPr/>
        <w:t xml:space="preserve"> gekommen </w:t>
      </w:r>
      <w:r>
        <w:rPr>
          <w:color w:val="808080"/>
        </w:rPr>
        <w:t>(bin gekommen, ausgezogen)</w:t>
      </w:r>
      <w:r>
        <w:rPr/>
        <w:t xml:space="preserve"> </w:t>
      </w:r>
      <w:r>
        <w:rPr>
          <w:rStyle w:val="Funotenanker"/>
        </w:rPr>
        <w:footnoteReference w:customMarkFollows="1" w:id="1235"/>
        <w:t>bs</w:t>
      </w:r>
      <w:r>
        <w:rPr/>
        <w:t>.“</w:t>
      </w:r>
      <w:r>
        <w:rPr>
          <w:position w:val="8"/>
          <w:sz w:val="19"/>
        </w:rPr>
        <w:t>[[ ℘ &gt;&gt; BibleTOBIBLE:Lk 4:43]][[ ℘ &gt;&gt; BibleTOBIBLE:Mk 1:14]][[ ℘ &gt;&gt; BibleTOBIBLE:Jn 8:42]]</w:t>
      </w:r>
      <w:r>
        <w:rPr/>
        <w:t xml:space="preserve"> {{field-off:bible}} </w:t>
        <w:br/>
        <w:t>[[@BibleTOBIBLE:Mk 1:39]]</w:t>
      </w:r>
      <w:r>
        <w:rPr>
          <w:b/>
        </w:rPr>
        <w:t>39</w:t>
      </w:r>
      <w:r>
        <w:rPr/>
        <w:t xml:space="preserve"> {{field-on:bible}}Und er zog </w:t>
      </w:r>
      <w:r>
        <w:rPr>
          <w:color w:val="808080"/>
        </w:rPr>
        <w:t>(kam; war)</w:t>
      </w:r>
      <w:r>
        <w:rPr/>
        <w:t xml:space="preserve"> durch ganz Galiläa, predigte </w:t>
      </w:r>
      <w:r>
        <w:rPr>
          <w:color w:val="808080"/>
        </w:rPr>
        <w:t>(verkündigte)</w:t>
      </w:r>
      <w:r>
        <w:rPr/>
        <w:t xml:space="preserve"> in ihren Synagogen </w:t>
      </w:r>
      <w:r>
        <w:rPr>
          <w:rStyle w:val="Funotenanker"/>
        </w:rPr>
        <w:footnoteReference w:customMarkFollows="1" w:id="1236"/>
        <w:t>bt</w:t>
      </w:r>
      <w:r>
        <w:rPr/>
        <w:t xml:space="preserve"> und trieb die Dämonen aus. </w:t>
      </w:r>
      <w:r>
        <w:rPr>
          <w:rStyle w:val="Funotenanker"/>
        </w:rPr>
        <w:footnoteReference w:customMarkFollows="1" w:id="1237"/>
        <w:t>bu</w:t>
      </w:r>
      <w:r>
        <w:rPr/>
        <w:t xml:space="preserve"> </w:t>
      </w:r>
      <w:r>
        <w:rPr>
          <w:position w:val="8"/>
          <w:sz w:val="19"/>
        </w:rPr>
        <w:t>[[ ℘ &gt;&gt; BibleTOBIBLE:Mt 4:25]][[ ℘ &gt;&gt; BibleTOBIBLE:Lk 4:44]]</w:t>
      </w:r>
      <w:r>
        <w:rPr/>
        <w:t xml:space="preserve"> {{field-off:bible}} </w:t>
        <w:br/>
        <w:t>[[@BibleTOBIBLE:Mk 1:40]]</w:t>
      </w:r>
      <w:r>
        <w:rPr>
          <w:b/>
        </w:rPr>
        <w:t>40</w:t>
      </w:r>
      <w:r>
        <w:rPr/>
        <w:t xml:space="preserve"> {{field-on:bible}}Und ein Aussätziger </w:t>
      </w:r>
      <w:r>
        <w:rPr>
          <w:color w:val="808080"/>
        </w:rPr>
        <w:t>(Leprakranker)</w:t>
      </w:r>
      <w:r>
        <w:rPr/>
        <w:t xml:space="preserve"> kam zu ihm, der ihn anflehte und auf die Knie fiel </w:t>
      </w:r>
      <w:r>
        <w:rPr>
          <w:rStyle w:val="Funotenanker"/>
        </w:rPr>
        <w:footnoteReference w:customMarkFollows="1" w:id="1238"/>
        <w:t>bv</w:t>
      </w:r>
      <w:r>
        <w:rPr/>
        <w:t xml:space="preserve"> , wobei er ihm zurief </w:t>
      </w:r>
      <w:r>
        <w:rPr>
          <w:color w:val="808080"/>
        </w:rPr>
        <w:t>(sagte)</w:t>
      </w:r>
      <w:r>
        <w:rPr/>
        <w:t xml:space="preserve"> </w:t>
      </w:r>
      <w:r>
        <w:rPr>
          <w:rStyle w:val="Funotenanker"/>
        </w:rPr>
        <w:footnoteReference w:customMarkFollows="1" w:id="1239"/>
        <w:t>bw</w:t>
      </w:r>
      <w:r>
        <w:rPr/>
        <w:t xml:space="preserve"> </w:t>
      </w:r>
      <w:r>
        <w:rPr>
          <w:strike/>
          <w:color w:val="808080"/>
        </w:rPr>
        <w:t>{dass}</w:t>
      </w:r>
      <w:r>
        <w:rPr/>
        <w:t xml:space="preserve">: „Wenn du willst, kannst du mich rein machen </w:t>
      </w:r>
      <w:r>
        <w:rPr>
          <w:color w:val="808080"/>
        </w:rPr>
        <w:t>(heilen)</w:t>
      </w:r>
      <w:r>
        <w:rPr/>
        <w:t>!“</w:t>
      </w:r>
      <w:r>
        <w:rPr>
          <w:position w:val="8"/>
          <w:sz w:val="19"/>
        </w:rPr>
        <w:t>[[ ℘ &gt;&gt; BibleTOBIBLE:Mt 8:2]][[ ℘ &gt;&gt; BibleTOBIBLE:Lk 5:12]]</w:t>
      </w:r>
      <w:r>
        <w:rPr/>
        <w:t xml:space="preserve"> {{field-off:bible}} </w:t>
        <w:br/>
        <w:t>[[@BibleTOBIBLE:Mk 1:41]]</w:t>
      </w:r>
      <w:r>
        <w:rPr>
          <w:b/>
        </w:rPr>
        <w:t>41</w:t>
      </w:r>
      <w:r>
        <w:rPr/>
        <w:t xml:space="preserve"> {{field-on:bible}}Und [Jesus] hatte Mitleid </w:t>
      </w:r>
      <w:r>
        <w:rPr>
          <w:color w:val="808080"/>
        </w:rPr>
        <w:t>(wurde zornig)</w:t>
      </w:r>
      <w:r>
        <w:rPr/>
        <w:t xml:space="preserve">, </w:t>
      </w:r>
      <w:r>
        <w:rPr>
          <w:rStyle w:val="Funotenanker"/>
        </w:rPr>
        <w:footnoteReference w:customMarkFollows="1" w:id="1240"/>
        <w:t>bx</w:t>
      </w:r>
      <w:r>
        <w:rPr/>
        <w:t xml:space="preserve"> darum </w:t>
      </w:r>
      <w:r>
        <w:rPr>
          <w:rStyle w:val="Funotenanker"/>
        </w:rPr>
        <w:footnoteReference w:customMarkFollows="1" w:id="1241"/>
        <w:t>by</w:t>
      </w:r>
      <w:r>
        <w:rPr/>
        <w:t xml:space="preserve"> streckte er seine Hand aus </w:t>
      </w:r>
      <w:r>
        <w:rPr>
          <w:rStyle w:val="Funotenanker"/>
        </w:rPr>
        <w:footnoteReference w:customMarkFollows="1" w:id="1242"/>
        <w:t>bz</w:t>
      </w:r>
      <w:r>
        <w:rPr/>
        <w:t xml:space="preserve"> , berührte </w:t>
      </w:r>
      <w:r>
        <w:rPr>
          <w:b/>
          <w:color w:val="808080"/>
        </w:rPr>
        <w:t>[</w:t>
      </w:r>
      <w:r>
        <w:rPr/>
        <w:t>ihn</w:t>
      </w:r>
      <w:r>
        <w:rPr>
          <w:b/>
          <w:color w:val="808080"/>
        </w:rPr>
        <w:t>]</w:t>
      </w:r>
      <w:r>
        <w:rPr/>
        <w:t xml:space="preserve"> und sagte zu ihm: „Ich will, sei rein </w:t>
      </w:r>
      <w:r>
        <w:rPr>
          <w:color w:val="808080"/>
        </w:rPr>
        <w:t>(gereinigt, geheilt)</w:t>
      </w:r>
      <w:r>
        <w:rPr/>
        <w:t>!“</w:t>
      </w:r>
      <w:r>
        <w:rPr>
          <w:position w:val="8"/>
          <w:sz w:val="19"/>
        </w:rPr>
        <w:t>[[ ℘ &gt;&gt; BibleTOBIBLE:Mt 8:3]][[ ℘ &gt;&gt; BibleTOBIBLE:Lk 5:13]]</w:t>
      </w:r>
      <w:r>
        <w:rPr/>
        <w:t xml:space="preserve"> {{field-off:bible}} </w:t>
        <w:br/>
        <w:t>[[@BibleTOBIBLE:Mk 1:42]]</w:t>
      </w:r>
      <w:r>
        <w:rPr>
          <w:b/>
        </w:rPr>
        <w:t>42</w:t>
      </w:r>
      <w:r>
        <w:rPr/>
        <w:t xml:space="preserve"> {{field-on:bible}}Und sofort verschwand </w:t>
      </w:r>
      <w:r>
        <w:rPr>
          <w:color w:val="808080"/>
        </w:rPr>
        <w:t>(ging weg)</w:t>
      </w:r>
      <w:r>
        <w:rPr/>
        <w:t xml:space="preserve"> der Aussatz </w:t>
      </w:r>
      <w:r>
        <w:rPr>
          <w:color w:val="808080"/>
        </w:rPr>
        <w:t>(die Lepra)</w:t>
      </w:r>
      <w:r>
        <w:rPr/>
        <w:t xml:space="preserve"> von ihm, und er wurde rein </w:t>
      </w:r>
      <w:r>
        <w:rPr>
          <w:color w:val="808080"/>
        </w:rPr>
        <w:t>(gereinigt, geheilt)</w:t>
      </w:r>
      <w:r>
        <w:rPr/>
        <w:t>.</w:t>
      </w:r>
      <w:r>
        <w:rPr>
          <w:position w:val="8"/>
          <w:sz w:val="19"/>
        </w:rPr>
        <w:t>[[ ℘ &gt;&gt; BibleTOBIBLE:Mt 8:3]][[ ℘ &gt;&gt; BibleTOBIBLE:Lk 5:13]][[ ℘ &gt;&gt; BibleTOBIBLE:2Ki 5:14]]</w:t>
      </w:r>
      <w:r>
        <w:rPr/>
        <w:t xml:space="preserve"> {{field-off:bible}} </w:t>
        <w:br/>
        <w:t>[[@BibleTOBIBLE:Mk 1:43]]</w:t>
      </w:r>
      <w:r>
        <w:rPr>
          <w:b/>
        </w:rPr>
        <w:t>43</w:t>
      </w:r>
      <w:r>
        <w:rPr/>
        <w:t xml:space="preserve"> {{field-on:bible}}Und er ermahnte ihn streng </w:t>
      </w:r>
      <w:r>
        <w:rPr>
          <w:color w:val="808080"/>
        </w:rPr>
        <w:t>(fuhr ihn an, wies ihn zurecht; bedeutete ihm zu schweigen)</w:t>
      </w:r>
      <w:r>
        <w:rPr/>
        <w:t xml:space="preserve"> </w:t>
      </w:r>
      <w:r>
        <w:rPr>
          <w:rStyle w:val="Funotenanker"/>
        </w:rPr>
        <w:footnoteReference w:customMarkFollows="1" w:id="1243"/>
        <w:t>ca</w:t>
      </w:r>
      <w:r>
        <w:rPr/>
        <w:t xml:space="preserve"> , schickte ihn ohne Umschweife </w:t>
      </w:r>
      <w:r>
        <w:rPr>
          <w:color w:val="808080"/>
        </w:rPr>
        <w:t>(sofort)</w:t>
      </w:r>
      <w:r>
        <w:rPr/>
        <w:t xml:space="preserve"> weg </w:t>
      </w:r>
      <w:r>
        <w:rPr>
          <w:color w:val="808080"/>
        </w:rPr>
        <w:t>(warf ihn hinaus)</w:t>
      </w:r>
      <w:r>
        <w:rPr/>
        <w:t xml:space="preserve"> </w:t>
      </w:r>
      <w:r>
        <w:rPr>
          <w:position w:val="8"/>
          <w:sz w:val="19"/>
        </w:rPr>
        <w:t>[[ ℘ &gt;&gt; BibleTOBIBLE:Mt 8:4]][[ ℘ &gt;&gt; BibleTOBIBLE:Lk 5:14]]</w:t>
      </w:r>
      <w:r>
        <w:rPr/>
        <w:t xml:space="preserve"> {{field-off:bible}} </w:t>
        <w:br/>
        <w:t>[[@BibleTOBIBLE:Mk 1:44]]</w:t>
      </w:r>
      <w:r>
        <w:rPr>
          <w:b/>
        </w:rPr>
        <w:t>44</w:t>
      </w:r>
      <w:r>
        <w:rPr/>
        <w:t xml:space="preserve"> {{field-on:bible}}und sagte zu ihm: „Sieh, dass du niemandem etwas </w:t>
      </w:r>
      <w:r>
        <w:rPr>
          <w:rStyle w:val="Funotenanker"/>
        </w:rPr>
        <w:footnoteReference w:customMarkFollows="1" w:id="1244"/>
        <w:t>cb</w:t>
      </w:r>
      <w:r>
        <w:rPr/>
        <w:t xml:space="preserve"> erzählst </w:t>
      </w:r>
      <w:r>
        <w:rPr>
          <w:color w:val="808080"/>
        </w:rPr>
        <w:t>(sagst)</w:t>
      </w:r>
      <w:r>
        <w:rPr/>
        <w:t xml:space="preserve">, sondern geh </w:t>
      </w:r>
      <w:r>
        <w:rPr>
          <w:b/>
          <w:color w:val="808080"/>
        </w:rPr>
        <w:t>[</w:t>
      </w:r>
      <w:r>
        <w:rPr/>
        <w:t>und</w:t>
      </w:r>
      <w:r>
        <w:rPr>
          <w:b/>
          <w:color w:val="808080"/>
        </w:rPr>
        <w:t>]</w:t>
      </w:r>
      <w:r>
        <w:rPr/>
        <w:t xml:space="preserve"> zeige dich dem Priester und dann bringe für deine Reinigung </w:t>
      </w:r>
      <w:r>
        <w:rPr>
          <w:color w:val="808080"/>
        </w:rPr>
        <w:t>(Heilung)</w:t>
      </w:r>
      <w:r>
        <w:rPr/>
        <w:t xml:space="preserve"> </w:t>
      </w:r>
      <w:r>
        <w:rPr>
          <w:b/>
          <w:color w:val="808080"/>
        </w:rPr>
        <w:t>[</w:t>
      </w:r>
      <w:r>
        <w:rPr/>
        <w:t>das Opfer</w:t>
      </w:r>
      <w:r>
        <w:rPr>
          <w:b/>
          <w:color w:val="808080"/>
        </w:rPr>
        <w:t>]</w:t>
      </w:r>
      <w:r>
        <w:rPr/>
        <w:t xml:space="preserve"> dar, das Mose vorgeschrieben </w:t>
      </w:r>
      <w:r>
        <w:rPr>
          <w:color w:val="808080"/>
        </w:rPr>
        <w:t>(festgelegt)</w:t>
      </w:r>
      <w:r>
        <w:rPr/>
        <w:t xml:space="preserve"> hat, als Beweis </w:t>
      </w:r>
      <w:r>
        <w:rPr>
          <w:color w:val="808080"/>
        </w:rPr>
        <w:t>(Nachweis, Zeugnis, Beleg)</w:t>
      </w:r>
      <w:r>
        <w:rPr/>
        <w:t xml:space="preserve"> </w:t>
      </w:r>
      <w:r>
        <w:rPr>
          <w:b/>
          <w:color w:val="808080"/>
        </w:rPr>
        <w:t>[</w:t>
      </w:r>
      <w:r>
        <w:rPr/>
        <w:t xml:space="preserve">für </w:t>
      </w:r>
      <w:r>
        <w:rPr>
          <w:color w:val="808080"/>
        </w:rPr>
        <w:t>(gegen)</w:t>
      </w:r>
      <w:r>
        <w:rPr>
          <w:b/>
          <w:color w:val="808080"/>
        </w:rPr>
        <w:t>]</w:t>
      </w:r>
      <w:r>
        <w:rPr/>
        <w:t xml:space="preserve"> sie </w:t>
      </w:r>
      <w:r>
        <w:rPr>
          <w:rStyle w:val="Funotenanker"/>
        </w:rPr>
        <w:footnoteReference w:customMarkFollows="1" w:id="1245"/>
        <w:t>cc</w:t>
      </w:r>
      <w:r>
        <w:rPr/>
        <w:t>!“</w:t>
      </w:r>
      <w:r>
        <w:rPr>
          <w:position w:val="8"/>
          <w:sz w:val="19"/>
        </w:rPr>
        <w:t>[[ ℘ &gt;&gt; BibleTOBIBLE:Mt 8:4]][[ ℘ &gt;&gt; BibleTOBIBLE:Lk 5:14]][[ ℘ &gt;&gt; BibleTOBIBLE:Le 14:1]]</w:t>
      </w:r>
      <w:r>
        <w:rPr/>
        <w:t xml:space="preserve"> {{field-off:bible}} </w:t>
        <w:br/>
        <w:t>[[@BibleTOBIBLE:Mk 1:45]]</w:t>
      </w:r>
      <w:r>
        <w:rPr>
          <w:b/>
        </w:rPr>
        <w:t>45</w:t>
      </w:r>
      <w:r>
        <w:rPr/>
        <w:t xml:space="preserve"> {{field-on:bible}}Doch als </w:t>
      </w:r>
      <w:r>
        <w:rPr>
          <w:color w:val="808080"/>
        </w:rPr>
        <w:t>(nachdem)</w:t>
      </w:r>
      <w:r>
        <w:rPr/>
        <w:t xml:space="preserve"> der </w:t>
      </w:r>
      <w:r>
        <w:rPr>
          <w:b/>
          <w:color w:val="808080"/>
        </w:rPr>
        <w:t>[</w:t>
      </w:r>
      <w:r>
        <w:rPr/>
        <w:t>Mann</w:t>
      </w:r>
      <w:r>
        <w:rPr>
          <w:b/>
          <w:color w:val="808080"/>
        </w:rPr>
        <w:t>]</w:t>
      </w:r>
      <w:r>
        <w:rPr/>
        <w:t xml:space="preserve"> hinausging, </w:t>
      </w:r>
      <w:r>
        <w:rPr>
          <w:rStyle w:val="Funotenanker"/>
        </w:rPr>
        <w:footnoteReference w:customMarkFollows="1" w:id="1246"/>
        <w:t>cd</w:t>
      </w:r>
      <w:r>
        <w:rPr/>
        <w:t xml:space="preserve"> begann er eifrig </w:t>
      </w:r>
      <w:r>
        <w:rPr>
          <w:color w:val="808080"/>
        </w:rPr>
        <w:t>(überall; viele Dinge)</w:t>
      </w:r>
      <w:r>
        <w:rPr/>
        <w:t xml:space="preserve"> </w:t>
      </w:r>
      <w:r>
        <w:rPr>
          <w:b/>
          <w:color w:val="808080"/>
        </w:rPr>
        <w:t>[</w:t>
      </w:r>
      <w:r>
        <w:rPr/>
        <w:t>davon</w:t>
      </w:r>
      <w:r>
        <w:rPr>
          <w:b/>
          <w:color w:val="808080"/>
        </w:rPr>
        <w:t>]</w:t>
      </w:r>
      <w:r>
        <w:rPr/>
        <w:t xml:space="preserve"> zu erzählen </w:t>
      </w:r>
      <w:r>
        <w:rPr>
          <w:color w:val="808080"/>
        </w:rPr>
        <w:t>(predigen, verkündigen)</w:t>
      </w:r>
      <w:r>
        <w:rPr/>
        <w:t xml:space="preserve"> </w:t>
      </w:r>
      <w:r>
        <w:rPr>
          <w:rStyle w:val="Funotenanker"/>
        </w:rPr>
        <w:footnoteReference w:customMarkFollows="1" w:id="1247"/>
        <w:t>ce</w:t>
      </w:r>
      <w:r>
        <w:rPr/>
        <w:t xml:space="preserve"> und die Geschichte </w:t>
      </w:r>
      <w:r>
        <w:rPr>
          <w:color w:val="808080"/>
        </w:rPr>
        <w:t>(Nachricht, das Wort)</w:t>
      </w:r>
      <w:r>
        <w:rPr/>
        <w:t xml:space="preserve"> zu verbreiten,</w:t>
      </w:r>
      <w:r>
        <w:rPr>
          <w:position w:val="8"/>
          <w:sz w:val="19"/>
        </w:rPr>
        <w:t>[[ ℘ &gt;&gt; BibleTOBIBLE:Mk 5:20]]</w:t>
      </w:r>
      <w:r>
        <w:rPr/>
        <w:t xml:space="preserve"> so dass [Jesus] nicht länger in der Lage war, offen </w:t>
      </w:r>
      <w:r>
        <w:rPr>
          <w:color w:val="808080"/>
        </w:rPr>
        <w:t>(unerkannt, öffentlich, ohne Aufsehen)</w:t>
      </w:r>
      <w:r>
        <w:rPr/>
        <w:t xml:space="preserve"> eine Stadt zu betreten, sondern sich außerhalb in unbewohnten </w:t>
      </w:r>
      <w:r>
        <w:rPr>
          <w:color w:val="808080"/>
        </w:rPr>
        <w:t>(abgelegenen)</w:t>
      </w:r>
      <w:r>
        <w:rPr/>
        <w:t xml:space="preserve"> Gegenden </w:t>
      </w:r>
      <w:r>
        <w:rPr>
          <w:color w:val="808080"/>
        </w:rPr>
        <w:t>(Orten)</w:t>
      </w:r>
      <w:r>
        <w:rPr/>
        <w:t xml:space="preserve"> aufhielt </w:t>
      </w:r>
      <w:r>
        <w:rPr>
          <w:color w:val="808080"/>
        </w:rPr>
        <w:t>(blieb, war)</w:t>
      </w:r>
      <w:r>
        <w:rPr/>
        <w:t xml:space="preserve"> </w:t>
      </w:r>
      <w:r>
        <w:rPr>
          <w:rStyle w:val="Funotenanker"/>
        </w:rPr>
        <w:footnoteReference w:customMarkFollows="1" w:id="1248"/>
        <w:t>cf</w:t>
      </w:r>
      <w:r>
        <w:rPr/>
        <w:t xml:space="preserve">. Dennoch </w:t>
      </w:r>
      <w:r>
        <w:rPr>
          <w:color w:val="808080"/>
        </w:rPr>
        <w:t>(doch, und)</w:t>
      </w:r>
      <w:r>
        <w:rPr/>
        <w:t xml:space="preserve"> kamen </w:t>
      </w:r>
      <w:r>
        <w:rPr>
          <w:b/>
          <w:color w:val="808080"/>
        </w:rPr>
        <w:t>[</w:t>
      </w:r>
      <w:r>
        <w:rPr/>
        <w:t>die Leute</w:t>
      </w:r>
      <w:r>
        <w:rPr>
          <w:b/>
          <w:color w:val="808080"/>
        </w:rPr>
        <w:t>]</w:t>
      </w:r>
      <w:r>
        <w:rPr/>
        <w:t xml:space="preserve"> weiter </w:t>
      </w:r>
      <w:r>
        <w:rPr>
          <w:color w:val="808080"/>
        </w:rPr>
        <w:t>(begannen zu kommen)</w:t>
      </w:r>
      <w:r>
        <w:rPr/>
        <w:t xml:space="preserve"> </w:t>
      </w:r>
      <w:r>
        <w:rPr>
          <w:rStyle w:val="Funotenanker"/>
        </w:rPr>
        <w:footnoteReference w:customMarkFollows="1" w:id="1249"/>
        <w:t>cg</w:t>
      </w:r>
      <w:r>
        <w:rPr/>
        <w:t xml:space="preserve"> von überall her </w:t>
      </w:r>
      <w:r>
        <w:rPr>
          <w:color w:val="808080"/>
        </w:rPr>
        <w:t>(aus allen Richtungen)</w:t>
      </w:r>
      <w:r>
        <w:rPr/>
        <w:t xml:space="preserve"> zu ihm.</w:t>
      </w:r>
      <w:r>
        <w:rPr>
          <w:position w:val="8"/>
          <w:sz w:val="19"/>
        </w:rPr>
        <w:t>[[ ℘ &gt;&gt; BibleTOBIBLE:Lk 5:15]]</w:t>
      </w:r>
      <w:r>
        <w:rPr/>
        <w:t xml:space="preserve"> {{field-off:bible}}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1250"/>
        <w:t>Status</w:t>
      </w:r>
      <w:r>
        <w:rPr/>
        <w:t xml:space="preserve"> Und als er nach </w:t>
      </w:r>
      <w:r>
        <w:rPr>
          <w:b/>
          <w:color w:val="808080"/>
        </w:rPr>
        <w:t>[</w:t>
      </w:r>
      <w:r>
        <w:rPr/>
        <w:t>einigen</w:t>
      </w:r>
      <w:r>
        <w:rPr>
          <w:b/>
          <w:color w:val="808080"/>
        </w:rPr>
        <w:t>]</w:t>
      </w:r>
      <w:r>
        <w:rPr/>
        <w:t xml:space="preserve"> Tagen wieder </w:t>
      </w:r>
      <w:r>
        <w:rPr>
          <w:color w:val="808080"/>
        </w:rPr>
        <w:t>(zurück)</w:t>
      </w:r>
      <w:r>
        <w:rPr/>
        <w:t xml:space="preserve"> nach Kafarnaum kam </w:t>
      </w:r>
      <w:r>
        <w:rPr>
          <w:rStyle w:val="Funotenanker"/>
        </w:rPr>
        <w:footnoteReference w:customMarkFollows="1" w:id="1251"/>
        <w:t>a</w:t>
      </w:r>
      <w:r>
        <w:rPr/>
        <w:t xml:space="preserve"> , wurde bekannt </w:t>
      </w:r>
      <w:r>
        <w:rPr>
          <w:rStyle w:val="Funotenanker"/>
        </w:rPr>
        <w:footnoteReference w:customMarkFollows="1" w:id="1252"/>
        <w:t>b</w:t>
      </w:r>
      <w:r>
        <w:rPr/>
        <w:t xml:space="preserve"> , dass er zuhause </w:t>
      </w:r>
      <w:r>
        <w:rPr>
          <w:color w:val="808080"/>
        </w:rPr>
        <w:t xml:space="preserve">(in einem </w:t>
      </w:r>
      <w:r>
        <w:rPr>
          <w:b/>
          <w:color w:val="808080"/>
        </w:rPr>
        <w:t>[</w:t>
      </w:r>
      <w:r>
        <w:rPr>
          <w:color w:val="808080"/>
        </w:rPr>
        <w:t>bestimmten</w:t>
      </w:r>
      <w:r>
        <w:rPr>
          <w:b/>
          <w:color w:val="808080"/>
        </w:rPr>
        <w:t>]</w:t>
      </w:r>
      <w:r>
        <w:rPr>
          <w:color w:val="808080"/>
        </w:rPr>
        <w:t xml:space="preserve"> Haus)</w:t>
      </w:r>
      <w:r>
        <w:rPr/>
        <w:t xml:space="preserve"> </w:t>
      </w:r>
      <w:r>
        <w:rPr>
          <w:rStyle w:val="Funotenanker"/>
        </w:rPr>
        <w:footnoteReference w:customMarkFollows="1" w:id="1253"/>
        <w:t>c</w:t>
      </w:r>
      <w:r>
        <w:rPr/>
        <w:t xml:space="preserve"> war </w:t>
      </w:r>
      <w:r>
        <w:rPr>
          <w:rStyle w:val="Funotenanker"/>
        </w:rPr>
        <w:footnoteReference w:customMarkFollows="1" w:id="1254"/>
        <w:t>d</w:t>
      </w:r>
      <w:r>
        <w:rPr/>
        <w:t xml:space="preserve">.{{field-off:bible}} </w:t>
        <w:br/>
        <w:t>[[@BibleTOBIBLE:Mk 2:2]]</w:t>
      </w:r>
      <w:r>
        <w:rPr>
          <w:b/>
        </w:rPr>
        <w:t>2</w:t>
      </w:r>
      <w:r>
        <w:rPr/>
        <w:t xml:space="preserve"> {{field-on:bible}}Und es kamen </w:t>
      </w:r>
      <w:r>
        <w:rPr>
          <w:color w:val="808080"/>
        </w:rPr>
        <w:t>(sammelten sich)</w:t>
      </w:r>
      <w:r>
        <w:rPr/>
        <w:t xml:space="preserve"> so viele </w:t>
      </w:r>
      <w:r>
        <w:rPr>
          <w:b/>
          <w:color w:val="808080"/>
        </w:rPr>
        <w:t>[</w:t>
      </w:r>
      <w:r>
        <w:rPr/>
        <w:t>Leute</w:t>
      </w:r>
      <w:r>
        <w:rPr>
          <w:b/>
          <w:color w:val="808080"/>
        </w:rPr>
        <w:t>]</w:t>
      </w:r>
      <w:r>
        <w:rPr/>
        <w:t xml:space="preserve"> zusammen, dass es keinen Platz mehr gab, auch nicht </w:t>
      </w:r>
      <w:r>
        <w:rPr>
          <w:color w:val="808080"/>
        </w:rPr>
        <w:t>(nicht einmal)</w:t>
      </w:r>
      <w:r>
        <w:rPr/>
        <w:t xml:space="preserve"> vor </w:t>
      </w:r>
      <w:r>
        <w:rPr>
          <w:color w:val="808080"/>
        </w:rPr>
        <w:t>(bei)</w:t>
      </w:r>
      <w:r>
        <w:rPr/>
        <w:t xml:space="preserve"> der Tür, und er erläuterte </w:t>
      </w:r>
      <w:r>
        <w:rPr>
          <w:color w:val="808080"/>
        </w:rPr>
        <w:t>(verkündete, sagte)</w:t>
      </w:r>
      <w:r>
        <w:rPr/>
        <w:t xml:space="preserve"> ihnen </w:t>
      </w:r>
      <w:r>
        <w:rPr>
          <w:b/>
          <w:color w:val="808080"/>
        </w:rPr>
        <w:t>[</w:t>
      </w:r>
      <w:r>
        <w:rPr/>
        <w:t>seine</w:t>
      </w:r>
      <w:r>
        <w:rPr>
          <w:b/>
          <w:color w:val="808080"/>
        </w:rPr>
        <w:t>]</w:t>
      </w:r>
      <w:r>
        <w:rPr/>
        <w:t xml:space="preserve"> Botschaft </w:t>
      </w:r>
      <w:r>
        <w:rPr>
          <w:color w:val="808080"/>
        </w:rPr>
        <w:t>(das Wort)</w:t>
      </w:r>
      <w:r>
        <w:rPr/>
        <w:t xml:space="preserve"> </w:t>
      </w:r>
      <w:r>
        <w:rPr>
          <w:rStyle w:val="Funotenanker"/>
        </w:rPr>
        <w:footnoteReference w:customMarkFollows="1" w:id="1255"/>
        <w:t>e</w:t>
      </w:r>
      <w:r>
        <w:rPr/>
        <w:t xml:space="preserve">.{{field-off:bible}} </w:t>
        <w:br/>
        <w:t>[[@BibleTOBIBLE:Mk 2:3]]</w:t>
      </w:r>
      <w:r>
        <w:rPr>
          <w:b/>
        </w:rPr>
        <w:t>3</w:t>
      </w:r>
      <w:r>
        <w:rPr/>
        <w:t xml:space="preserve"> {{field-on:bible}}Derweil </w:t>
      </w:r>
      <w:r>
        <w:rPr>
          <w:color w:val="808080"/>
        </w:rPr>
        <w:t>(Und)</w:t>
      </w:r>
      <w:r>
        <w:rPr/>
        <w:t xml:space="preserve"> kamen </w:t>
      </w:r>
      <w:r>
        <w:rPr>
          <w:rStyle w:val="Funotenanker"/>
        </w:rPr>
        <w:footnoteReference w:customMarkFollows="1" w:id="1256"/>
        <w:t>f</w:t>
      </w:r>
      <w:r>
        <w:rPr/>
        <w:t xml:space="preserve"> </w:t>
      </w:r>
      <w:r>
        <w:rPr>
          <w:b/>
          <w:color w:val="808080"/>
        </w:rPr>
        <w:t>[</w:t>
      </w:r>
      <w:r>
        <w:rPr/>
        <w:t>einige Leute</w:t>
      </w:r>
      <w:r>
        <w:rPr>
          <w:b/>
          <w:color w:val="808080"/>
        </w:rPr>
        <w:t>]</w:t>
      </w:r>
      <w:r>
        <w:rPr/>
        <w:t xml:space="preserve"> und brachten einen Gelähmten </w:t>
      </w:r>
      <w:r>
        <w:rPr>
          <w:rStyle w:val="Funotenanker"/>
        </w:rPr>
        <w:footnoteReference w:customMarkFollows="1" w:id="1257"/>
        <w:t>g</w:t>
      </w:r>
      <w:r>
        <w:rPr/>
        <w:t xml:space="preserve"> zu ihm. Er wurde von vier </w:t>
      </w:r>
      <w:r>
        <w:rPr>
          <w:b/>
          <w:color w:val="808080"/>
        </w:rPr>
        <w:t>[</w:t>
      </w:r>
      <w:r>
        <w:rPr/>
        <w:t>Männern</w:t>
      </w:r>
      <w:r>
        <w:rPr>
          <w:b/>
          <w:color w:val="808080"/>
        </w:rPr>
        <w:t>]</w:t>
      </w:r>
      <w:r>
        <w:rPr/>
        <w:t xml:space="preserve"> getragen. </w:t>
      </w:r>
      <w:r>
        <w:rPr>
          <w:rStyle w:val="Funotenanker"/>
        </w:rPr>
        <w:footnoteReference w:customMarkFollows="1" w:id="1258"/>
        <w:t>h</w:t>
      </w:r>
      <w:r>
        <w:rPr/>
        <w:t xml:space="preserve"> {{field-off:bible}} </w:t>
        <w:br/>
        <w:t>[[@BibleTOBIBLE:Mk 2:4]]</w:t>
      </w:r>
      <w:r>
        <w:rPr>
          <w:b/>
        </w:rPr>
        <w:t>4</w:t>
      </w:r>
      <w:r>
        <w:rPr/>
        <w:t xml:space="preserve"> {{field-on:bible}}Und </w:t>
      </w:r>
      <w:r>
        <w:rPr>
          <w:color w:val="808080"/>
        </w:rPr>
        <w:t>(Doch)</w:t>
      </w:r>
      <w:r>
        <w:rPr/>
        <w:t xml:space="preserve"> weil </w:t>
      </w:r>
      <w:r>
        <w:rPr>
          <w:color w:val="808080"/>
        </w:rPr>
        <w:t>(als)</w:t>
      </w:r>
      <w:r>
        <w:rPr/>
        <w:t xml:space="preserve"> es ihnen wegen die Menschenmenge nicht gelang </w:t>
      </w:r>
      <w:r>
        <w:rPr>
          <w:color w:val="808080"/>
        </w:rPr>
        <w:t>(sie nicht konnten)</w:t>
      </w:r>
      <w:r>
        <w:rPr/>
        <w:t xml:space="preserve">, </w:t>
      </w:r>
      <w:r>
        <w:rPr>
          <w:rStyle w:val="Funotenanker"/>
        </w:rPr>
        <w:footnoteReference w:customMarkFollows="1" w:id="1259"/>
        <w:t>i</w:t>
      </w:r>
      <w:r>
        <w:rPr/>
        <w:t xml:space="preserve"> ihn zu [Jesus] zu bringen, deckten </w:t>
      </w:r>
      <w:r>
        <w:rPr>
          <w:color w:val="808080"/>
        </w:rPr>
        <w:t>(entfernten)</w:t>
      </w:r>
      <w:r>
        <w:rPr/>
        <w:t xml:space="preserve"> sie </w:t>
      </w:r>
      <w:r>
        <w:rPr>
          <w:b/>
          <w:color w:val="808080"/>
        </w:rPr>
        <w:t>[</w:t>
      </w:r>
      <w:r>
        <w:rPr/>
        <w:t>über der Stelle</w:t>
      </w:r>
      <w:r>
        <w:rPr>
          <w:b/>
          <w:color w:val="808080"/>
        </w:rPr>
        <w:t>]</w:t>
      </w:r>
      <w:r>
        <w:rPr/>
        <w:t xml:space="preserve">, wo er war, das Hausdach ab, und ließen </w:t>
      </w:r>
      <w:r>
        <w:rPr>
          <w:rStyle w:val="Funotenanker"/>
        </w:rPr>
        <w:footnoteReference w:customMarkFollows="1" w:id="1260"/>
        <w:t>j</w:t>
      </w:r>
      <w:r>
        <w:rPr/>
        <w:t xml:space="preserve"> die Matte hinab, auf der der Gelähmte lag, nachdem sie eine </w:t>
      </w:r>
      <w:r>
        <w:rPr>
          <w:b/>
          <w:color w:val="808080"/>
        </w:rPr>
        <w:t>[</w:t>
      </w:r>
      <w:r>
        <w:rPr/>
        <w:t>entsprechende</w:t>
      </w:r>
      <w:r>
        <w:rPr>
          <w:b/>
          <w:color w:val="808080"/>
        </w:rPr>
        <w:t>]</w:t>
      </w:r>
      <w:r>
        <w:rPr/>
        <w:t xml:space="preserve"> Öffnung geschaffen hatten </w:t>
      </w:r>
      <w:r>
        <w:rPr>
          <w:rStyle w:val="Funotenanker"/>
        </w:rPr>
        <w:footnoteReference w:customMarkFollows="1" w:id="1261"/>
        <w:t>k</w:t>
      </w:r>
      <w:r>
        <w:rPr/>
        <w:t xml:space="preserve">.{{field-off:bible}} </w:t>
        <w:br/>
        <w:t>[[@BibleTOBIBLE:Mk 2:5]]</w:t>
      </w:r>
      <w:r>
        <w:rPr>
          <w:b/>
        </w:rPr>
        <w:t>5</w:t>
      </w:r>
      <w:r>
        <w:rPr/>
        <w:t xml:space="preserve"> {{field-on:bible}}Und als Jesus ihren Glauben </w:t>
      </w:r>
      <w:r>
        <w:rPr>
          <w:color w:val="808080"/>
        </w:rPr>
        <w:t>(Vertrauen)</w:t>
      </w:r>
      <w:r>
        <w:rPr/>
        <w:t xml:space="preserve"> sah, </w:t>
      </w:r>
      <w:r>
        <w:rPr>
          <w:rStyle w:val="Funotenanker"/>
        </w:rPr>
        <w:footnoteReference w:customMarkFollows="1" w:id="1262"/>
        <w:t>l</w:t>
      </w:r>
      <w:r>
        <w:rPr/>
        <w:t xml:space="preserve"> sagte </w:t>
      </w:r>
      <w:r>
        <w:rPr>
          <w:rStyle w:val="Funotenanker"/>
        </w:rPr>
        <w:footnoteReference w:customMarkFollows="1" w:id="1263"/>
        <w:t>m</w:t>
      </w:r>
      <w:r>
        <w:rPr/>
        <w:t xml:space="preserve"> er zu dem Gelähmten: „</w:t>
      </w:r>
      <w:r>
        <w:rPr>
          <w:b/>
          <w:color w:val="808080"/>
        </w:rPr>
        <w:t>[</w:t>
      </w:r>
      <w:r>
        <w:rPr/>
        <w:t>Mein</w:t>
      </w:r>
      <w:r>
        <w:rPr>
          <w:b/>
          <w:color w:val="808080"/>
        </w:rPr>
        <w:t>]</w:t>
      </w:r>
      <w:r>
        <w:rPr/>
        <w:t xml:space="preserve"> Sohn </w:t>
      </w:r>
      <w:r>
        <w:rPr>
          <w:color w:val="808080"/>
        </w:rPr>
        <w:t>(Kind)</w:t>
      </w:r>
      <w:r>
        <w:rPr/>
        <w:t xml:space="preserve">, deine Sünden sind vergeben!“{{field-off:bible}} </w:t>
        <w:br/>
        <w:t>[[@BibleTOBIBLE:Mk 2:6]]</w:t>
      </w:r>
      <w:r>
        <w:rPr>
          <w:b/>
        </w:rPr>
        <w:t>6</w:t>
      </w:r>
      <w:r>
        <w:rPr/>
        <w:t xml:space="preserve"> {{field-on:bible}}Es waren </w:t>
      </w:r>
      <w:r>
        <w:rPr>
          <w:strike/>
          <w:color w:val="808080"/>
        </w:rPr>
        <w:t>{aber}</w:t>
      </w:r>
      <w:r>
        <w:rPr/>
        <w:t xml:space="preserve"> einige Schriftgelehrte </w:t>
      </w:r>
      <w:r>
        <w:rPr>
          <w:color w:val="808080"/>
        </w:rPr>
        <w:t>(Schreiber)</w:t>
      </w:r>
      <w:r>
        <w:rPr/>
        <w:t xml:space="preserve"> da </w:t>
      </w:r>
      <w:r>
        <w:rPr>
          <w:color w:val="808080"/>
        </w:rPr>
        <w:t>(dort)</w:t>
      </w:r>
      <w:r>
        <w:rPr/>
        <w:t xml:space="preserve">, die dabeisaßen und </w:t>
      </w:r>
      <w:r>
        <w:rPr>
          <w:b/>
          <w:color w:val="808080"/>
        </w:rPr>
        <w:t>[</w:t>
      </w:r>
      <w:r>
        <w:rPr/>
        <w:t>alles miterlebten</w:t>
      </w:r>
      <w:r>
        <w:rPr>
          <w:b/>
          <w:color w:val="808080"/>
        </w:rPr>
        <w:t>]</w:t>
      </w:r>
      <w:r>
        <w:rPr/>
        <w:t xml:space="preserve">. Sie setzten sich </w:t>
      </w:r>
      <w:r>
        <w:rPr>
          <w:color w:val="808080"/>
        </w:rPr>
        <w:t>(kämpften, überlegten, erwogen)</w:t>
      </w:r>
      <w:r>
        <w:rPr/>
        <w:t xml:space="preserve"> </w:t>
      </w:r>
      <w:r>
        <w:rPr>
          <w:rStyle w:val="Funotenanker"/>
        </w:rPr>
        <w:footnoteReference w:customMarkFollows="1" w:id="1264"/>
        <w:t>n</w:t>
      </w:r>
      <w:r>
        <w:rPr/>
        <w:t xml:space="preserve"> in Gedanken </w:t>
      </w:r>
      <w:r>
        <w:rPr>
          <w:rStyle w:val="Funotenanker"/>
        </w:rPr>
        <w:footnoteReference w:customMarkFollows="1" w:id="1265"/>
        <w:t>o</w:t>
      </w:r>
      <w:r>
        <w:rPr/>
        <w:t xml:space="preserve"> </w:t>
      </w:r>
      <w:r>
        <w:rPr>
          <w:b/>
          <w:color w:val="808080"/>
        </w:rPr>
        <w:t>[</w:t>
      </w:r>
      <w:r>
        <w:rPr/>
        <w:t>mit Jesu Worten</w:t>
      </w:r>
      <w:r>
        <w:rPr>
          <w:b/>
          <w:color w:val="808080"/>
        </w:rPr>
        <w:t>]</w:t>
      </w:r>
      <w:r>
        <w:rPr/>
        <w:t xml:space="preserve"> auseinander:{{field-off:bible}} </w:t>
        <w:br/>
        <w:t>[[@BibleTOBIBLE:Mk 2:7]]</w:t>
      </w:r>
      <w:r>
        <w:rPr>
          <w:b/>
        </w:rPr>
        <w:t>7</w:t>
      </w:r>
      <w:r>
        <w:rPr/>
        <w:t xml:space="preserve"> {{field-on:bible}}„Warum redet der so? Er lästert Gott! Wer kann Sünden vergeben außer dem einen Gott </w:t>
      </w:r>
      <w:r>
        <w:rPr>
          <w:color w:val="808080"/>
        </w:rPr>
        <w:t>(einem – Gott)</w:t>
      </w:r>
      <w:r>
        <w:rPr/>
        <w:t>?“</w:t>
      </w:r>
      <w:r>
        <w:rPr>
          <w:position w:val="8"/>
          <w:sz w:val="19"/>
        </w:rPr>
        <w:t>[[ ℘ &gt;&gt; BibleTOBIBLE:Dt 6:4]]</w:t>
      </w:r>
      <w:r>
        <w:rPr/>
        <w:t xml:space="preserve"> {{field-off:bible}} </w:t>
        <w:br/>
        <w:t>[[@BibleTOBIBLE:Mk 2:8]]</w:t>
      </w:r>
      <w:r>
        <w:rPr>
          <w:b/>
        </w:rPr>
        <w:t>8</w:t>
      </w:r>
      <w:r>
        <w:rPr/>
        <w:t xml:space="preserve"> {{field-on:bible}}Und Jesus erkannte </w:t>
      </w:r>
      <w:r>
        <w:rPr>
          <w:rStyle w:val="Funotenanker"/>
        </w:rPr>
        <w:footnoteReference w:customMarkFollows="1" w:id="1266"/>
        <w:t>p</w:t>
      </w:r>
      <w:r>
        <w:rPr/>
        <w:t xml:space="preserve"> in seinem Geist </w:t>
      </w:r>
      <w:r>
        <w:rPr>
          <w:rStyle w:val="Funotenanker"/>
        </w:rPr>
        <w:footnoteReference w:customMarkFollows="1" w:id="1267"/>
        <w:t>q</w:t>
      </w:r>
      <w:r>
        <w:rPr/>
        <w:t xml:space="preserve"> sofort, dass sie so </w:t>
      </w:r>
      <w:r>
        <w:rPr>
          <w:strike/>
          <w:color w:val="808080"/>
        </w:rPr>
        <w:t>{bei sich}</w:t>
      </w:r>
      <w:r>
        <w:rPr/>
        <w:t xml:space="preserve"> dachten, darum sagte </w:t>
      </w:r>
      <w:r>
        <w:rPr>
          <w:rStyle w:val="Funotenanker"/>
        </w:rPr>
        <w:footnoteReference w:customMarkFollows="1" w:id="1268"/>
        <w:t>r</w:t>
      </w:r>
      <w:r>
        <w:rPr/>
        <w:t xml:space="preserve"> er zu ihnen: „Warum habt ihr solche Gedanken? </w:t>
      </w:r>
      <w:r>
        <w:rPr>
          <w:rStyle w:val="Funotenanker"/>
        </w:rPr>
        <w:footnoteReference w:customMarkFollows="1" w:id="1269"/>
        <w:t>s</w:t>
      </w:r>
      <w:r>
        <w:rPr/>
        <w:t xml:space="preserve"> {{field-off:bible}} </w:t>
        <w:br/>
        <w:t>[[@BibleTOBIBLE:Mk 2:9]]</w:t>
      </w:r>
      <w:r>
        <w:rPr>
          <w:b/>
        </w:rPr>
        <w:t>9</w:t>
      </w:r>
      <w:r>
        <w:rPr/>
        <w:t xml:space="preserve"> {{field-on:bible}}Was ist leichter </w:t>
      </w:r>
      <w:r>
        <w:rPr>
          <w:color w:val="808080"/>
        </w:rPr>
        <w:t>(einfacher)</w:t>
      </w:r>
      <w:r>
        <w:rPr/>
        <w:t xml:space="preserve"> – zu dem Gelähmten zu sagen: »Deine Sünden sind dir vergeben« oder </w:t>
      </w:r>
      <w:r>
        <w:rPr>
          <w:strike/>
          <w:color w:val="808080"/>
        </w:rPr>
        <w:t>{zu sagen}</w:t>
      </w:r>
      <w:r>
        <w:rPr/>
        <w:t xml:space="preserve">: »Steh auf und nimm deine Matte und laufe umher«?{{field-off:bible}} </w:t>
        <w:br/>
        <w:t>[[@BibleTOBIBLE:Mk 2:10]]</w:t>
      </w:r>
      <w:r>
        <w:rPr>
          <w:b/>
        </w:rPr>
        <w:t>10</w:t>
      </w:r>
      <w:r>
        <w:rPr/>
        <w:t xml:space="preserve"> {{field-on:bible}}Aber damit ihr erkennt </w:t>
      </w:r>
      <w:r>
        <w:rPr>
          <w:color w:val="808080"/>
        </w:rPr>
        <w:t>(wisst)</w:t>
      </w:r>
      <w:r>
        <w:rPr/>
        <w:t xml:space="preserve">, dass der Menschensohn </w:t>
      </w:r>
      <w:r>
        <w:rPr>
          <w:color w:val="808080"/>
        </w:rPr>
        <w:t>(Sohn des Menschen; Mensch)</w:t>
      </w:r>
      <w:r>
        <w:rPr/>
        <w:t xml:space="preserve"> </w:t>
      </w:r>
      <w:r>
        <w:rPr>
          <w:rStyle w:val="Funotenanker"/>
        </w:rPr>
        <w:footnoteReference w:customMarkFollows="1" w:id="1270"/>
        <w:t>t</w:t>
      </w:r>
      <w:r>
        <w:rPr/>
        <w:t xml:space="preserve"> </w:t>
      </w:r>
      <w:r>
        <w:rPr>
          <w:b/>
          <w:color w:val="808080"/>
        </w:rPr>
        <w:t>[</w:t>
      </w:r>
      <w:r>
        <w:rPr/>
        <w:t>das</w:t>
      </w:r>
      <w:r>
        <w:rPr>
          <w:b/>
          <w:color w:val="808080"/>
        </w:rPr>
        <w:t>]</w:t>
      </w:r>
      <w:r>
        <w:rPr/>
        <w:t xml:space="preserve"> Recht </w:t>
      </w:r>
      <w:r>
        <w:rPr>
          <w:color w:val="808080"/>
        </w:rPr>
        <w:t>(die Macht, Vollmacht, Entscheidungsgewalt)</w:t>
      </w:r>
      <w:r>
        <w:rPr/>
        <w:t xml:space="preserve"> hat, auf der Erde Sünden zu vergeben —“, sagte er zu dem Gelähmten:{{field-off:bible}} </w:t>
        <w:br/>
        <w:t>[[@BibleTOBIBLE:Mk 2:11]]</w:t>
      </w:r>
      <w:r>
        <w:rPr>
          <w:b/>
        </w:rPr>
        <w:t>11</w:t>
      </w:r>
      <w:r>
        <w:rPr/>
        <w:t xml:space="preserve"> {{field-on:bible}}„— sage ich dir: Steh auf, nimm deine Matte und geh nach Hause </w:t>
      </w:r>
      <w:r>
        <w:rPr>
          <w:rStyle w:val="Funotenanker"/>
        </w:rPr>
        <w:footnoteReference w:customMarkFollows="1" w:id="1271"/>
        <w:t>u</w:t>
      </w:r>
      <w:r>
        <w:rPr/>
        <w:t xml:space="preserve">!“{{field-off:bible}} </w:t>
        <w:br/>
        <w:t>[[@BibleTOBIBLE:Mk 2:12]]</w:t>
      </w:r>
      <w:r>
        <w:rPr>
          <w:b/>
        </w:rPr>
        <w:t>12</w:t>
      </w:r>
      <w:r>
        <w:rPr/>
        <w:t xml:space="preserve"> {{field-on:bible}}Da </w:t>
      </w:r>
      <w:r>
        <w:rPr>
          <w:color w:val="808080"/>
        </w:rPr>
        <w:t>(und)</w:t>
      </w:r>
      <w:r>
        <w:rPr/>
        <w:t xml:space="preserve"> stand er auf, hob </w:t>
      </w:r>
      <w:r>
        <w:rPr>
          <w:color w:val="808080"/>
        </w:rPr>
        <w:t>(nahm)</w:t>
      </w:r>
      <w:r>
        <w:rPr/>
        <w:t xml:space="preserve"> umgehend seine Matte auf </w:t>
      </w:r>
      <w:r>
        <w:rPr>
          <w:rStyle w:val="Funotenanker"/>
        </w:rPr>
        <w:footnoteReference w:customMarkFollows="1" w:id="1272"/>
        <w:t>v</w:t>
      </w:r>
      <w:r>
        <w:rPr/>
        <w:t xml:space="preserve"> und ging vor aller Augen hinaus, sodass alle fassungslos </w:t>
      </w:r>
      <w:r>
        <w:rPr>
          <w:color w:val="808080"/>
        </w:rPr>
        <w:t>(erstaunt, außer sich)</w:t>
      </w:r>
      <w:r>
        <w:rPr/>
        <w:t xml:space="preserve"> waren und Gott lobten. Sie riefen </w:t>
      </w:r>
      <w:r>
        <w:rPr>
          <w:color w:val="808080"/>
        </w:rPr>
        <w:t>(sagten)</w:t>
      </w:r>
      <w:r>
        <w:rPr/>
        <w:t xml:space="preserve"> </w:t>
      </w:r>
      <w:r>
        <w:rPr>
          <w:rStyle w:val="Funotenanker"/>
        </w:rPr>
        <w:footnoteReference w:customMarkFollows="1" w:id="1273"/>
        <w:t>w</w:t>
      </w:r>
      <w:r>
        <w:rPr/>
        <w:t xml:space="preserve">: „So etwas haben wir noch nie erlebt </w:t>
      </w:r>
      <w:r>
        <w:rPr>
          <w:color w:val="808080"/>
        </w:rPr>
        <w:t>(gesehen)</w:t>
      </w:r>
      <w:r>
        <w:rPr/>
        <w:t xml:space="preserve">!“{{field-off:bible}} </w:t>
        <w:br/>
        <w:t>[[@BibleTOBIBLE:Mk 2:13]]</w:t>
      </w:r>
      <w:r>
        <w:rPr>
          <w:b/>
        </w:rPr>
        <w:t>13</w:t>
      </w:r>
      <w:r>
        <w:rPr/>
        <w:t xml:space="preserve"> {{field-on:bible}}Danach </w:t>
      </w:r>
      <w:r>
        <w:rPr>
          <w:color w:val="808080"/>
        </w:rPr>
        <w:t>(Und)</w:t>
      </w:r>
      <w:r>
        <w:rPr/>
        <w:t xml:space="preserve"> ging [Jesus] wieder hinaus </w:t>
      </w:r>
      <w:r>
        <w:rPr>
          <w:rStyle w:val="Funotenanker"/>
        </w:rPr>
        <w:footnoteReference w:customMarkFollows="1" w:id="1274"/>
        <w:t>x</w:t>
      </w:r>
      <w:r>
        <w:rPr/>
        <w:t xml:space="preserve"> , ans </w:t>
      </w:r>
      <w:r>
        <w:rPr>
          <w:color w:val="808080"/>
        </w:rPr>
        <w:t>(an ... entlang)</w:t>
      </w:r>
      <w:r>
        <w:rPr/>
        <w:t xml:space="preserve"> Meer </w:t>
      </w:r>
      <w:r>
        <w:rPr>
          <w:color w:val="808080"/>
        </w:rPr>
        <w:t>(See)</w:t>
      </w:r>
      <w:r>
        <w:rPr/>
        <w:t xml:space="preserve"> </w:t>
      </w:r>
      <w:r>
        <w:rPr>
          <w:rStyle w:val="Funotenanker"/>
        </w:rPr>
        <w:footnoteReference w:customMarkFollows="1" w:id="1275"/>
        <w:t>y</w:t>
      </w:r>
      <w:r>
        <w:rPr/>
        <w:t xml:space="preserve"> . Und die gesamte Menschenmenge kam zu ihm, und er lehrte </w:t>
      </w:r>
      <w:r>
        <w:rPr>
          <w:rStyle w:val="Funotenanker"/>
        </w:rPr>
        <w:footnoteReference w:customMarkFollows="1" w:id="1276"/>
        <w:t>z</w:t>
      </w:r>
      <w:r>
        <w:rPr/>
        <w:t xml:space="preserve"> sie.{{field-off:bible}} </w:t>
        <w:br/>
        <w:t>[[@BibleTOBIBLE:Mk 2:14]]</w:t>
      </w:r>
      <w:r>
        <w:rPr>
          <w:b/>
        </w:rPr>
        <w:t>14</w:t>
      </w:r>
      <w:r>
        <w:rPr/>
        <w:t xml:space="preserve"> {{field-on:bible}}Und im Vorbeigehen </w:t>
      </w:r>
      <w:r>
        <w:rPr>
          <w:color w:val="808080"/>
        </w:rPr>
        <w:t>(als er vorbeiging/vorüberging)</w:t>
      </w:r>
      <w:r>
        <w:rPr/>
        <w:t xml:space="preserve"> </w:t>
      </w:r>
      <w:r>
        <w:rPr>
          <w:rStyle w:val="Funotenanker"/>
        </w:rPr>
        <w:footnoteReference w:customMarkFollows="1" w:id="1277"/>
        <w:t>aa</w:t>
      </w:r>
      <w:r>
        <w:rPr/>
        <w:t xml:space="preserve"> sah er Levi, den </w:t>
      </w:r>
      <w:r>
        <w:rPr>
          <w:b/>
          <w:color w:val="808080"/>
        </w:rPr>
        <w:t>[</w:t>
      </w:r>
      <w:r>
        <w:rPr/>
        <w:t>Sohn</w:t>
      </w:r>
      <w:r>
        <w:rPr>
          <w:b/>
          <w:color w:val="808080"/>
        </w:rPr>
        <w:t>]</w:t>
      </w:r>
      <w:r>
        <w:rPr/>
        <w:t xml:space="preserve"> von Alphäus, an der Zollstelle </w:t>
      </w:r>
      <w:r>
        <w:rPr>
          <w:color w:val="808080"/>
        </w:rPr>
        <w:t>(Zollhaus, Zoll)</w:t>
      </w:r>
      <w:r>
        <w:rPr/>
        <w:t xml:space="preserve"> </w:t>
      </w:r>
      <w:r>
        <w:rPr>
          <w:rStyle w:val="Funotenanker"/>
        </w:rPr>
        <w:footnoteReference w:customMarkFollows="1" w:id="1278"/>
        <w:t>ab</w:t>
      </w:r>
      <w:r>
        <w:rPr/>
        <w:t xml:space="preserve"> sitzen </w:t>
      </w:r>
      <w:r>
        <w:rPr>
          <w:rStyle w:val="Funotenanker"/>
        </w:rPr>
        <w:footnoteReference w:customMarkFollows="1" w:id="1279"/>
        <w:t>ac</w:t>
      </w:r>
      <w:r>
        <w:rPr/>
        <w:t xml:space="preserve"> und sagte zu ihm: „Folge mir nach!“ </w:t>
      </w:r>
      <w:r>
        <w:rPr>
          <w:rStyle w:val="Funotenanker"/>
        </w:rPr>
        <w:footnoteReference w:customMarkFollows="1" w:id="1280"/>
        <w:t>ad</w:t>
      </w:r>
      <w:r>
        <w:rPr/>
        <w:t xml:space="preserve"> Da </w:t>
      </w:r>
      <w:r>
        <w:rPr>
          <w:color w:val="808080"/>
        </w:rPr>
        <w:t>(Und)</w:t>
      </w:r>
      <w:r>
        <w:rPr/>
        <w:t xml:space="preserve"> stand </w:t>
      </w:r>
      <w:r>
        <w:rPr>
          <w:b/>
          <w:color w:val="808080"/>
        </w:rPr>
        <w:t>[</w:t>
      </w:r>
      <w:r>
        <w:rPr/>
        <w:t>Levi</w:t>
      </w:r>
      <w:r>
        <w:rPr>
          <w:b/>
          <w:color w:val="808080"/>
        </w:rPr>
        <w:t>]</w:t>
      </w:r>
      <w:r>
        <w:rPr/>
        <w:t xml:space="preserve"> auf </w:t>
      </w:r>
      <w:r>
        <w:rPr>
          <w:rStyle w:val="Funotenanker"/>
        </w:rPr>
        <w:footnoteReference w:customMarkFollows="1" w:id="1281"/>
        <w:t>ae</w:t>
      </w:r>
      <w:r>
        <w:rPr/>
        <w:t xml:space="preserve"> und folgte ihm nach.</w:t>
      </w:r>
      <w:r>
        <w:rPr>
          <w:position w:val="8"/>
          <w:sz w:val="19"/>
        </w:rPr>
        <w:t>[[ ℘ &gt;&gt; BibleTOBIBLE:Mk 1:16]][[ ℘ &gt;&gt; BibleTOBIBLE:Mk 1:18]]</w:t>
      </w:r>
      <w:r>
        <w:rPr/>
        <w:t xml:space="preserve"> {{field-off:bible}} </w:t>
        <w:br/>
        <w:t>[[@BibleTOBIBLE:Mk 2:15]]</w:t>
      </w:r>
      <w:r>
        <w:rPr>
          <w:b/>
        </w:rPr>
        <w:t>15</w:t>
      </w:r>
      <w:r>
        <w:rPr/>
        <w:t xml:space="preserve"> {{field-on:bible}}Und </w:t>
      </w:r>
      <w:r>
        <w:rPr>
          <w:strike/>
          <w:color w:val="808080"/>
        </w:rPr>
        <w:t>{es ereignete sich}</w:t>
      </w:r>
      <w:r>
        <w:rPr/>
        <w:t xml:space="preserve"> </w:t>
      </w:r>
      <w:r>
        <w:rPr>
          <w:b/>
          <w:color w:val="808080"/>
        </w:rPr>
        <w:t>[</w:t>
      </w:r>
      <w:r>
        <w:rPr/>
        <w:t>als</w:t>
      </w:r>
      <w:r>
        <w:rPr>
          <w:b/>
          <w:color w:val="808080"/>
        </w:rPr>
        <w:t>]</w:t>
      </w:r>
      <w:r>
        <w:rPr/>
        <w:t xml:space="preserve"> er </w:t>
      </w:r>
      <w:r>
        <w:rPr>
          <w:b/>
          <w:color w:val="808080"/>
        </w:rPr>
        <w:t>[</w:t>
      </w:r>
      <w:r>
        <w:rPr/>
        <w:t>später</w:t>
      </w:r>
      <w:r>
        <w:rPr>
          <w:b/>
          <w:color w:val="808080"/>
        </w:rPr>
        <w:t>]</w:t>
      </w:r>
      <w:r>
        <w:rPr/>
        <w:t xml:space="preserve"> </w:t>
      </w:r>
      <w:r>
        <w:rPr>
          <w:rStyle w:val="Funotenanker"/>
        </w:rPr>
        <w:footnoteReference w:customMarkFollows="1" w:id="1282"/>
        <w:t>af</w:t>
      </w:r>
      <w:r>
        <w:rPr/>
        <w:t xml:space="preserve"> in seinem Haus </w:t>
      </w:r>
      <w:r>
        <w:rPr>
          <w:rStyle w:val="Funotenanker"/>
        </w:rPr>
        <w:footnoteReference w:customMarkFollows="1" w:id="1283"/>
        <w:t>ag</w:t>
      </w:r>
      <w:r>
        <w:rPr/>
        <w:t xml:space="preserve"> bei Tisch war </w:t>
      </w:r>
      <w:r>
        <w:rPr>
          <w:color w:val="808080"/>
        </w:rPr>
        <w:t>(zu Gast war)</w:t>
      </w:r>
      <w:r>
        <w:rPr/>
        <w:t xml:space="preserve"> </w:t>
      </w:r>
      <w:r>
        <w:rPr>
          <w:rStyle w:val="Funotenanker"/>
        </w:rPr>
        <w:footnoteReference w:customMarkFollows="1" w:id="1284"/>
        <w:t>ah</w:t>
      </w:r>
      <w:r>
        <w:rPr/>
        <w:t xml:space="preserve"> , nahmen auch </w:t>
      </w:r>
      <w:r>
        <w:rPr>
          <w:color w:val="808080"/>
        </w:rPr>
        <w:t>(und)</w:t>
      </w:r>
      <w:r>
        <w:rPr/>
        <w:t xml:space="preserve"> viele Zolleinnehmer </w:t>
      </w:r>
      <w:r>
        <w:rPr>
          <w:color w:val="808080"/>
        </w:rPr>
        <w:t>(Zöllner)</w:t>
      </w:r>
      <w:r>
        <w:rPr/>
        <w:t xml:space="preserve"> und Sünder zusammen mit Jesus und dessen Jüngern an der Mahlzeit teil </w:t>
      </w:r>
      <w:r>
        <w:rPr>
          <w:rStyle w:val="Funotenanker"/>
        </w:rPr>
        <w:footnoteReference w:customMarkFollows="1" w:id="1285"/>
        <w:t>ai</w:t>
      </w:r>
      <w:r>
        <w:rPr/>
        <w:t xml:space="preserve"> . Es waren nämlich viele, die </w:t>
      </w:r>
      <w:r>
        <w:rPr>
          <w:rStyle w:val="Funotenanker"/>
        </w:rPr>
        <w:footnoteReference w:customMarkFollows="1" w:id="1286"/>
        <w:t>aj</w:t>
      </w:r>
      <w:r>
        <w:rPr/>
        <w:t xml:space="preserve"> ihm nachfolgten.{{field-off:bible}} </w:t>
        <w:br/>
        <w:t>[[@BibleTOBIBLE:Mk 2:16]]</w:t>
      </w:r>
      <w:r>
        <w:rPr>
          <w:b/>
        </w:rPr>
        <w:t>16</w:t>
      </w:r>
      <w:r>
        <w:rPr/>
        <w:t xml:space="preserve"> {{field-on:bible}}Doch </w:t>
      </w:r>
      <w:r>
        <w:rPr>
          <w:color w:val="808080"/>
        </w:rPr>
        <w:t>(Und)</w:t>
      </w:r>
      <w:r>
        <w:rPr/>
        <w:t xml:space="preserve"> als die Schriftgelehrten </w:t>
      </w:r>
      <w:r>
        <w:rPr>
          <w:color w:val="808080"/>
        </w:rPr>
        <w:t>(Schreiber)</w:t>
      </w:r>
      <w:r>
        <w:rPr/>
        <w:t xml:space="preserve"> der Pharisäer </w:t>
      </w:r>
      <w:r>
        <w:rPr>
          <w:rStyle w:val="Funotenanker"/>
        </w:rPr>
        <w:footnoteReference w:customMarkFollows="1" w:id="1287"/>
        <w:t>ak</w:t>
      </w:r>
      <w:r>
        <w:rPr/>
        <w:t xml:space="preserve"> sahen, </w:t>
      </w:r>
      <w:r>
        <w:rPr>
          <w:rStyle w:val="Funotenanker"/>
        </w:rPr>
        <w:footnoteReference w:customMarkFollows="1" w:id="1288"/>
        <w:t>al</w:t>
      </w:r>
      <w:r>
        <w:rPr/>
        <w:t xml:space="preserve"> dass er mit den Sündern und Zolleinnehmern </w:t>
      </w:r>
      <w:r>
        <w:rPr>
          <w:color w:val="808080"/>
        </w:rPr>
        <w:t>(Zöllnern)</w:t>
      </w:r>
      <w:r>
        <w:rPr/>
        <w:t xml:space="preserve"> aß </w:t>
      </w:r>
      <w:r>
        <w:rPr>
          <w:rStyle w:val="Funotenanker"/>
        </w:rPr>
        <w:footnoteReference w:customMarkFollows="1" w:id="1289"/>
        <w:t>am</w:t>
      </w:r>
      <w:r>
        <w:rPr/>
        <w:t xml:space="preserve"> , sagten sie zu seinen Jüngern: „Warum </w:t>
      </w:r>
      <w:r>
        <w:rPr>
          <w:rStyle w:val="Funotenanker"/>
        </w:rPr>
        <w:footnoteReference w:customMarkFollows="1" w:id="1290"/>
        <w:t>an</w:t>
      </w:r>
      <w:r>
        <w:rPr/>
        <w:t xml:space="preserve"> isst er mit Zolleinnehmern </w:t>
      </w:r>
      <w:r>
        <w:rPr>
          <w:color w:val="808080"/>
        </w:rPr>
        <w:t>(Zöllnern)</w:t>
      </w:r>
      <w:r>
        <w:rPr/>
        <w:t xml:space="preserve"> und Sündern?“{{field-off:bible}} </w:t>
        <w:br/>
        <w:t>[[@BibleTOBIBLE:Mk 2:17]]</w:t>
      </w:r>
      <w:r>
        <w:rPr>
          <w:b/>
        </w:rPr>
        <w:t>17</w:t>
      </w:r>
      <w:r>
        <w:rPr/>
        <w:t xml:space="preserve"> {{field-on:bible}}Aber </w:t>
      </w:r>
      <w:r>
        <w:rPr>
          <w:color w:val="808080"/>
        </w:rPr>
        <w:t>(Und)</w:t>
      </w:r>
      <w:r>
        <w:rPr/>
        <w:t xml:space="preserve"> als Jesus </w:t>
      </w:r>
      <w:r>
        <w:rPr>
          <w:b/>
          <w:color w:val="808080"/>
        </w:rPr>
        <w:t>[</w:t>
      </w:r>
      <w:r>
        <w:rPr/>
        <w:t>das</w:t>
      </w:r>
      <w:r>
        <w:rPr>
          <w:b/>
          <w:color w:val="808080"/>
        </w:rPr>
        <w:t>]</w:t>
      </w:r>
      <w:r>
        <w:rPr/>
        <w:t xml:space="preserve"> hörte, </w:t>
      </w:r>
      <w:r>
        <w:rPr>
          <w:rStyle w:val="Funotenanker"/>
        </w:rPr>
        <w:footnoteReference w:customMarkFollows="1" w:id="1291"/>
        <w:t>ao</w:t>
      </w:r>
      <w:r>
        <w:rPr/>
        <w:t xml:space="preserve"> sagte er zu ihnen </w:t>
      </w:r>
      <w:r>
        <w:rPr>
          <w:strike/>
          <w:color w:val="808080"/>
        </w:rPr>
        <w:t>{dass}</w:t>
      </w:r>
      <w:r>
        <w:rPr/>
        <w:t xml:space="preserve"> </w:t>
      </w:r>
      <w:r>
        <w:rPr>
          <w:rStyle w:val="Funotenanker"/>
        </w:rPr>
        <w:footnoteReference w:customMarkFollows="1" w:id="1292"/>
        <w:t>ap</w:t>
      </w:r>
      <w:r>
        <w:rPr/>
        <w:t xml:space="preserve">: „Nicht die Gesunden haben einen Arzt nötig </w:t>
      </w:r>
      <w:r>
        <w:rPr>
          <w:color w:val="808080"/>
        </w:rPr>
        <w:t>(brauchen)</w:t>
      </w:r>
      <w:r>
        <w:rPr/>
        <w:t xml:space="preserve">, sondern die Kranken </w:t>
      </w:r>
      <w:r>
        <w:rPr>
          <w:color w:val="808080"/>
        </w:rPr>
        <w:t>(die, denen es schlecht geht)</w:t>
      </w:r>
      <w:r>
        <w:rPr/>
        <w:t xml:space="preserve">. </w:t>
      </w:r>
      <w:r>
        <w:rPr>
          <w:rStyle w:val="Funotenanker"/>
        </w:rPr>
        <w:footnoteReference w:customMarkFollows="1" w:id="1293"/>
        <w:t>aq</w:t>
      </w:r>
      <w:r>
        <w:rPr/>
        <w:t xml:space="preserve"> Ich bin nicht gekommen, </w:t>
      </w:r>
      <w:r>
        <w:rPr>
          <w:b/>
          <w:color w:val="808080"/>
        </w:rPr>
        <w:t>[</w:t>
      </w:r>
      <w:r>
        <w:rPr/>
        <w:t>um</w:t>
      </w:r>
      <w:r>
        <w:rPr>
          <w:b/>
          <w:color w:val="808080"/>
        </w:rPr>
        <w:t>]</w:t>
      </w:r>
      <w:r>
        <w:rPr/>
        <w:t xml:space="preserve"> die Gerechten zu rufen </w:t>
      </w:r>
      <w:r>
        <w:rPr>
          <w:color w:val="808080"/>
        </w:rPr>
        <w:t>(berufen, zusammenzurufen, einzuladen)</w:t>
      </w:r>
      <w:r>
        <w:rPr/>
        <w:t xml:space="preserve">, sondern die Sünder!“{{field-off:bible}} </w:t>
        <w:br/>
        <w:t>[[@BibleTOBIBLE:Mk 2:18]]</w:t>
      </w:r>
      <w:r>
        <w:rPr>
          <w:b/>
        </w:rPr>
        <w:t>18</w:t>
      </w:r>
      <w:r>
        <w:rPr/>
        <w:t xml:space="preserve"> {{field-on:bible}}Nun </w:t>
      </w:r>
      <w:r>
        <w:rPr>
          <w:color w:val="808080"/>
        </w:rPr>
        <w:t>(Und)</w:t>
      </w:r>
      <w:r>
        <w:rPr/>
        <w:t xml:space="preserve"> hatten die Jünger von Johannes und die Pharisäer die Angewohnheit, regelmäßig zu fasten </w:t>
      </w:r>
      <w:r>
        <w:rPr>
          <w:color w:val="808080"/>
        </w:rPr>
        <w:t>(fasteten zu dieser Zeit)</w:t>
      </w:r>
      <w:r>
        <w:rPr/>
        <w:t xml:space="preserve"> </w:t>
      </w:r>
      <w:r>
        <w:rPr>
          <w:rStyle w:val="Funotenanker"/>
        </w:rPr>
        <w:footnoteReference w:customMarkFollows="1" w:id="1294"/>
        <w:t>ar</w:t>
      </w:r>
      <w:r>
        <w:rPr/>
        <w:t xml:space="preserve"> . Und </w:t>
      </w:r>
      <w:r>
        <w:rPr>
          <w:b/>
          <w:color w:val="808080"/>
        </w:rPr>
        <w:t>[</w:t>
      </w:r>
      <w:r>
        <w:rPr/>
        <w:t>Leute</w:t>
      </w:r>
      <w:r>
        <w:rPr>
          <w:b/>
          <w:color w:val="808080"/>
        </w:rPr>
        <w:t>]</w:t>
      </w:r>
      <w:r>
        <w:rPr/>
        <w:t xml:space="preserve"> kamen und fragten </w:t>
      </w:r>
      <w:r>
        <w:rPr>
          <w:color w:val="808080"/>
        </w:rPr>
        <w:t>(sagten zu)</w:t>
      </w:r>
      <w:r>
        <w:rPr/>
        <w:t xml:space="preserve"> </w:t>
      </w:r>
      <w:r>
        <w:rPr>
          <w:rStyle w:val="Funotenanker"/>
        </w:rPr>
        <w:footnoteReference w:customMarkFollows="1" w:id="1295"/>
        <w:t>as</w:t>
      </w:r>
      <w:r>
        <w:rPr/>
        <w:t xml:space="preserve"> ihn: „Weshalb fasten die Jünger von Johannes und die Jünger der Pharisäer </w:t>
      </w:r>
      <w:r>
        <w:rPr>
          <w:rStyle w:val="Funotenanker"/>
        </w:rPr>
        <w:footnoteReference w:customMarkFollows="1" w:id="1296"/>
        <w:t>at</w:t>
      </w:r>
      <w:r>
        <w:rPr/>
        <w:t xml:space="preserve"> , aber deine Jünger fasten nicht?“{{field-off:bible}} </w:t>
        <w:br/>
        <w:t>[[@BibleTOBIBLE:Mk 2:19]]</w:t>
      </w:r>
      <w:r>
        <w:rPr>
          <w:b/>
        </w:rPr>
        <w:t>19</w:t>
      </w:r>
      <w:r>
        <w:rPr/>
        <w:t xml:space="preserve"> {{field-on:bible}}Da </w:t>
      </w:r>
      <w:r>
        <w:rPr>
          <w:color w:val="808080"/>
        </w:rPr>
        <w:t>(Und)</w:t>
      </w:r>
      <w:r>
        <w:rPr/>
        <w:t xml:space="preserve"> erwiderte </w:t>
      </w:r>
      <w:r>
        <w:rPr>
          <w:color w:val="808080"/>
        </w:rPr>
        <w:t>(sagte)</w:t>
      </w:r>
      <w:r>
        <w:rPr/>
        <w:t xml:space="preserve"> Jesus </w:t>
      </w:r>
      <w:r>
        <w:rPr>
          <w:strike/>
          <w:color w:val="808080"/>
        </w:rPr>
        <w:t>{zu ihnen}</w:t>
      </w:r>
      <w:r>
        <w:rPr/>
        <w:t xml:space="preserve">: „Ja </w:t>
      </w:r>
      <w:r>
        <w:rPr>
          <w:color w:val="808080"/>
        </w:rPr>
        <w:t>(etwa)</w:t>
      </w:r>
      <w:r>
        <w:rPr/>
        <w:t xml:space="preserve"> können die Hochzeitsgäste des Bräutigams </w:t>
      </w:r>
      <w:r>
        <w:rPr>
          <w:rStyle w:val="Funotenanker"/>
        </w:rPr>
        <w:footnoteReference w:customMarkFollows="1" w:id="1297"/>
        <w:t>au</w:t>
      </w:r>
      <w:r>
        <w:rPr/>
        <w:t xml:space="preserve"> denn fasten, während der Bräutigam bei ihnen ist? Solange sie den Bräutigam bei sich haben, können sie unmöglich </w:t>
      </w:r>
      <w:r>
        <w:rPr>
          <w:color w:val="808080"/>
        </w:rPr>
        <w:t>(nicht)</w:t>
      </w:r>
      <w:r>
        <w:rPr/>
        <w:t xml:space="preserve"> fasten!{{field-off:bible}} </w:t>
        <w:br/>
        <w:t>[[@BibleTOBIBLE:Mk 2:20]]</w:t>
      </w:r>
      <w:r>
        <w:rPr>
          <w:b/>
        </w:rPr>
        <w:t>20</w:t>
      </w:r>
      <w:r>
        <w:rPr/>
        <w:t xml:space="preserve"> {{field-on:bible}}Es werden jedoch Tage kommen, wenn der Bräutigam </w:t>
      </w:r>
      <w:r>
        <w:rPr>
          <w:strike/>
          <w:color w:val="808080"/>
        </w:rPr>
        <w:t>{von}</w:t>
      </w:r>
      <w:r>
        <w:rPr/>
        <w:t xml:space="preserve"> ihnen weggenommen wurde </w:t>
      </w:r>
      <w:r>
        <w:rPr>
          <w:rStyle w:val="Funotenanker"/>
        </w:rPr>
        <w:footnoteReference w:customMarkFollows="1" w:id="1298"/>
        <w:t>av</w:t>
      </w:r>
      <w:r>
        <w:rPr/>
        <w:t xml:space="preserve"> , und dann, an diesem Tag </w:t>
      </w:r>
      <w:r>
        <w:rPr>
          <w:rStyle w:val="Funotenanker"/>
        </w:rPr>
        <w:footnoteReference w:customMarkFollows="1" w:id="1299"/>
        <w:t>aw</w:t>
      </w:r>
      <w:r>
        <w:rPr/>
        <w:t xml:space="preserve"> , werden sie fasten.{{field-off:bible}} </w:t>
        <w:br/>
        <w:t>[[@BibleTOBIBLE:Mk 2:21]]</w:t>
      </w:r>
      <w:r>
        <w:rPr>
          <w:b/>
        </w:rPr>
        <w:t>21</w:t>
      </w:r>
      <w:r>
        <w:rPr/>
        <w:t xml:space="preserve"> {{field-on:bible}}Niemand näht einen Flicken </w:t>
      </w:r>
      <w:r>
        <w:rPr>
          <w:b/>
          <w:color w:val="808080"/>
        </w:rPr>
        <w:t>[</w:t>
      </w:r>
      <w:r>
        <w:rPr/>
        <w:t>aus</w:t>
      </w:r>
      <w:r>
        <w:rPr>
          <w:b/>
          <w:color w:val="808080"/>
        </w:rPr>
        <w:t>]</w:t>
      </w:r>
      <w:r>
        <w:rPr/>
        <w:t xml:space="preserve"> neuem </w:t>
      </w:r>
      <w:r>
        <w:rPr>
          <w:color w:val="808080"/>
        </w:rPr>
        <w:t>(ungewalktem, noch nicht eingelaufenem)</w:t>
      </w:r>
      <w:r>
        <w:rPr/>
        <w:t xml:space="preserve"> Stoff </w:t>
      </w:r>
      <w:r>
        <w:rPr>
          <w:rStyle w:val="Funotenanker"/>
        </w:rPr>
        <w:footnoteReference w:customMarkFollows="1" w:id="1300"/>
        <w:t>ax</w:t>
      </w:r>
      <w:r>
        <w:rPr/>
        <w:t xml:space="preserve"> auf ein altes Kleidungsstück, sonst reißt das eingesetzte Stück </w:t>
      </w:r>
      <w:r>
        <w:rPr>
          <w:color w:val="808080"/>
        </w:rPr>
        <w:t>(der Flicken)</w:t>
      </w:r>
      <w:r>
        <w:rPr/>
        <w:t xml:space="preserve"> von ihm ab – das Neue vom Alten – und es entsteht ein </w:t>
      </w:r>
      <w:r>
        <w:rPr>
          <w:b/>
          <w:color w:val="808080"/>
        </w:rPr>
        <w:t>[</w:t>
      </w:r>
      <w:r>
        <w:rPr/>
        <w:t>noch</w:t>
      </w:r>
      <w:r>
        <w:rPr>
          <w:b/>
          <w:color w:val="808080"/>
        </w:rPr>
        <w:t>]</w:t>
      </w:r>
      <w:r>
        <w:rPr/>
        <w:t xml:space="preserve"> schlimmerer Riss.{{field-off:bible}} </w:t>
        <w:br/>
        <w:t>[[@BibleTOBIBLE:Mk 2:22]]</w:t>
      </w:r>
      <w:r>
        <w:rPr>
          <w:b/>
        </w:rPr>
        <w:t>22</w:t>
      </w:r>
      <w:r>
        <w:rPr/>
        <w:t xml:space="preserve"> {{field-on:bible}}Und niemand füllt jungen </w:t>
      </w:r>
      <w:r>
        <w:rPr>
          <w:color w:val="808080"/>
        </w:rPr>
        <w:t>(neuen)</w:t>
      </w:r>
      <w:r>
        <w:rPr/>
        <w:t xml:space="preserve"> Wein in alte Schläuche. Ansonsten wird der Wein die Schläuche zerreißen </w:t>
      </w:r>
      <w:r>
        <w:rPr>
          <w:color w:val="808080"/>
        </w:rPr>
        <w:t>(sprengen)</w:t>
      </w:r>
      <w:r>
        <w:rPr/>
        <w:t xml:space="preserve"> und der Wein ist verloren </w:t>
      </w:r>
      <w:r>
        <w:rPr>
          <w:color w:val="808080"/>
        </w:rPr>
        <w:t>(geht verloren)</w:t>
      </w:r>
      <w:r>
        <w:rPr/>
        <w:t xml:space="preserve">, wie auch die Schläuche. </w:t>
      </w:r>
      <w:r>
        <w:rPr>
          <w:rStyle w:val="Funotenanker"/>
        </w:rPr>
        <w:footnoteReference w:customMarkFollows="1" w:id="1301"/>
        <w:t>ay</w:t>
      </w:r>
      <w:r>
        <w:rPr/>
        <w:t xml:space="preserve"> Jungen </w:t>
      </w:r>
      <w:r>
        <w:rPr>
          <w:color w:val="808080"/>
        </w:rPr>
        <w:t>(neuen)</w:t>
      </w:r>
      <w:r>
        <w:rPr/>
        <w:t xml:space="preserve"> Wein </w:t>
      </w:r>
      <w:r>
        <w:rPr>
          <w:b/>
          <w:color w:val="808080"/>
        </w:rPr>
        <w:t>[</w:t>
      </w:r>
      <w:r>
        <w:rPr/>
        <w:t>füllt man</w:t>
      </w:r>
      <w:r>
        <w:rPr>
          <w:b/>
          <w:color w:val="808080"/>
        </w:rPr>
        <w:t>]</w:t>
      </w:r>
      <w:r>
        <w:rPr/>
        <w:t xml:space="preserve"> doch </w:t>
      </w:r>
      <w:r>
        <w:rPr>
          <w:color w:val="808080"/>
        </w:rPr>
        <w:t>(vielmehr)</w:t>
      </w:r>
      <w:r>
        <w:rPr/>
        <w:t xml:space="preserve"> in neue Schläuche.“{{field-off:bible}} </w:t>
        <w:br/>
        <w:t>[[@BibleTOBIBLE:Mk 2:23]]</w:t>
      </w:r>
      <w:r>
        <w:rPr>
          <w:b/>
        </w:rPr>
        <w:t>23</w:t>
      </w:r>
      <w:r>
        <w:rPr/>
        <w:t xml:space="preserve"> {{field-on:bible}} </w:t>
      </w:r>
      <w:r>
        <w:rPr>
          <w:strike/>
          <w:color w:val="808080"/>
        </w:rPr>
        <w:t>{Und es ereignete sich}</w:t>
      </w:r>
      <w:r>
        <w:rPr/>
        <w:t xml:space="preserve"> </w:t>
      </w:r>
      <w:r>
        <w:rPr>
          <w:b/>
          <w:color w:val="808080"/>
        </w:rPr>
        <w:t>[</w:t>
      </w:r>
      <w:r>
        <w:rPr/>
        <w:t>Einmal, als</w:t>
      </w:r>
      <w:r>
        <w:rPr>
          <w:b/>
          <w:color w:val="808080"/>
        </w:rPr>
        <w:t>]</w:t>
      </w:r>
      <w:r>
        <w:rPr/>
        <w:t xml:space="preserve"> </w:t>
      </w:r>
      <w:r>
        <w:rPr>
          <w:rStyle w:val="Funotenanker"/>
        </w:rPr>
        <w:footnoteReference w:customMarkFollows="1" w:id="1302"/>
        <w:t>az</w:t>
      </w:r>
      <w:r>
        <w:rPr/>
        <w:t xml:space="preserve"> er am Sabbat durch die Getreidefelder hindurchging </w:t>
      </w:r>
      <w:r>
        <w:rPr>
          <w:color w:val="808080"/>
        </w:rPr>
        <w:t>(vorbeiging)</w:t>
      </w:r>
      <w:r>
        <w:rPr/>
        <w:t xml:space="preserve">, da fingen seine Jünger an, unterwegs </w:t>
      </w:r>
      <w:r>
        <w:rPr>
          <w:strike/>
          <w:color w:val="808080"/>
        </w:rPr>
        <w:t>{die}</w:t>
      </w:r>
      <w:r>
        <w:rPr/>
        <w:t xml:space="preserve"> Ähren abzurupfen. </w:t>
      </w:r>
      <w:r>
        <w:rPr>
          <w:rStyle w:val="Funotenanker"/>
        </w:rPr>
        <w:footnoteReference w:customMarkFollows="1" w:id="1303"/>
        <w:t>ba</w:t>
      </w:r>
      <w:r>
        <w:rPr/>
        <w:t xml:space="preserve">.{{field-off:bible}} </w:t>
        <w:br/>
        <w:t>[[@BibleTOBIBLE:Mk 2:24]]</w:t>
      </w:r>
      <w:r>
        <w:rPr>
          <w:b/>
        </w:rPr>
        <w:t>24</w:t>
      </w:r>
      <w:r>
        <w:rPr/>
        <w:t xml:space="preserve"> {{field-on:bible}}Und die Pharisäer sagten zu ihm: „Schau </w:t>
      </w:r>
      <w:r>
        <w:rPr>
          <w:color w:val="808080"/>
        </w:rPr>
        <w:t>(siehe)</w:t>
      </w:r>
      <w:r>
        <w:rPr/>
        <w:t xml:space="preserve">, was sie </w:t>
      </w:r>
      <w:r>
        <w:rPr>
          <w:b/>
          <w:color w:val="808080"/>
        </w:rPr>
        <w:t>[</w:t>
      </w:r>
      <w:r>
        <w:rPr/>
        <w:t>an</w:t>
      </w:r>
      <w:r>
        <w:rPr>
          <w:b/>
          <w:color w:val="808080"/>
        </w:rPr>
        <w:t>]</w:t>
      </w:r>
      <w:r>
        <w:rPr/>
        <w:t xml:space="preserve"> einem Sabbat tun: </w:t>
      </w:r>
      <w:r>
        <w:rPr>
          <w:b/>
          <w:color w:val="808080"/>
        </w:rPr>
        <w:t>[</w:t>
      </w:r>
      <w:r>
        <w:rPr/>
        <w:t>etwas</w:t>
      </w:r>
      <w:r>
        <w:rPr>
          <w:b/>
          <w:color w:val="808080"/>
        </w:rPr>
        <w:t>]</w:t>
      </w:r>
      <w:r>
        <w:rPr/>
        <w:t xml:space="preserve">, das nicht erlaubt ist! </w:t>
      </w:r>
      <w:r>
        <w:rPr>
          <w:color w:val="808080"/>
        </w:rPr>
        <w:t xml:space="preserve">(Warum tun sie </w:t>
      </w:r>
      <w:r>
        <w:rPr>
          <w:b/>
          <w:color w:val="808080"/>
        </w:rPr>
        <w:t>[</w:t>
      </w:r>
      <w:r>
        <w:rPr>
          <w:color w:val="808080"/>
        </w:rPr>
        <w:t>an</w:t>
      </w:r>
      <w:r>
        <w:rPr>
          <w:b/>
          <w:color w:val="808080"/>
        </w:rPr>
        <w:t>]</w:t>
      </w:r>
      <w:r>
        <w:rPr>
          <w:color w:val="808080"/>
        </w:rPr>
        <w:t xml:space="preserve"> einem Sabbat, was nicht erlaubt ist?)</w:t>
      </w:r>
      <w:r>
        <w:rPr/>
        <w:t xml:space="preserve">“ </w:t>
      </w:r>
      <w:r>
        <w:rPr>
          <w:rStyle w:val="Funotenanker"/>
        </w:rPr>
        <w:footnoteReference w:customMarkFollows="1" w:id="1304"/>
        <w:t>bb</w:t>
      </w:r>
      <w:r>
        <w:rPr/>
        <w:t xml:space="preserve"> </w:t>
      </w:r>
      <w:r>
        <w:rPr>
          <w:position w:val="8"/>
          <w:sz w:val="19"/>
        </w:rPr>
        <w:t>[[ ℘ &gt;&gt; BibleTOBIBLE:Dt 23:25]]</w:t>
      </w:r>
      <w:r>
        <w:rPr/>
        <w:t xml:space="preserve"> {{field-off:bible}} </w:t>
        <w:br/>
        <w:t>[[@BibleTOBIBLE:Mk 2:25]]</w:t>
      </w:r>
      <w:r>
        <w:rPr>
          <w:b/>
        </w:rPr>
        <w:t>25</w:t>
      </w:r>
      <w:r>
        <w:rPr/>
        <w:t xml:space="preserve"> {{field-on:bible}}Aber </w:t>
      </w:r>
      <w:r>
        <w:rPr>
          <w:color w:val="808080"/>
        </w:rPr>
        <w:t>(und)</w:t>
      </w:r>
      <w:r>
        <w:rPr/>
        <w:t xml:space="preserve"> er erwiderte </w:t>
      </w:r>
      <w:r>
        <w:rPr>
          <w:color w:val="808080"/>
        </w:rPr>
        <w:t>(sagte)</w:t>
      </w:r>
      <w:r>
        <w:rPr/>
        <w:t xml:space="preserve"> </w:t>
      </w:r>
      <w:r>
        <w:rPr>
          <w:strike/>
          <w:color w:val="808080"/>
        </w:rPr>
        <w:t>{zu ihnen}</w:t>
      </w:r>
      <w:r>
        <w:rPr/>
        <w:t xml:space="preserve">: „Habt ihr noch nie gelesen, was David tat, als er in einer Notlage war </w:t>
      </w:r>
      <w:r>
        <w:rPr>
          <w:color w:val="808080"/>
        </w:rPr>
        <w:t>(</w:t>
      </w:r>
      <w:r>
        <w:rPr>
          <w:b/>
          <w:color w:val="808080"/>
        </w:rPr>
        <w:t>[</w:t>
      </w:r>
      <w:r>
        <w:rPr>
          <w:color w:val="808080"/>
        </w:rPr>
        <w:t>nichts zu essen</w:t>
      </w:r>
      <w:r>
        <w:rPr>
          <w:b/>
          <w:color w:val="808080"/>
        </w:rPr>
        <w:t>]</w:t>
      </w:r>
      <w:r>
        <w:rPr>
          <w:color w:val="808080"/>
        </w:rPr>
        <w:t xml:space="preserve"> hatte)</w:t>
      </w:r>
      <w:r>
        <w:rPr/>
        <w:t xml:space="preserve"> </w:t>
      </w:r>
      <w:r>
        <w:rPr>
          <w:rStyle w:val="Funotenanker"/>
        </w:rPr>
        <w:footnoteReference w:customMarkFollows="1" w:id="1305"/>
        <w:t>bc</w:t>
      </w:r>
      <w:r>
        <w:rPr/>
        <w:t xml:space="preserve"> und er und die bei ihm Hunger litten </w:t>
      </w:r>
      <w:r>
        <w:rPr>
          <w:color w:val="808080"/>
        </w:rPr>
        <w:t>(Hunger hatten)</w:t>
      </w:r>
      <w:r>
        <w:rPr/>
        <w:t xml:space="preserve">?{{field-off:bible}} </w:t>
        <w:br/>
        <w:t>[[@BibleTOBIBLE:Mk 2:26]]</w:t>
      </w:r>
      <w:r>
        <w:rPr>
          <w:b/>
        </w:rPr>
        <w:t>26</w:t>
      </w:r>
      <w:r>
        <w:rPr/>
        <w:t xml:space="preserve"> {{field-on:bible}}Wie er zur Zeit des Hohenpriesters Abjatar </w:t>
      </w:r>
      <w:r>
        <w:rPr>
          <w:rStyle w:val="Funotenanker"/>
        </w:rPr>
        <w:footnoteReference w:customMarkFollows="1" w:id="1306"/>
        <w:t>bd</w:t>
      </w:r>
      <w:r>
        <w:rPr/>
        <w:t xml:space="preserve"> in das Haus Gottes ging und die geweihten Brote </w:t>
      </w:r>
      <w:r>
        <w:rPr>
          <w:color w:val="808080"/>
        </w:rPr>
        <w:t>(Schaubrote, ausgestellten Brote)</w:t>
      </w:r>
      <w:r>
        <w:rPr/>
        <w:t xml:space="preserve"> </w:t>
      </w:r>
      <w:r>
        <w:rPr>
          <w:rStyle w:val="Funotenanker"/>
        </w:rPr>
        <w:footnoteReference w:customMarkFollows="1" w:id="1307"/>
        <w:t>be</w:t>
      </w:r>
      <w:r>
        <w:rPr/>
        <w:t xml:space="preserve"> verzehrte, die außer den Priestern niemand essen darf, </w:t>
      </w:r>
      <w:r>
        <w:rPr>
          <w:position w:val="8"/>
          <w:sz w:val="19"/>
        </w:rPr>
        <w:t>[[ ℘ &gt;&gt; BibleTOBIBLE:Le 24:5]]</w:t>
      </w:r>
      <w:r>
        <w:rPr/>
        <w:t xml:space="preserve"> und auch denen, die bei ihm waren, </w:t>
      </w:r>
      <w:r>
        <w:rPr>
          <w:b/>
          <w:color w:val="808080"/>
        </w:rPr>
        <w:t>[</w:t>
      </w:r>
      <w:r>
        <w:rPr/>
        <w:t>etwas davon</w:t>
      </w:r>
      <w:r>
        <w:rPr>
          <w:b/>
          <w:color w:val="808080"/>
        </w:rPr>
        <w:t>]</w:t>
      </w:r>
      <w:r>
        <w:rPr/>
        <w:t xml:space="preserve"> gab?“</w:t>
      </w:r>
      <w:r>
        <w:rPr>
          <w:position w:val="8"/>
          <w:sz w:val="19"/>
        </w:rPr>
        <w:t>[[ ℘ &gt;&gt; BibleTOBIBLE:1Sa 21:2]]</w:t>
      </w:r>
      <w:r>
        <w:rPr/>
        <w:t xml:space="preserve"> {{field-off:bible}} </w:t>
        <w:br/>
        <w:t>[[@BibleTOBIBLE:Mk 2:27]]</w:t>
      </w:r>
      <w:r>
        <w:rPr>
          <w:b/>
        </w:rPr>
        <w:t>27</w:t>
      </w:r>
      <w:r>
        <w:rPr/>
        <w:t xml:space="preserve"> {{field-on:bible}}Und er fügte hinzu </w:t>
      </w:r>
      <w:r>
        <w:rPr>
          <w:color w:val="808080"/>
        </w:rPr>
        <w:t>(sagte)</w:t>
      </w:r>
      <w:r>
        <w:rPr/>
        <w:t xml:space="preserve"> </w:t>
      </w:r>
      <w:r>
        <w:rPr>
          <w:strike/>
          <w:color w:val="808080"/>
        </w:rPr>
        <w:t>{zu ihnen}</w:t>
      </w:r>
      <w:r>
        <w:rPr/>
        <w:t xml:space="preserve">: „Der Sabbat wurde für </w:t>
      </w:r>
      <w:r>
        <w:rPr>
          <w:color w:val="808080"/>
        </w:rPr>
        <w:t>(um … willen)</w:t>
      </w:r>
      <w:r>
        <w:rPr/>
        <w:t xml:space="preserve"> den Menschen geschaffen </w:t>
      </w:r>
      <w:r>
        <w:rPr>
          <w:color w:val="808080"/>
        </w:rPr>
        <w:t>(gemacht)</w:t>
      </w:r>
      <w:r>
        <w:rPr/>
        <w:t xml:space="preserve"> und nicht der Mensch für </w:t>
      </w:r>
      <w:r>
        <w:rPr>
          <w:color w:val="808080"/>
        </w:rPr>
        <w:t>(um … willen)</w:t>
      </w:r>
      <w:r>
        <w:rPr/>
        <w:t xml:space="preserve"> den Sabbat.{{field-off:bible}} </w:t>
        <w:br/>
        <w:t>[[@BibleTOBIBLE:Mk 2:28]]</w:t>
      </w:r>
      <w:r>
        <w:rPr>
          <w:b/>
        </w:rPr>
        <w:t>28</w:t>
      </w:r>
      <w:r>
        <w:rPr/>
        <w:t xml:space="preserve"> {{field-on:bible}}Also </w:t>
      </w:r>
      <w:r>
        <w:rPr>
          <w:color w:val="808080"/>
        </w:rPr>
        <w:t>(Daher, sodass)</w:t>
      </w:r>
      <w:r>
        <w:rPr/>
        <w:t xml:space="preserve"> ist der Menschensohn </w:t>
      </w:r>
      <w:r>
        <w:rPr>
          <w:color w:val="808080"/>
        </w:rPr>
        <w:t>(Sohn des Menschen; Mensch)</w:t>
      </w:r>
      <w:r>
        <w:rPr/>
        <w:t xml:space="preserve"> </w:t>
      </w:r>
      <w:r>
        <w:rPr>
          <w:rStyle w:val="Funotenanker"/>
        </w:rPr>
        <w:footnoteReference w:customMarkFollows="1" w:id="1308"/>
        <w:t>bf</w:t>
      </w:r>
      <w:r>
        <w:rPr/>
        <w:t xml:space="preserve"> Herr sogar </w:t>
      </w:r>
      <w:r>
        <w:rPr>
          <w:color w:val="808080"/>
        </w:rPr>
        <w:t>(selbst, auch)</w:t>
      </w:r>
      <w:r>
        <w:rPr/>
        <w:t xml:space="preserve"> </w:t>
      </w:r>
      <w:r>
        <w:rPr>
          <w:b/>
          <w:color w:val="808080"/>
        </w:rPr>
        <w:t>[</w:t>
      </w:r>
      <w:r>
        <w:rPr/>
        <w:t>über</w:t>
      </w:r>
      <w:r>
        <w:rPr>
          <w:b/>
          <w:color w:val="808080"/>
        </w:rPr>
        <w:t>]</w:t>
      </w:r>
      <w:r>
        <w:rPr/>
        <w:t xml:space="preserve"> den Sabbat </w:t>
      </w:r>
      <w:r>
        <w:rPr>
          <w:rStyle w:val="Funotenanker"/>
        </w:rPr>
        <w:footnoteReference w:customMarkFollows="1" w:id="1309"/>
        <w:t>bg</w:t>
      </w:r>
      <w:r>
        <w:rPr/>
        <w:t xml:space="preserve">.“{{field-off:bible}} </w:t>
      </w:r>
    </w:p>
    <w:p>
      <w:pPr>
        <w:pStyle w:val="Berschrift3"/>
        <w:rPr/>
      </w:pPr>
      <w:r>
        <w:rPr/>
        <w:t>[[@BibleTOBIBLE:Mk 3]]Kapitel 3</w:t>
      </w:r>
    </w:p>
    <w:p>
      <w:pPr>
        <w:pStyle w:val="Textkrper"/>
        <w:rPr/>
      </w:pPr>
      <w:r>
        <w:rPr/>
        <w:br/>
        <w:t>[[@BibleTOBIBLE:Mk 3:1]]</w:t>
      </w:r>
      <w:r>
        <w:rPr>
          <w:b/>
        </w:rPr>
        <w:t>1</w:t>
      </w:r>
      <w:r>
        <w:rPr/>
        <w:t xml:space="preserve"> {{field-on:bible}} </w:t>
      </w:r>
      <w:r>
        <w:rPr>
          <w:rStyle w:val="Funotenanker"/>
        </w:rPr>
        <w:footnoteReference w:customMarkFollows="1" w:id="1310"/>
        <w:t>Status</w:t>
      </w:r>
      <w:r>
        <w:rPr/>
        <w:t xml:space="preserve"> Und er ging wieder einmal in die Synagoge. Und dort war ein Mann, der eine verkrüppelte </w:t>
      </w:r>
      <w:r>
        <w:rPr>
          <w:color w:val="808080"/>
        </w:rPr>
        <w:t>(gelähmte)</w:t>
      </w:r>
      <w:r>
        <w:rPr/>
        <w:t xml:space="preserve"> </w:t>
      </w:r>
      <w:r>
        <w:rPr>
          <w:rStyle w:val="Funotenanker"/>
        </w:rPr>
        <w:footnoteReference w:customMarkFollows="1" w:id="1311"/>
        <w:t>a</w:t>
      </w:r>
      <w:r>
        <w:rPr/>
        <w:t xml:space="preserve"> Hand hatte. </w:t>
      </w:r>
      <w:r>
        <w:rPr>
          <w:rStyle w:val="Funotenanker"/>
        </w:rPr>
        <w:footnoteReference w:customMarkFollows="1" w:id="1312"/>
        <w:t>b</w:t>
      </w:r>
      <w:r>
        <w:rPr/>
        <w:t xml:space="preserve"> {{field-off:bible}} </w:t>
        <w:br/>
        <w:t>[[@BibleTOBIBLE:Mk 3:2]]</w:t>
      </w:r>
      <w:r>
        <w:rPr>
          <w:b/>
        </w:rPr>
        <w:t>2</w:t>
      </w:r>
      <w:r>
        <w:rPr/>
        <w:t xml:space="preserve"> {{field-on:bible}}Und sie achteten </w:t>
      </w:r>
      <w:r>
        <w:rPr>
          <w:color w:val="808080"/>
        </w:rPr>
        <w:t>(man achtete, sie lauerten)</w:t>
      </w:r>
      <w:r>
        <w:rPr/>
        <w:t xml:space="preserve"> genau </w:t>
      </w:r>
      <w:r>
        <w:rPr>
          <w:rStyle w:val="Funotenanker"/>
        </w:rPr>
        <w:footnoteReference w:customMarkFollows="1" w:id="1313"/>
        <w:t>c</w:t>
      </w:r>
      <w:r>
        <w:rPr/>
        <w:t xml:space="preserve"> darauf, ob er ihn </w:t>
      </w:r>
      <w:r>
        <w:rPr>
          <w:b/>
          <w:color w:val="808080"/>
        </w:rPr>
        <w:t>[</w:t>
      </w:r>
      <w:r>
        <w:rPr/>
        <w:t>am</w:t>
      </w:r>
      <w:r>
        <w:rPr>
          <w:b/>
          <w:color w:val="808080"/>
        </w:rPr>
        <w:t>]</w:t>
      </w:r>
      <w:r>
        <w:rPr/>
        <w:t xml:space="preserve"> Sabbat </w:t>
      </w:r>
      <w:r>
        <w:rPr>
          <w:rStyle w:val="Funotenanker"/>
        </w:rPr>
        <w:footnoteReference w:customMarkFollows="1" w:id="1314"/>
        <w:t>d</w:t>
      </w:r>
      <w:r>
        <w:rPr/>
        <w:t xml:space="preserve"> heilen würde, um gegen ihn Anklage erheben </w:t>
      </w:r>
      <w:r>
        <w:rPr>
          <w:color w:val="808080"/>
        </w:rPr>
        <w:t>(um ihn anzuklagen)</w:t>
      </w:r>
      <w:r>
        <w:rPr/>
        <w:t xml:space="preserve"> </w:t>
      </w:r>
      <w:r>
        <w:rPr>
          <w:b/>
          <w:color w:val="808080"/>
        </w:rPr>
        <w:t>[</w:t>
      </w:r>
      <w:r>
        <w:rPr/>
        <w:t>zu können</w:t>
      </w:r>
      <w:r>
        <w:rPr>
          <w:b/>
          <w:color w:val="808080"/>
        </w:rPr>
        <w:t>]</w:t>
      </w:r>
      <w:r>
        <w:rPr/>
        <w:t xml:space="preserve">.{{field-off:bible}} </w:t>
        <w:br/>
        <w:t>[[@BibleTOBIBLE:Mk 3:3]]</w:t>
      </w:r>
      <w:r>
        <w:rPr>
          <w:b/>
        </w:rPr>
        <w:t>3</w:t>
      </w:r>
      <w:r>
        <w:rPr/>
        <w:t xml:space="preserve"> {{field-on:bible}}Und er sagte </w:t>
      </w:r>
      <w:r>
        <w:rPr>
          <w:rStyle w:val="Funotenanker"/>
        </w:rPr>
        <w:footnoteReference w:customMarkFollows="1" w:id="1315"/>
        <w:t>e</w:t>
      </w:r>
      <w:r>
        <w:rPr/>
        <w:t xml:space="preserve"> zu dem Mann mit der verkümmerten </w:t>
      </w:r>
      <w:r>
        <w:rPr>
          <w:color w:val="808080"/>
        </w:rPr>
        <w:t>(gelähmten, verdorrten)</w:t>
      </w:r>
      <w:r>
        <w:rPr/>
        <w:t xml:space="preserve"> Hand </w:t>
      </w:r>
      <w:r>
        <w:rPr>
          <w:rStyle w:val="Funotenanker"/>
        </w:rPr>
        <w:footnoteReference w:customMarkFollows="1" w:id="1316"/>
        <w:t>f</w:t>
      </w:r>
      <w:r>
        <w:rPr/>
        <w:t xml:space="preserve">: „Komm </w:t>
      </w:r>
      <w:r>
        <w:rPr>
          <w:color w:val="808080"/>
        </w:rPr>
        <w:t>(Steh auf)</w:t>
      </w:r>
      <w:r>
        <w:rPr/>
        <w:t xml:space="preserve"> </w:t>
      </w:r>
      <w:r>
        <w:rPr>
          <w:rStyle w:val="Funotenanker"/>
        </w:rPr>
        <w:footnoteReference w:customMarkFollows="1" w:id="1317"/>
        <w:t>g</w:t>
      </w:r>
      <w:r>
        <w:rPr/>
        <w:t xml:space="preserve"> in die Mitte!“{{field-off:bible}} </w:t>
        <w:br/>
        <w:t>[[@BibleTOBIBLE:Mk 3:4]]</w:t>
      </w:r>
      <w:r>
        <w:rPr>
          <w:b/>
        </w:rPr>
        <w:t>4</w:t>
      </w:r>
      <w:r>
        <w:rPr/>
        <w:t xml:space="preserve"> {{field-on:bible}}Und er fragte </w:t>
      </w:r>
      <w:r>
        <w:rPr>
          <w:color w:val="808080"/>
        </w:rPr>
        <w:t>(sagte)</w:t>
      </w:r>
      <w:r>
        <w:rPr/>
        <w:t xml:space="preserve"> </w:t>
      </w:r>
      <w:r>
        <w:rPr>
          <w:rStyle w:val="Funotenanker"/>
        </w:rPr>
        <w:footnoteReference w:customMarkFollows="1" w:id="1318"/>
        <w:t>h</w:t>
      </w:r>
      <w:r>
        <w:rPr/>
        <w:t xml:space="preserve"> sie </w:t>
      </w:r>
      <w:r>
        <w:rPr>
          <w:color w:val="808080"/>
        </w:rPr>
        <w:t>(zu ihnen)</w:t>
      </w:r>
      <w:r>
        <w:rPr/>
        <w:t xml:space="preserve">: „Ist es richtig </w:t>
      </w:r>
      <w:r>
        <w:rPr>
          <w:color w:val="808080"/>
        </w:rPr>
        <w:t>(erlaubt)</w:t>
      </w:r>
      <w:r>
        <w:rPr/>
        <w:t xml:space="preserve">, </w:t>
      </w:r>
      <w:r>
        <w:rPr>
          <w:b/>
          <w:color w:val="808080"/>
        </w:rPr>
        <w:t>[</w:t>
      </w:r>
      <w:r>
        <w:rPr/>
        <w:t>am</w:t>
      </w:r>
      <w:r>
        <w:rPr>
          <w:b/>
          <w:color w:val="808080"/>
        </w:rPr>
        <w:t>]</w:t>
      </w:r>
      <w:r>
        <w:rPr/>
        <w:t xml:space="preserve"> Sabbat </w:t>
      </w:r>
      <w:r>
        <w:rPr>
          <w:rStyle w:val="Funotenanker"/>
        </w:rPr>
        <w:footnoteReference w:customMarkFollows="1" w:id="1319"/>
        <w:t>i</w:t>
      </w:r>
      <w:r>
        <w:rPr/>
        <w:t xml:space="preserve"> Gutes zu tun oder Schlechtes zu tun? Leben zu retten oder zu töten?“ Aber sie schwiegen </w:t>
      </w:r>
      <w:r>
        <w:rPr>
          <w:color w:val="808080"/>
        </w:rPr>
        <w:t>(sagten nichts)</w:t>
      </w:r>
      <w:r>
        <w:rPr/>
        <w:t xml:space="preserve">.{{field-off:bible}} </w:t>
        <w:br/>
        <w:t>[[@BibleTOBIBLE:Mk 3:5]]</w:t>
      </w:r>
      <w:r>
        <w:rPr>
          <w:b/>
        </w:rPr>
        <w:t>5</w:t>
      </w:r>
      <w:r>
        <w:rPr/>
        <w:t xml:space="preserve"> {{field-on:bible}}Da </w:t>
      </w:r>
      <w:r>
        <w:rPr>
          <w:color w:val="808080"/>
        </w:rPr>
        <w:t>(Und)</w:t>
      </w:r>
      <w:r>
        <w:rPr/>
        <w:t xml:space="preserve"> blickte </w:t>
      </w:r>
      <w:r>
        <w:rPr>
          <w:color w:val="808080"/>
        </w:rPr>
        <w:t>(schaute)</w:t>
      </w:r>
      <w:r>
        <w:rPr/>
        <w:t xml:space="preserve"> er sie voll Zorn </w:t>
      </w:r>
      <w:r>
        <w:rPr>
          <w:color w:val="808080"/>
        </w:rPr>
        <w:t>(zornig)</w:t>
      </w:r>
      <w:r>
        <w:rPr/>
        <w:t xml:space="preserve"> </w:t>
      </w:r>
      <w:r>
        <w:rPr>
          <w:rStyle w:val="Funotenanker"/>
        </w:rPr>
        <w:footnoteReference w:customMarkFollows="1" w:id="1320"/>
        <w:t>j</w:t>
      </w:r>
      <w:r>
        <w:rPr/>
        <w:t xml:space="preserve"> alle der Reihe nach </w:t>
      </w:r>
      <w:r>
        <w:rPr>
          <w:color w:val="808080"/>
        </w:rPr>
        <w:t>(ringsum)</w:t>
      </w:r>
      <w:r>
        <w:rPr/>
        <w:t xml:space="preserve"> an. </w:t>
      </w:r>
      <w:r>
        <w:rPr>
          <w:rStyle w:val="Funotenanker"/>
        </w:rPr>
        <w:footnoteReference w:customMarkFollows="1" w:id="1321"/>
        <w:t>k</w:t>
      </w:r>
      <w:r>
        <w:rPr/>
        <w:t xml:space="preserve"> Tief betrübt </w:t>
      </w:r>
      <w:r>
        <w:rPr>
          <w:color w:val="808080"/>
        </w:rPr>
        <w:t>(voller Mitleid)</w:t>
      </w:r>
      <w:r>
        <w:rPr/>
        <w:t xml:space="preserve"> über die Verstockung </w:t>
      </w:r>
      <w:r>
        <w:rPr>
          <w:color w:val="808080"/>
        </w:rPr>
        <w:t>(Sturheit, Härte)</w:t>
      </w:r>
      <w:r>
        <w:rPr/>
        <w:t xml:space="preserve"> </w:t>
      </w:r>
      <w:r>
        <w:rPr>
          <w:rStyle w:val="Funotenanker"/>
        </w:rPr>
        <w:footnoteReference w:customMarkFollows="1" w:id="1322"/>
        <w:t>l</w:t>
      </w:r>
      <w:r>
        <w:rPr/>
        <w:t xml:space="preserve"> ihrer Herzen </w:t>
      </w:r>
      <w:r>
        <w:rPr>
          <w:rStyle w:val="Funotenanker"/>
        </w:rPr>
        <w:footnoteReference w:customMarkFollows="1" w:id="1323"/>
        <w:t>m</w:t>
      </w:r>
      <w:r>
        <w:rPr/>
        <w:t xml:space="preserve"> , sagte er zu dem Mann: „Strecke die Hand aus!“ Und </w:t>
      </w:r>
      <w:r>
        <w:rPr>
          <w:color w:val="808080"/>
        </w:rPr>
        <w:t>(Da)</w:t>
      </w:r>
      <w:r>
        <w:rPr/>
        <w:t xml:space="preserve"> er streckte </w:t>
      </w:r>
      <w:r>
        <w:rPr>
          <w:b/>
          <w:color w:val="808080"/>
        </w:rPr>
        <w:t>[</w:t>
      </w:r>
      <w:r>
        <w:rPr/>
        <w:t>sie</w:t>
      </w:r>
      <w:r>
        <w:rPr>
          <w:b/>
          <w:color w:val="808080"/>
        </w:rPr>
        <w:t>]</w:t>
      </w:r>
      <w:r>
        <w:rPr/>
        <w:t xml:space="preserve"> aus und seine Hand wurde wieder gesund </w:t>
      </w:r>
      <w:r>
        <w:rPr>
          <w:color w:val="808080"/>
        </w:rPr>
        <w:t>(wiederhergestellt)</w:t>
      </w:r>
      <w:r>
        <w:rPr/>
        <w:t xml:space="preserve">.{{field-off:bible}} </w:t>
        <w:br/>
        <w:t>[[@BibleTOBIBLE:Mk 3:6]]</w:t>
      </w:r>
      <w:r>
        <w:rPr>
          <w:b/>
        </w:rPr>
        <w:t>6</w:t>
      </w:r>
      <w:r>
        <w:rPr/>
        <w:t xml:space="preserve"> {{field-on:bible}}Und </w:t>
      </w:r>
      <w:r>
        <w:rPr>
          <w:color w:val="808080"/>
        </w:rPr>
        <w:t>(Doch)</w:t>
      </w:r>
      <w:r>
        <w:rPr/>
        <w:t xml:space="preserve"> sobald die Phärisäer hinausgegangen waren, </w:t>
      </w:r>
      <w:r>
        <w:rPr>
          <w:rStyle w:val="Funotenanker"/>
        </w:rPr>
        <w:footnoteReference w:customMarkFollows="1" w:id="1324"/>
        <w:t>n</w:t>
      </w:r>
      <w:r>
        <w:rPr/>
        <w:t xml:space="preserve"> fassten sie unverzüglich ihn betreffende </w:t>
      </w:r>
      <w:r>
        <w:rPr>
          <w:color w:val="808080"/>
        </w:rPr>
        <w:t>(gegen/über ihn)</w:t>
      </w:r>
      <w:r>
        <w:rPr/>
        <w:t xml:space="preserve"> Pläne </w:t>
      </w:r>
      <w:r>
        <w:rPr>
          <w:color w:val="808080"/>
        </w:rPr>
        <w:t>(den Beschluss, berieten)</w:t>
      </w:r>
      <w:r>
        <w:rPr/>
        <w:t xml:space="preserve"> </w:t>
      </w:r>
      <w:r>
        <w:rPr>
          <w:rStyle w:val="Funotenanker"/>
        </w:rPr>
        <w:footnoteReference w:customMarkFollows="1" w:id="1325"/>
        <w:t>o</w:t>
      </w:r>
      <w:r>
        <w:rPr/>
        <w:t xml:space="preserve"> mit den Herodianern </w:t>
      </w:r>
      <w:r>
        <w:rPr>
          <w:color w:val="808080"/>
        </w:rPr>
        <w:t>(Anhängern von Herodes)</w:t>
      </w:r>
      <w:r>
        <w:rPr/>
        <w:t xml:space="preserve">, wie sie ihn beseitigen </w:t>
      </w:r>
      <w:r>
        <w:rPr>
          <w:color w:val="808080"/>
        </w:rPr>
        <w:t>(zerstören, töten, aus dem Weg räumen, loswerden)</w:t>
      </w:r>
      <w:r>
        <w:rPr/>
        <w:t xml:space="preserve"> </w:t>
      </w:r>
      <w:r>
        <w:rPr>
          <w:b/>
          <w:color w:val="808080"/>
        </w:rPr>
        <w:t>[</w:t>
      </w:r>
      <w:r>
        <w:rPr/>
        <w:t>könnten</w:t>
      </w:r>
      <w:r>
        <w:rPr>
          <w:b/>
          <w:color w:val="808080"/>
        </w:rPr>
        <w:t>]</w:t>
      </w:r>
      <w:r>
        <w:rPr/>
        <w:t xml:space="preserve">.{{field-off:bible}} </w:t>
        <w:br/>
        <w:t>[[@BibleTOBIBLE:Mk 3:7]]</w:t>
      </w:r>
      <w:r>
        <w:rPr>
          <w:b/>
        </w:rPr>
        <w:t>7</w:t>
      </w:r>
      <w:r>
        <w:rPr/>
        <w:t xml:space="preserve"> {{field-on:bible}}Und </w:t>
      </w:r>
      <w:r>
        <w:rPr>
          <w:color w:val="808080"/>
        </w:rPr>
        <w:t>(Daraufhin)</w:t>
      </w:r>
      <w:r>
        <w:rPr/>
        <w:t xml:space="preserve"> Jesus zog sich mit seinen Jüngern zum Meer </w:t>
      </w:r>
      <w:r>
        <w:rPr>
          <w:color w:val="808080"/>
        </w:rPr>
        <w:t>(See)</w:t>
      </w:r>
      <w:r>
        <w:rPr/>
        <w:t xml:space="preserve"> </w:t>
      </w:r>
      <w:r>
        <w:rPr>
          <w:rStyle w:val="Funotenanker"/>
        </w:rPr>
        <w:footnoteReference w:customMarkFollows="1" w:id="1326"/>
        <w:t>p</w:t>
      </w:r>
      <w:r>
        <w:rPr/>
        <w:t xml:space="preserve"> zurück, und eine große Menge aus Galiläa folgte </w:t>
      </w:r>
      <w:r>
        <w:rPr>
          <w:b/>
          <w:color w:val="808080"/>
        </w:rPr>
        <w:t>[</w:t>
      </w:r>
      <w:r>
        <w:rPr/>
        <w:t>ihnen</w:t>
      </w:r>
      <w:r>
        <w:rPr>
          <w:b/>
          <w:color w:val="808080"/>
        </w:rPr>
        <w:t>]</w:t>
      </w:r>
      <w:r>
        <w:rPr/>
        <w:t xml:space="preserve">, auch </w:t>
      </w:r>
      <w:r>
        <w:rPr>
          <w:color w:val="808080"/>
        </w:rPr>
        <w:t>(und)</w:t>
      </w:r>
      <w:r>
        <w:rPr/>
        <w:t xml:space="preserve"> aus Judäa, </w:t>
      </w:r>
      <w:r>
        <w:rPr>
          <w:rStyle w:val="Funotenanker"/>
        </w:rPr>
        <w:footnoteReference w:customMarkFollows="1" w:id="1327"/>
        <w:t>q</w:t>
      </w:r>
      <w:r>
        <w:rPr/>
        <w:t xml:space="preserve"> {{field-off:bible}} </w:t>
        <w:br/>
        <w:t>[[@BibleTOBIBLE:Mk 3:8]]</w:t>
      </w:r>
      <w:r>
        <w:rPr>
          <w:b/>
        </w:rPr>
        <w:t>8</w:t>
      </w:r>
      <w:r>
        <w:rPr/>
        <w:t xml:space="preserve"> {{field-on:bible}} </w:t>
      </w:r>
      <w:r>
        <w:rPr>
          <w:strike/>
          <w:color w:val="808080"/>
        </w:rPr>
        <w:t>{und aus}</w:t>
      </w:r>
      <w:r>
        <w:rPr/>
        <w:t xml:space="preserve"> Jerusalem, </w:t>
      </w:r>
      <w:r>
        <w:rPr>
          <w:strike/>
          <w:color w:val="808080"/>
        </w:rPr>
        <w:t>{und aus}</w:t>
      </w:r>
      <w:r>
        <w:rPr/>
        <w:t xml:space="preserve"> Idumäa und </w:t>
      </w:r>
      <w:r>
        <w:rPr>
          <w:b/>
          <w:color w:val="808080"/>
        </w:rPr>
        <w:t>[</w:t>
      </w:r>
      <w:r>
        <w:rPr/>
        <w:t>dem Land</w:t>
      </w:r>
      <w:r>
        <w:rPr>
          <w:b/>
          <w:color w:val="808080"/>
        </w:rPr>
        <w:t>]</w:t>
      </w:r>
      <w:r>
        <w:rPr/>
        <w:t xml:space="preserve"> jenseits des Jordans, sowie der </w:t>
      </w:r>
      <w:r>
        <w:rPr>
          <w:b/>
          <w:color w:val="808080"/>
        </w:rPr>
        <w:t>[</w:t>
      </w:r>
      <w:r>
        <w:rPr/>
        <w:t>Gegend</w:t>
      </w:r>
      <w:r>
        <w:rPr>
          <w:b/>
          <w:color w:val="808080"/>
        </w:rPr>
        <w:t>]</w:t>
      </w:r>
      <w:r>
        <w:rPr/>
        <w:t xml:space="preserve"> um Tyrus und Sidon kam </w:t>
      </w:r>
      <w:r>
        <w:rPr>
          <w:rStyle w:val="Funotenanker"/>
        </w:rPr>
        <w:footnoteReference w:customMarkFollows="1" w:id="1328"/>
        <w:t>r</w:t>
      </w:r>
      <w:r>
        <w:rPr/>
        <w:t xml:space="preserve"> eine große Menge zu ihm, die </w:t>
      </w:r>
      <w:r>
        <w:rPr>
          <w:color w:val="808080"/>
        </w:rPr>
        <w:t>(weil/als sie)</w:t>
      </w:r>
      <w:r>
        <w:rPr/>
        <w:t xml:space="preserve"> hörten, </w:t>
      </w:r>
      <w:r>
        <w:rPr>
          <w:rStyle w:val="Funotenanker"/>
        </w:rPr>
        <w:footnoteReference w:customMarkFollows="1" w:id="1329"/>
        <w:t>s</w:t>
      </w:r>
      <w:r>
        <w:rPr/>
        <w:t xml:space="preserve"> was </w:t>
      </w:r>
      <w:r>
        <w:rPr>
          <w:color w:val="808080"/>
        </w:rPr>
        <w:t>(</w:t>
      </w:r>
      <w:r>
        <w:rPr>
          <w:b/>
          <w:color w:val="808080"/>
        </w:rPr>
        <w:t>[</w:t>
      </w:r>
      <w:r>
        <w:rPr>
          <w:color w:val="808080"/>
        </w:rPr>
        <w:t>alles</w:t>
      </w:r>
      <w:r>
        <w:rPr>
          <w:b/>
          <w:color w:val="808080"/>
        </w:rPr>
        <w:t>]</w:t>
      </w:r>
      <w:r>
        <w:rPr>
          <w:color w:val="808080"/>
        </w:rPr>
        <w:t>, das; wie viel)</w:t>
      </w:r>
      <w:r>
        <w:rPr/>
        <w:t xml:space="preserve"> er tat.{{field-off:bible}} </w:t>
        <w:br/>
        <w:t>[[@BibleTOBIBLE:Mk 3:9]]</w:t>
      </w:r>
      <w:r>
        <w:rPr>
          <w:b/>
        </w:rPr>
        <w:t>9</w:t>
      </w:r>
      <w:r>
        <w:rPr/>
        <w:t xml:space="preserve"> {{field-on:bible}}Und er sprach zu seinen Jüngern, damit ihm wegen der Menschenmenge ein kleines Boot bereitstehen würde, damit sie ihn nicht erdrückten,{{field-off:bible}} </w:t>
        <w:br/>
        <w:t>[[@BibleTOBIBLE:Mk 3:10]]</w:t>
      </w:r>
      <w:r>
        <w:rPr>
          <w:b/>
        </w:rPr>
        <w:t>10</w:t>
      </w:r>
      <w:r>
        <w:rPr/>
        <w:t xml:space="preserve"> {{field-on:bible}}denn er heilte </w:t>
      </w:r>
      <w:r>
        <w:rPr>
          <w:color w:val="808080"/>
        </w:rPr>
        <w:t>(hatte geheilt)</w:t>
      </w:r>
      <w:r>
        <w:rPr/>
        <w:t xml:space="preserve"> </w:t>
      </w:r>
      <w:r>
        <w:rPr>
          <w:rStyle w:val="Funotenanker"/>
        </w:rPr>
        <w:footnoteReference w:customMarkFollows="1" w:id="1330"/>
        <w:t>t</w:t>
      </w:r>
      <w:r>
        <w:rPr/>
        <w:t xml:space="preserve"> so viele, dass sich diejenigen </w:t>
      </w:r>
      <w:r>
        <w:rPr>
          <w:color w:val="808080"/>
        </w:rPr>
        <w:t>(</w:t>
      </w:r>
      <w:r>
        <w:rPr>
          <w:b/>
          <w:color w:val="808080"/>
        </w:rPr>
        <w:t>[</w:t>
      </w:r>
      <w:r>
        <w:rPr>
          <w:color w:val="808080"/>
        </w:rPr>
        <w:t>alle</w:t>
      </w:r>
      <w:r>
        <w:rPr>
          <w:b/>
          <w:color w:val="808080"/>
        </w:rPr>
        <w:t>]</w:t>
      </w:r>
      <w:r>
        <w:rPr>
          <w:color w:val="808080"/>
        </w:rPr>
        <w:t>, solche)</w:t>
      </w:r>
      <w:r>
        <w:rPr/>
        <w:t xml:space="preserve">, die Leiden </w:t>
      </w:r>
      <w:r>
        <w:rPr>
          <w:color w:val="808080"/>
        </w:rPr>
        <w:t>(Qualen)</w:t>
      </w:r>
      <w:r>
        <w:rPr/>
        <w:t xml:space="preserve"> hatten, </w:t>
      </w:r>
      <w:r>
        <w:rPr>
          <w:rStyle w:val="Funotenanker"/>
        </w:rPr>
        <w:footnoteReference w:customMarkFollows="1" w:id="1331"/>
        <w:t>u</w:t>
      </w:r>
      <w:r>
        <w:rPr/>
        <w:t xml:space="preserve"> sich um ihn drängten </w:t>
      </w:r>
      <w:r>
        <w:rPr>
          <w:color w:val="808080"/>
        </w:rPr>
        <w:t>(sich auf ihn stürzten)</w:t>
      </w:r>
      <w:r>
        <w:rPr/>
        <w:t xml:space="preserve">, um ihn zu berühren.{{field-off:bible}} </w:t>
        <w:br/>
        <w:t>[[@BibleTOBIBLE:Mk 3:11]]</w:t>
      </w:r>
      <w:r>
        <w:rPr>
          <w:b/>
        </w:rPr>
        <w:t>11</w:t>
      </w:r>
      <w:r>
        <w:rPr/>
        <w:t xml:space="preserve"> {{field-on:bible}}Und die unreinen Geister fielen vor ihm nieder, sobald sie ihn sahen, und schrien </w:t>
      </w:r>
      <w:r>
        <w:rPr>
          <w:strike/>
          <w:color w:val="808080"/>
        </w:rPr>
        <w:t>{und sagten}</w:t>
      </w:r>
      <w:r>
        <w:rPr/>
        <w:t xml:space="preserve"> </w:t>
      </w:r>
      <w:r>
        <w:rPr>
          <w:rStyle w:val="Funotenanker"/>
        </w:rPr>
        <w:footnoteReference w:customMarkFollows="1" w:id="1332"/>
        <w:t>v</w:t>
      </w:r>
      <w:r>
        <w:rPr/>
        <w:t xml:space="preserve"> </w:t>
      </w:r>
      <w:r>
        <w:rPr>
          <w:strike/>
          <w:color w:val="808080"/>
        </w:rPr>
        <w:t>{dass}</w:t>
      </w:r>
      <w:r>
        <w:rPr/>
        <w:t xml:space="preserve"> </w:t>
      </w:r>
      <w:r>
        <w:rPr>
          <w:rStyle w:val="Funotenanker"/>
        </w:rPr>
        <w:footnoteReference w:customMarkFollows="1" w:id="1333"/>
        <w:t>w</w:t>
      </w:r>
      <w:r>
        <w:rPr/>
        <w:t xml:space="preserve">: „Du bist der Sohn Gottes!“{{field-off:bible}} </w:t>
        <w:br/>
        <w:t>[[@BibleTOBIBLE:Mk 3:12]]</w:t>
      </w:r>
      <w:r>
        <w:rPr>
          <w:b/>
        </w:rPr>
        <w:t>12</w:t>
      </w:r>
      <w:r>
        <w:rPr/>
        <w:t xml:space="preserve"> {{field-on:bible}}Und er drohte </w:t>
      </w:r>
      <w:r>
        <w:rPr>
          <w:color w:val="808080"/>
        </w:rPr>
        <w:t>(befahl, wies an)</w:t>
      </w:r>
      <w:r>
        <w:rPr/>
        <w:t xml:space="preserve"> ihnen nachdrücklich </w:t>
      </w:r>
      <w:r>
        <w:rPr>
          <w:color w:val="808080"/>
        </w:rPr>
        <w:t>(streng)</w:t>
      </w:r>
      <w:r>
        <w:rPr/>
        <w:t xml:space="preserve">, damit sie ihn nicht bekannt machten. </w:t>
      </w:r>
      <w:r>
        <w:rPr>
          <w:rStyle w:val="Funotenanker"/>
        </w:rPr>
        <w:footnoteReference w:customMarkFollows="1" w:id="1334"/>
        <w:t>x</w:t>
      </w:r>
      <w:r>
        <w:rPr/>
        <w:t xml:space="preserve"> {{field-off:bible}} </w:t>
        <w:br/>
        <w:t>[[@BibleTOBIBLE:Mk 3:13]]</w:t>
      </w:r>
      <w:r>
        <w:rPr>
          <w:b/>
        </w:rPr>
        <w:t>13</w:t>
      </w:r>
      <w:r>
        <w:rPr/>
        <w:t xml:space="preserve"> {{field-on:bible}}Dann </w:t>
      </w:r>
      <w:r>
        <w:rPr>
          <w:color w:val="808080"/>
        </w:rPr>
        <w:t>(Und)</w:t>
      </w:r>
      <w:r>
        <w:rPr/>
        <w:t xml:space="preserve"> stieg er auf den Berg und rief </w:t>
      </w:r>
      <w:r>
        <w:rPr>
          <w:rStyle w:val="Funotenanker"/>
        </w:rPr>
        <w:footnoteReference w:customMarkFollows="1" w:id="1335"/>
        <w:t>y</w:t>
      </w:r>
      <w:r>
        <w:rPr/>
        <w:t xml:space="preserve"> diejenigen zu sich, die er selbst sich ausgesucht hatte </w:t>
      </w:r>
      <w:r>
        <w:rPr>
          <w:rStyle w:val="Funotenanker"/>
        </w:rPr>
        <w:footnoteReference w:customMarkFollows="1" w:id="1336"/>
        <w:t>z</w:t>
      </w:r>
      <w:r>
        <w:rPr/>
        <w:t xml:space="preserve">; und sie kamen zu ihm </w:t>
      </w:r>
      <w:r>
        <w:rPr>
          <w:rStyle w:val="Funotenanker"/>
        </w:rPr>
        <w:footnoteReference w:customMarkFollows="1" w:id="1337"/>
        <w:t>aa</w:t>
      </w:r>
      <w:r>
        <w:rPr/>
        <w:t xml:space="preserve">.{{field-off:bible}} </w:t>
        <w:br/>
        <w:t>[[@BibleTOBIBLE:Mk 3:14]]</w:t>
      </w:r>
      <w:r>
        <w:rPr>
          <w:b/>
        </w:rPr>
        <w:t>14</w:t>
      </w:r>
      <w:r>
        <w:rPr/>
        <w:t xml:space="preserve"> {{field-on:bible}}Und er bestimmte </w:t>
      </w:r>
      <w:r>
        <w:rPr>
          <w:color w:val="808080"/>
        </w:rPr>
        <w:t>(berief, setzte ein)</w:t>
      </w:r>
      <w:r>
        <w:rPr/>
        <w:t xml:space="preserve"> </w:t>
      </w:r>
      <w:r>
        <w:rPr>
          <w:rStyle w:val="Funotenanker"/>
        </w:rPr>
        <w:footnoteReference w:customMarkFollows="1" w:id="1338"/>
        <w:t>ab</w:t>
      </w:r>
      <w:r>
        <w:rPr/>
        <w:t xml:space="preserve"> zwölf, die er bei sich haben und die er aussenden </w:t>
      </w:r>
      <w:r>
        <w:rPr>
          <w:b/>
          <w:color w:val="808080"/>
        </w:rPr>
        <w:t>[</w:t>
      </w:r>
      <w:r>
        <w:rPr/>
        <w:t>wollte</w:t>
      </w:r>
      <w:r>
        <w:rPr>
          <w:b/>
          <w:color w:val="808080"/>
        </w:rPr>
        <w:t>]</w:t>
      </w:r>
      <w:r>
        <w:rPr/>
        <w:t xml:space="preserve">, </w:t>
      </w:r>
      <w:r>
        <w:rPr>
          <w:rStyle w:val="Funotenanker"/>
        </w:rPr>
        <w:footnoteReference w:customMarkFollows="1" w:id="1339"/>
        <w:t>ac</w:t>
      </w:r>
      <w:r>
        <w:rPr/>
        <w:t xml:space="preserve"> </w:t>
      </w:r>
      <w:r>
        <w:rPr>
          <w:b/>
          <w:color w:val="808080"/>
        </w:rPr>
        <w:t>[</w:t>
      </w:r>
      <w:r>
        <w:rPr/>
        <w:t>um</w:t>
      </w:r>
      <w:r>
        <w:rPr>
          <w:b/>
          <w:color w:val="808080"/>
        </w:rPr>
        <w:t>]</w:t>
      </w:r>
      <w:r>
        <w:rPr/>
        <w:t xml:space="preserve"> zu predigen </w:t>
      </w:r>
      <w:r>
        <w:rPr>
          <w:color w:val="808080"/>
        </w:rPr>
        <w:t>(verkündigen)</w:t>
      </w:r>
      <w:r>
        <w:rPr/>
        <w:t xml:space="preserve"> {{field-off:bible}} </w:t>
        <w:br/>
        <w:t>[[@BibleTOBIBLE:Mk 3:15]]</w:t>
      </w:r>
      <w:r>
        <w:rPr>
          <w:b/>
        </w:rPr>
        <w:t>15</w:t>
      </w:r>
      <w:r>
        <w:rPr/>
        <w:t xml:space="preserve"> {{field-on:bible}}und Macht </w:t>
      </w:r>
      <w:r>
        <w:rPr>
          <w:color w:val="808080"/>
        </w:rPr>
        <w:t>(Vollmacht, Autorität, Ermächtigung)</w:t>
      </w:r>
      <w:r>
        <w:rPr/>
        <w:t xml:space="preserve"> zum Austreiben </w:t>
      </w:r>
      <w:r>
        <w:rPr>
          <w:b/>
          <w:color w:val="808080"/>
        </w:rPr>
        <w:t>[</w:t>
      </w:r>
      <w:r>
        <w:rPr/>
        <w:t>von</w:t>
      </w:r>
      <w:r>
        <w:rPr>
          <w:b/>
          <w:color w:val="808080"/>
        </w:rPr>
        <w:t>]</w:t>
      </w:r>
      <w:r>
        <w:rPr/>
        <w:t xml:space="preserve"> Dämonen zu haben.{{field-off:bible}} </w:t>
        <w:br/>
        <w:t>[[@BibleTOBIBLE:Mk 3:16]]</w:t>
      </w:r>
      <w:r>
        <w:rPr>
          <w:b/>
        </w:rPr>
        <w:t>16</w:t>
      </w:r>
      <w:r>
        <w:rPr/>
        <w:t xml:space="preserve"> {{field-on:bible}}Und er bestimmte </w:t>
      </w:r>
      <w:r>
        <w:rPr>
          <w:color w:val="808080"/>
        </w:rPr>
        <w:t>(berief, setzte ein)</w:t>
      </w:r>
      <w:r>
        <w:rPr/>
        <w:t xml:space="preserve"> die Zwölf, und er gab Simon </w:t>
      </w:r>
      <w:r>
        <w:rPr>
          <w:b/>
          <w:color w:val="808080"/>
        </w:rPr>
        <w:t>[</w:t>
      </w:r>
      <w:r>
        <w:rPr/>
        <w:t>den</w:t>
      </w:r>
      <w:r>
        <w:rPr>
          <w:b/>
          <w:color w:val="808080"/>
        </w:rPr>
        <w:t>]</w:t>
      </w:r>
      <w:r>
        <w:rPr/>
        <w:t xml:space="preserve"> Namen „Petrus“;{{field-off:bible}} </w:t>
        <w:br/>
        <w:t>[[@BibleTOBIBLE:Mk 3:17]]</w:t>
      </w:r>
      <w:r>
        <w:rPr>
          <w:b/>
        </w:rPr>
        <w:t>17</w:t>
      </w:r>
      <w:r>
        <w:rPr/>
        <w:t xml:space="preserve"> {{field-on:bible}}und Jakobus, den </w:t>
      </w:r>
      <w:r>
        <w:rPr>
          <w:b/>
          <w:color w:val="808080"/>
        </w:rPr>
        <w:t>[</w:t>
      </w:r>
      <w:r>
        <w:rPr/>
        <w:t>Sohn</w:t>
      </w:r>
      <w:r>
        <w:rPr>
          <w:b/>
          <w:color w:val="808080"/>
        </w:rPr>
        <w:t>]</w:t>
      </w:r>
      <w:r>
        <w:rPr/>
        <w:t xml:space="preserve"> von Zebedäus, und Jakobus’ Bruder Johannes, und er gab ihnen </w:t>
      </w:r>
      <w:r>
        <w:rPr>
          <w:b/>
          <w:color w:val="808080"/>
        </w:rPr>
        <w:t>[</w:t>
      </w:r>
      <w:r>
        <w:rPr/>
        <w:t>die</w:t>
      </w:r>
      <w:r>
        <w:rPr>
          <w:b/>
          <w:color w:val="808080"/>
        </w:rPr>
        <w:t>]</w:t>
      </w:r>
      <w:r>
        <w:rPr/>
        <w:t xml:space="preserve"> Namen „Boanerges“ </w:t>
      </w:r>
      <w:r>
        <w:rPr>
          <w:rStyle w:val="Funotenanker"/>
        </w:rPr>
        <w:footnoteReference w:customMarkFollows="1" w:id="1340"/>
        <w:t>ad</w:t>
      </w:r>
      <w:r>
        <w:rPr/>
        <w:t xml:space="preserve"> , das heißt </w:t>
      </w:r>
      <w:r>
        <w:rPr>
          <w:rStyle w:val="Funotenanker"/>
        </w:rPr>
        <w:footnoteReference w:customMarkFollows="1" w:id="1341"/>
        <w:t>ae</w:t>
      </w:r>
      <w:r>
        <w:rPr/>
        <w:t xml:space="preserve"> „Söhne des Donners“;{{field-off:bible}} </w:t>
        <w:br/>
        <w:t>[[@BibleTOBIBLE:Mk 3:18]]</w:t>
      </w:r>
      <w:r>
        <w:rPr>
          <w:b/>
        </w:rPr>
        <w:t>18</w:t>
      </w:r>
      <w:r>
        <w:rPr/>
        <w:t xml:space="preserve"> {{field-on:bible}}weiter </w:t>
      </w:r>
      <w:r>
        <w:rPr>
          <w:color w:val="808080"/>
        </w:rPr>
        <w:t>(und)</w:t>
      </w:r>
      <w:r>
        <w:rPr/>
        <w:t xml:space="preserve"> Andreas, </w:t>
      </w:r>
      <w:r>
        <w:rPr>
          <w:strike/>
          <w:color w:val="808080"/>
        </w:rPr>
        <w:t>{und}</w:t>
      </w:r>
      <w:r>
        <w:rPr/>
        <w:t xml:space="preserve"> Philippus, </w:t>
      </w:r>
      <w:r>
        <w:rPr>
          <w:strike/>
          <w:color w:val="808080"/>
        </w:rPr>
        <w:t>{und}</w:t>
      </w:r>
      <w:r>
        <w:rPr/>
        <w:t xml:space="preserve"> Bartholomäus, </w:t>
      </w:r>
      <w:r>
        <w:rPr>
          <w:strike/>
          <w:color w:val="808080"/>
        </w:rPr>
        <w:t>{und}</w:t>
      </w:r>
      <w:r>
        <w:rPr/>
        <w:t xml:space="preserve"> Matthäus, </w:t>
      </w:r>
      <w:r>
        <w:rPr>
          <w:strike/>
          <w:color w:val="808080"/>
        </w:rPr>
        <w:t>{und}</w:t>
      </w:r>
      <w:r>
        <w:rPr/>
        <w:t xml:space="preserve"> Thomas, </w:t>
      </w:r>
      <w:r>
        <w:rPr>
          <w:strike/>
          <w:color w:val="808080"/>
        </w:rPr>
        <w:t>{und}</w:t>
      </w:r>
      <w:r>
        <w:rPr/>
        <w:t xml:space="preserve"> Jakobus, den </w:t>
      </w:r>
      <w:r>
        <w:rPr>
          <w:b/>
          <w:color w:val="808080"/>
        </w:rPr>
        <w:t>[</w:t>
      </w:r>
      <w:r>
        <w:rPr/>
        <w:t>Sohn</w:t>
      </w:r>
      <w:r>
        <w:rPr>
          <w:b/>
          <w:color w:val="808080"/>
        </w:rPr>
        <w:t>]</w:t>
      </w:r>
      <w:r>
        <w:rPr/>
        <w:t xml:space="preserve"> von Alphäus, sowie </w:t>
      </w:r>
      <w:r>
        <w:rPr>
          <w:color w:val="808080"/>
        </w:rPr>
        <w:t>(und)</w:t>
      </w:r>
      <w:r>
        <w:rPr/>
        <w:t xml:space="preserve"> Thaddäus, </w:t>
      </w:r>
      <w:r>
        <w:rPr>
          <w:strike/>
          <w:color w:val="808080"/>
        </w:rPr>
        <w:t>{und}</w:t>
      </w:r>
      <w:r>
        <w:rPr/>
        <w:t xml:space="preserve"> Simon den Eiferer </w:t>
      </w:r>
      <w:r>
        <w:rPr>
          <w:color w:val="808080"/>
        </w:rPr>
        <w:t>(Zeloten)</w:t>
      </w:r>
      <w:r>
        <w:rPr/>
        <w:t xml:space="preserve"> </w:t>
      </w:r>
      <w:r>
        <w:rPr>
          <w:rStyle w:val="Funotenanker"/>
        </w:rPr>
        <w:footnoteReference w:customMarkFollows="1" w:id="1342"/>
        <w:t>af</w:t>
      </w:r>
      <w:r>
        <w:rPr/>
        <w:t xml:space="preserve"> {{field-off:bible}} </w:t>
        <w:br/>
        <w:t>[[@BibleTOBIBLE:Mk 3:19]]</w:t>
      </w:r>
      <w:r>
        <w:rPr>
          <w:b/>
        </w:rPr>
        <w:t>19</w:t>
      </w:r>
      <w:r>
        <w:rPr/>
        <w:t xml:space="preserve"> {{field-on:bible}}und Judas Iskariot </w:t>
      </w:r>
      <w:r>
        <w:rPr>
          <w:rStyle w:val="Funotenanker"/>
        </w:rPr>
        <w:footnoteReference w:customMarkFollows="1" w:id="1343"/>
        <w:t>ag</w:t>
      </w:r>
      <w:r>
        <w:rPr/>
        <w:t xml:space="preserve"> , der ihn dann </w:t>
      </w:r>
      <w:r>
        <w:rPr>
          <w:color w:val="808080"/>
        </w:rPr>
        <w:t>(auch)</w:t>
      </w:r>
      <w:r>
        <w:rPr/>
        <w:t xml:space="preserve"> auslieferte </w:t>
      </w:r>
      <w:r>
        <w:rPr>
          <w:color w:val="808080"/>
        </w:rPr>
        <w:t>(verriet)</w:t>
      </w:r>
      <w:r>
        <w:rPr/>
        <w:t xml:space="preserve"> </w:t>
      </w:r>
      <w:r>
        <w:rPr>
          <w:rStyle w:val="Funotenanker"/>
        </w:rPr>
        <w:footnoteReference w:customMarkFollows="1" w:id="1344"/>
        <w:t>ah</w:t>
      </w:r>
      <w:r>
        <w:rPr/>
        <w:t xml:space="preserve">.{{field-off:bible}} </w:t>
        <w:br/>
        <w:t>[[@BibleTOBIBLE:Mk 3:20]]</w:t>
      </w:r>
      <w:r>
        <w:rPr>
          <w:b/>
        </w:rPr>
        <w:t>20</w:t>
      </w:r>
      <w:r>
        <w:rPr/>
        <w:t xml:space="preserve"> {{field-on:bible}}Später </w:t>
      </w:r>
      <w:r>
        <w:rPr>
          <w:color w:val="808080"/>
        </w:rPr>
        <w:t>(Und)</w:t>
      </w:r>
      <w:r>
        <w:rPr/>
        <w:t xml:space="preserve"> ging [Jesus] nach Hause </w:t>
      </w:r>
      <w:r>
        <w:rPr>
          <w:color w:val="808080"/>
        </w:rPr>
        <w:t>(in ein Haus)</w:t>
      </w:r>
      <w:r>
        <w:rPr/>
        <w:t xml:space="preserve">. </w:t>
      </w:r>
      <w:r>
        <w:rPr>
          <w:rStyle w:val="Funotenanker"/>
        </w:rPr>
        <w:footnoteReference w:customMarkFollows="1" w:id="1345"/>
        <w:t>ai</w:t>
      </w:r>
      <w:r>
        <w:rPr/>
        <w:t xml:space="preserve"> Und wieder versammelte </w:t>
      </w:r>
      <w:r>
        <w:rPr>
          <w:rStyle w:val="Funotenanker"/>
        </w:rPr>
        <w:footnoteReference w:customMarkFollows="1" w:id="1346"/>
        <w:t>aj</w:t>
      </w:r>
      <w:r>
        <w:rPr/>
        <w:t xml:space="preserve"> sich die Menschenmenge, sodass sie nicht einmal dazu kamen, </w:t>
      </w:r>
      <w:r>
        <w:rPr>
          <w:b/>
          <w:color w:val="808080"/>
        </w:rPr>
        <w:t>[</w:t>
      </w:r>
      <w:r>
        <w:rPr/>
        <w:t>etwas</w:t>
      </w:r>
      <w:r>
        <w:rPr>
          <w:b/>
          <w:color w:val="808080"/>
        </w:rPr>
        <w:t>]</w:t>
      </w:r>
      <w:r>
        <w:rPr/>
        <w:t xml:space="preserve"> Brot zu essen </w:t>
      </w:r>
      <w:r>
        <w:rPr>
          <w:rStyle w:val="Funotenanker"/>
        </w:rPr>
        <w:footnoteReference w:customMarkFollows="1" w:id="1347"/>
        <w:t>ak</w:t>
      </w:r>
      <w:r>
        <w:rPr/>
        <w:t xml:space="preserve">.{{field-off:bible}} </w:t>
        <w:br/>
        <w:t>[[@BibleTOBIBLE:Mk 3:21]]</w:t>
      </w:r>
      <w:r>
        <w:rPr>
          <w:b/>
        </w:rPr>
        <w:t>21</w:t>
      </w:r>
      <w:r>
        <w:rPr/>
        <w:t xml:space="preserve"> {{field-on:bible}}Und als seine Angehörigen </w:t>
      </w:r>
      <w:r>
        <w:rPr>
          <w:color w:val="808080"/>
        </w:rPr>
        <w:t>(Anhänger)</w:t>
      </w:r>
      <w:r>
        <w:rPr/>
        <w:t xml:space="preserve"> </w:t>
      </w:r>
      <w:r>
        <w:rPr>
          <w:rStyle w:val="Funotenanker"/>
        </w:rPr>
        <w:footnoteReference w:customMarkFollows="1" w:id="1348"/>
        <w:t>al</w:t>
      </w:r>
      <w:r>
        <w:rPr/>
        <w:t xml:space="preserve"> </w:t>
      </w:r>
      <w:r>
        <w:rPr>
          <w:b/>
          <w:color w:val="808080"/>
        </w:rPr>
        <w:t>[</w:t>
      </w:r>
      <w:r>
        <w:rPr/>
        <w:t>davon</w:t>
      </w:r>
      <w:r>
        <w:rPr>
          <w:b/>
          <w:color w:val="808080"/>
        </w:rPr>
        <w:t>]</w:t>
      </w:r>
      <w:r>
        <w:rPr/>
        <w:t xml:space="preserve"> erfuhren </w:t>
      </w:r>
      <w:r>
        <w:rPr>
          <w:color w:val="808080"/>
        </w:rPr>
        <w:t>(</w:t>
      </w:r>
      <w:r>
        <w:rPr>
          <w:b/>
          <w:color w:val="808080"/>
        </w:rPr>
        <w:t>[</w:t>
      </w:r>
      <w:r>
        <w:rPr>
          <w:color w:val="808080"/>
        </w:rPr>
        <w:t>das</w:t>
      </w:r>
      <w:r>
        <w:rPr>
          <w:b/>
          <w:color w:val="808080"/>
        </w:rPr>
        <w:t>]</w:t>
      </w:r>
      <w:r>
        <w:rPr>
          <w:color w:val="808080"/>
        </w:rPr>
        <w:t xml:space="preserve"> hörten)</w:t>
      </w:r>
      <w:r>
        <w:rPr/>
        <w:t xml:space="preserve">, machten sie sich auf den Weg, um ihn mit Gewalt zurückzuholen </w:t>
      </w:r>
      <w:r>
        <w:rPr>
          <w:color w:val="808080"/>
        </w:rPr>
        <w:t>(zurückzuhalten, festzuhalten)</w:t>
      </w:r>
      <w:r>
        <w:rPr/>
        <w:t xml:space="preserve"> </w:t>
      </w:r>
      <w:r>
        <w:rPr>
          <w:rStyle w:val="Funotenanker"/>
        </w:rPr>
        <w:footnoteReference w:customMarkFollows="1" w:id="1349"/>
        <w:t>am</w:t>
      </w:r>
      <w:r>
        <w:rPr/>
        <w:t xml:space="preserve"> . Sie meinten </w:t>
      </w:r>
      <w:r>
        <w:rPr>
          <w:color w:val="808080"/>
        </w:rPr>
        <w:t>(sagten)</w:t>
      </w:r>
      <w:r>
        <w:rPr/>
        <w:t xml:space="preserve"> nämlich </w:t>
      </w:r>
      <w:r>
        <w:rPr>
          <w:strike/>
          <w:color w:val="808080"/>
        </w:rPr>
        <w:t>{dass}</w:t>
      </w:r>
      <w:r>
        <w:rPr/>
        <w:t xml:space="preserve"> : „Er hat den Verstand verloren!“ </w:t>
      </w:r>
      <w:r>
        <w:rPr>
          <w:color w:val="808080"/>
        </w:rPr>
        <w:t>(meinten nämlich, er habe den Verstand verloren.)</w:t>
      </w:r>
      <w:r>
        <w:rPr/>
        <w:t xml:space="preserve"> </w:t>
      </w:r>
      <w:r>
        <w:rPr>
          <w:position w:val="8"/>
          <w:sz w:val="19"/>
        </w:rPr>
        <w:t>[[ ℘ &gt;&gt; BibleTOBIBLE:Ps 69:9]]</w:t>
      </w:r>
      <w:r>
        <w:rPr/>
        <w:t xml:space="preserve"> {{field-off:bible}} </w:t>
        <w:br/>
        <w:t>[[@BibleTOBIBLE:Mk 3:22]]</w:t>
      </w:r>
      <w:r>
        <w:rPr>
          <w:b/>
        </w:rPr>
        <w:t>22</w:t>
      </w:r>
      <w:r>
        <w:rPr/>
        <w:t xml:space="preserve"> {{field-on:bible}}Und </w:t>
      </w:r>
      <w:r>
        <w:rPr>
          <w:color w:val="808080"/>
        </w:rPr>
        <w:t>(Dann)</w:t>
      </w:r>
      <w:r>
        <w:rPr/>
        <w:t xml:space="preserve"> die Schriftgelehrten </w:t>
      </w:r>
      <w:r>
        <w:rPr>
          <w:color w:val="808080"/>
        </w:rPr>
        <w:t>(Schreiber)</w:t>
      </w:r>
      <w:r>
        <w:rPr/>
        <w:t xml:space="preserve">, die aus Jerusalem gekommen waren, </w:t>
      </w:r>
      <w:r>
        <w:rPr>
          <w:rStyle w:val="Funotenanker"/>
        </w:rPr>
        <w:footnoteReference w:customMarkFollows="1" w:id="1350"/>
        <w:t>an</w:t>
      </w:r>
      <w:r>
        <w:rPr/>
        <w:t xml:space="preserve"> verbreiteten </w:t>
      </w:r>
      <w:r>
        <w:rPr>
          <w:color w:val="808080"/>
        </w:rPr>
        <w:t>(meinten, sagten)</w:t>
      </w:r>
      <w:r>
        <w:rPr/>
        <w:t xml:space="preserve"> </w:t>
      </w:r>
      <w:r>
        <w:rPr>
          <w:rStyle w:val="Funotenanker"/>
        </w:rPr>
        <w:footnoteReference w:customMarkFollows="1" w:id="1351"/>
        <w:t>ao</w:t>
      </w:r>
      <w:r>
        <w:rPr/>
        <w:t xml:space="preserve"> </w:t>
      </w:r>
      <w:r>
        <w:rPr>
          <w:strike/>
          <w:color w:val="808080"/>
        </w:rPr>
        <w:t>{dass}</w:t>
      </w:r>
      <w:r>
        <w:rPr/>
        <w:t xml:space="preserve">: „Er ist von Beelzebul besessen!“ </w:t>
      </w:r>
      <w:r>
        <w:rPr>
          <w:rStyle w:val="Funotenanker"/>
        </w:rPr>
        <w:footnoteReference w:customMarkFollows="1" w:id="1352"/>
        <w:t>ap</w:t>
      </w:r>
      <w:r>
        <w:rPr/>
        <w:t xml:space="preserve"> und </w:t>
      </w:r>
      <w:r>
        <w:rPr>
          <w:strike/>
          <w:color w:val="808080"/>
        </w:rPr>
        <w:t>{dass}</w:t>
      </w:r>
      <w:r>
        <w:rPr/>
        <w:t xml:space="preserve"> : „Er treibt die Dämonen mit </w:t>
      </w:r>
      <w:r>
        <w:rPr>
          <w:color w:val="808080"/>
        </w:rPr>
        <w:t>(mithilfe)</w:t>
      </w:r>
      <w:r>
        <w:rPr/>
        <w:t xml:space="preserve"> dem Fürsten </w:t>
      </w:r>
      <w:r>
        <w:rPr>
          <w:color w:val="808080"/>
        </w:rPr>
        <w:t>(Herrscher, Obersten)</w:t>
      </w:r>
      <w:r>
        <w:rPr/>
        <w:t xml:space="preserve"> der Dämonen aus!“{{field-off:bible}} </w:t>
        <w:br/>
        <w:t>[[@BibleTOBIBLE:Mk 3:23]]</w:t>
      </w:r>
      <w:r>
        <w:rPr>
          <w:b/>
        </w:rPr>
        <w:t>23</w:t>
      </w:r>
      <w:r>
        <w:rPr/>
        <w:t xml:space="preserve"> {{field-on:bible}}Und er rief sie zu sich und </w:t>
      </w:r>
      <w:r>
        <w:rPr>
          <w:rStyle w:val="Funotenanker"/>
        </w:rPr>
        <w:footnoteReference w:customMarkFollows="1" w:id="1353"/>
        <w:t>aq</w:t>
      </w:r>
      <w:r>
        <w:rPr/>
        <w:t xml:space="preserve"> argumentierte </w:t>
      </w:r>
      <w:r>
        <w:rPr>
          <w:color w:val="808080"/>
        </w:rPr>
        <w:t>(redete, sagte)</w:t>
      </w:r>
      <w:r>
        <w:rPr/>
        <w:t xml:space="preserve"> mithilfe </w:t>
      </w:r>
      <w:r>
        <w:rPr>
          <w:color w:val="808080"/>
        </w:rPr>
        <w:t>(in Form von)</w:t>
      </w:r>
      <w:r>
        <w:rPr/>
        <w:t xml:space="preserve"> </w:t>
      </w:r>
      <w:r>
        <w:rPr>
          <w:b/>
          <w:color w:val="808080"/>
        </w:rPr>
        <w:t>[</w:t>
      </w:r>
      <w:r>
        <w:rPr/>
        <w:t>einiger</w:t>
      </w:r>
      <w:r>
        <w:rPr>
          <w:b/>
          <w:color w:val="808080"/>
        </w:rPr>
        <w:t>]</w:t>
      </w:r>
      <w:r>
        <w:rPr/>
        <w:t xml:space="preserve"> bildhafter Vergleiche </w:t>
      </w:r>
      <w:r>
        <w:rPr>
          <w:color w:val="808080"/>
        </w:rPr>
        <w:t>(in Gleichnissen)</w:t>
      </w:r>
      <w:r>
        <w:rPr/>
        <w:t xml:space="preserve"> </w:t>
      </w:r>
      <w:r>
        <w:rPr>
          <w:rStyle w:val="Funotenanker"/>
        </w:rPr>
        <w:footnoteReference w:customMarkFollows="1" w:id="1354"/>
        <w:t>ar</w:t>
      </w:r>
      <w:r>
        <w:rPr/>
        <w:t xml:space="preserve"> zu ihnen: „Wie kann Satan </w:t>
      </w:r>
      <w:r>
        <w:rPr>
          <w:rStyle w:val="Funotenanker"/>
        </w:rPr>
        <w:footnoteReference w:customMarkFollows="1" w:id="1355"/>
        <w:t>as</w:t>
      </w:r>
      <w:r>
        <w:rPr/>
        <w:t xml:space="preserve"> </w:t>
      </w:r>
      <w:r>
        <w:rPr>
          <w:b/>
          <w:color w:val="808080"/>
        </w:rPr>
        <w:t>[</w:t>
      </w:r>
      <w:r>
        <w:rPr/>
        <w:t>den</w:t>
      </w:r>
      <w:r>
        <w:rPr>
          <w:b/>
          <w:color w:val="808080"/>
        </w:rPr>
        <w:t>]</w:t>
      </w:r>
      <w:r>
        <w:rPr/>
        <w:t xml:space="preserve"> Satan austreiben?{{field-off:bible}} </w:t>
        <w:br/>
        <w:t>[[@BibleTOBIBLE:Mk 3:24]]</w:t>
      </w:r>
      <w:r>
        <w:rPr>
          <w:b/>
        </w:rPr>
        <w:t>24</w:t>
      </w:r>
      <w:r>
        <w:rPr/>
        <w:t xml:space="preserve"> {{field-on:bible}}Und wenn </w:t>
      </w:r>
      <w:r>
        <w:rPr>
          <w:rStyle w:val="Funotenanker"/>
        </w:rPr>
        <w:footnoteReference w:customMarkFollows="1" w:id="1356"/>
        <w:t>at</w:t>
      </w:r>
      <w:r>
        <w:rPr/>
        <w:t xml:space="preserve"> ein Königreich </w:t>
      </w:r>
      <w:r>
        <w:rPr>
          <w:color w:val="808080"/>
        </w:rPr>
        <w:t>(Reich, Staat)</w:t>
      </w:r>
      <w:r>
        <w:rPr/>
        <w:t xml:space="preserve"> sich mit sich selbst verfeindet </w:t>
      </w:r>
      <w:r>
        <w:rPr>
          <w:rStyle w:val="Funotenanker"/>
        </w:rPr>
        <w:footnoteReference w:customMarkFollows="1" w:id="1357"/>
        <w:t>au</w:t>
      </w:r>
      <w:r>
        <w:rPr/>
        <w:t xml:space="preserve"> , </w:t>
      </w:r>
      <w:r>
        <w:rPr>
          <w:b/>
          <w:color w:val="808080"/>
        </w:rPr>
        <w:t>[</w:t>
      </w:r>
      <w:r>
        <w:rPr/>
        <w:t>dann</w:t>
      </w:r>
      <w:r>
        <w:rPr>
          <w:b/>
          <w:color w:val="808080"/>
        </w:rPr>
        <w:t>]</w:t>
      </w:r>
      <w:r>
        <w:rPr/>
        <w:t xml:space="preserve"> kann jenes Königreich </w:t>
      </w:r>
      <w:r>
        <w:rPr>
          <w:color w:val="808080"/>
        </w:rPr>
        <w:t>(Reich, Staat)</w:t>
      </w:r>
      <w:r>
        <w:rPr/>
        <w:t xml:space="preserve"> nicht bestehen.{{field-off:bible}} </w:t>
        <w:br/>
        <w:t>[[@BibleTOBIBLE:Mk 3:25]]</w:t>
      </w:r>
      <w:r>
        <w:rPr>
          <w:b/>
        </w:rPr>
        <w:t>25</w:t>
      </w:r>
      <w:r>
        <w:rPr/>
        <w:t xml:space="preserve"> {{field-on:bible}}Und wenn eine Familie </w:t>
      </w:r>
      <w:r>
        <w:rPr>
          <w:color w:val="808080"/>
        </w:rPr>
        <w:t>(Haus)</w:t>
      </w:r>
      <w:r>
        <w:rPr/>
        <w:t xml:space="preserve"> sich mit sich selbst verfeindet , </w:t>
      </w:r>
      <w:r>
        <w:rPr>
          <w:b/>
          <w:color w:val="808080"/>
        </w:rPr>
        <w:t>[</w:t>
      </w:r>
      <w:r>
        <w:rPr/>
        <w:t>dann</w:t>
      </w:r>
      <w:r>
        <w:rPr>
          <w:b/>
          <w:color w:val="808080"/>
        </w:rPr>
        <w:t>]</w:t>
      </w:r>
      <w:r>
        <w:rPr/>
        <w:t xml:space="preserve"> wird jene Familie </w:t>
      </w:r>
      <w:r>
        <w:rPr>
          <w:color w:val="808080"/>
        </w:rPr>
        <w:t>(Haus)</w:t>
      </w:r>
      <w:r>
        <w:rPr/>
        <w:t xml:space="preserve"> nicht bestehen können.{{field-off:bible}} </w:t>
        <w:br/>
        <w:t>[[@BibleTOBIBLE:Mk 3:26]]</w:t>
      </w:r>
      <w:r>
        <w:rPr>
          <w:b/>
        </w:rPr>
        <w:t>26</w:t>
      </w:r>
      <w:r>
        <w:rPr/>
        <w:t xml:space="preserve"> {{field-on:bible}}Und wenn </w:t>
      </w:r>
      <w:r>
        <w:rPr>
          <w:b/>
          <w:color w:val="808080"/>
        </w:rPr>
        <w:t>[</w:t>
      </w:r>
      <w:r>
        <w:rPr/>
        <w:t>wirklich</w:t>
      </w:r>
      <w:r>
        <w:rPr>
          <w:b/>
          <w:color w:val="808080"/>
        </w:rPr>
        <w:t>]</w:t>
      </w:r>
      <w:r>
        <w:rPr/>
        <w:t xml:space="preserve"> der Satan gegen sich selbst rebelliert </w:t>
      </w:r>
      <w:r>
        <w:rPr>
          <w:color w:val="808080"/>
        </w:rPr>
        <w:t>(auflehnt, erhebt)</w:t>
      </w:r>
      <w:r>
        <w:rPr/>
        <w:t xml:space="preserve"> und sich mit sich selbst verfeindet , </w:t>
      </w:r>
      <w:r>
        <w:rPr>
          <w:b/>
          <w:color w:val="808080"/>
        </w:rPr>
        <w:t>[</w:t>
      </w:r>
      <w:r>
        <w:rPr/>
        <w:t>dann</w:t>
      </w:r>
      <w:r>
        <w:rPr>
          <w:b/>
          <w:color w:val="808080"/>
        </w:rPr>
        <w:t>]</w:t>
      </w:r>
      <w:r>
        <w:rPr/>
        <w:t xml:space="preserve"> kann er nicht bestehen bleiben, sondern es hat ein Ende </w:t>
      </w:r>
      <w:r>
        <w:rPr>
          <w:b/>
          <w:color w:val="808080"/>
        </w:rPr>
        <w:t>[</w:t>
      </w:r>
      <w:r>
        <w:rPr/>
        <w:t>mit ihm</w:t>
      </w:r>
      <w:r>
        <w:rPr>
          <w:b/>
          <w:color w:val="808080"/>
        </w:rPr>
        <w:t>]</w:t>
      </w:r>
      <w:r>
        <w:rPr/>
        <w:t xml:space="preserve"> </w:t>
      </w:r>
      <w:r>
        <w:rPr>
          <w:rStyle w:val="Funotenanker"/>
        </w:rPr>
        <w:footnoteReference w:customMarkFollows="1" w:id="1358"/>
        <w:t>av</w:t>
      </w:r>
      <w:r>
        <w:rPr/>
        <w:t xml:space="preserve">.{{field-off:bible}} </w:t>
        <w:br/>
        <w:t>[[@BibleTOBIBLE:Mk 3:27]]</w:t>
      </w:r>
      <w:r>
        <w:rPr>
          <w:b/>
        </w:rPr>
        <w:t>27</w:t>
      </w:r>
      <w:r>
        <w:rPr/>
        <w:t xml:space="preserve"> {{field-on:bible}}Doch niemand kann </w:t>
      </w:r>
      <w:r>
        <w:rPr>
          <w:rStyle w:val="Funotenanker"/>
        </w:rPr>
        <w:footnoteReference w:customMarkFollows="1" w:id="1359"/>
        <w:t>aw</w:t>
      </w:r>
      <w:r>
        <w:rPr/>
        <w:t xml:space="preserve"> in das Haus des Starken eindringen </w:t>
      </w:r>
      <w:r>
        <w:rPr>
          <w:color w:val="808080"/>
        </w:rPr>
        <w:t>(einbrechen, hineingehen)</w:t>
      </w:r>
      <w:r>
        <w:rPr/>
        <w:t xml:space="preserve"> und </w:t>
      </w:r>
      <w:r>
        <w:rPr>
          <w:rStyle w:val="Funotenanker"/>
        </w:rPr>
        <w:footnoteReference w:customMarkFollows="1" w:id="1360"/>
        <w:t>ax</w:t>
      </w:r>
      <w:r>
        <w:rPr/>
        <w:t xml:space="preserve"> seine Einrichtung </w:t>
      </w:r>
      <w:r>
        <w:rPr>
          <w:color w:val="808080"/>
        </w:rPr>
        <w:t>(Besitztümer, Hausrat)</w:t>
      </w:r>
      <w:r>
        <w:rPr/>
        <w:t xml:space="preserve"> plündern, wenn er den Starken nicht zuerst fesselt, </w:t>
      </w:r>
      <w:r>
        <w:rPr>
          <w:rStyle w:val="Funotenanker"/>
        </w:rPr>
        <w:footnoteReference w:customMarkFollows="1" w:id="1361"/>
        <w:t>ay</w:t>
      </w:r>
      <w:r>
        <w:rPr/>
        <w:t xml:space="preserve"> dann erst kann er sein Haus ausplündern </w:t>
      </w:r>
      <w:r>
        <w:rPr>
          <w:rStyle w:val="Funotenanker"/>
        </w:rPr>
        <w:footnoteReference w:customMarkFollows="1" w:id="1362"/>
        <w:t>az</w:t>
      </w:r>
      <w:r>
        <w:rPr/>
        <w:t>.</w:t>
      </w:r>
      <w:r>
        <w:rPr>
          <w:position w:val="8"/>
          <w:sz w:val="19"/>
        </w:rPr>
        <w:t>[[ ℘ &gt;&gt; BibleTOBIBLE:Is 24:26]]</w:t>
      </w:r>
      <w:r>
        <w:rPr/>
        <w:t xml:space="preserve"> {{field-off:bible}} </w:t>
        <w:br/>
        <w:t>[[@BibleTOBIBLE:Mk 3:28]]</w:t>
      </w:r>
      <w:r>
        <w:rPr>
          <w:b/>
        </w:rPr>
        <w:t>28</w:t>
      </w:r>
      <w:r>
        <w:rPr/>
        <w:t xml:space="preserve"> {{field-on:bible}}Ja </w:t>
      </w:r>
      <w:r>
        <w:rPr>
          <w:color w:val="808080"/>
        </w:rPr>
        <w:t>(Amen, Wahrlich)</w:t>
      </w:r>
      <w:r>
        <w:rPr/>
        <w:t xml:space="preserve">, ich sage euch </w:t>
      </w:r>
      <w:r>
        <w:rPr>
          <w:rStyle w:val="Funotenanker"/>
        </w:rPr>
        <w:footnoteReference w:customMarkFollows="1" w:id="1363"/>
        <w:t>ba</w:t>
      </w:r>
      <w:r>
        <w:rPr/>
        <w:t xml:space="preserve"> </w:t>
      </w:r>
      <w:r>
        <w:rPr>
          <w:strike/>
          <w:color w:val="808080"/>
        </w:rPr>
        <w:t>{dass}</w:t>
      </w:r>
      <w:r>
        <w:rPr/>
        <w:t xml:space="preserve"> : Den Kindern </w:t>
      </w:r>
      <w:r>
        <w:rPr>
          <w:color w:val="808080"/>
        </w:rPr>
        <w:t>(Söhnen)</w:t>
      </w:r>
      <w:r>
        <w:rPr/>
        <w:t xml:space="preserve"> der Menschen </w:t>
      </w:r>
      <w:r>
        <w:rPr>
          <w:rStyle w:val="Funotenanker"/>
        </w:rPr>
        <w:footnoteReference w:customMarkFollows="1" w:id="1364"/>
        <w:t>bb</w:t>
      </w:r>
      <w:r>
        <w:rPr/>
        <w:t xml:space="preserve"> kann </w:t>
      </w:r>
      <w:r>
        <w:rPr>
          <w:color w:val="808080"/>
        </w:rPr>
        <w:t>(wird)</w:t>
      </w:r>
      <w:r>
        <w:rPr/>
        <w:t xml:space="preserve"> alles vergeben werden </w:t>
      </w:r>
      <w:r>
        <w:rPr>
          <w:rStyle w:val="Funotenanker"/>
        </w:rPr>
        <w:footnoteReference w:customMarkFollows="1" w:id="1365"/>
        <w:t>bc</w:t>
      </w:r>
      <w:r>
        <w:rPr/>
        <w:t xml:space="preserve"> – alle Sünden </w:t>
      </w:r>
      <w:r>
        <w:rPr>
          <w:color w:val="808080"/>
        </w:rPr>
        <w:t>(Verfehlungen)</w:t>
      </w:r>
      <w:r>
        <w:rPr/>
        <w:t xml:space="preserve"> und Gotteslästerungen, welche </w:t>
      </w:r>
      <w:r>
        <w:rPr>
          <w:color w:val="808080"/>
        </w:rPr>
        <w:t>(wie viele)</w:t>
      </w:r>
      <w:r>
        <w:rPr/>
        <w:t xml:space="preserve"> sie auch lästern </w:t>
      </w:r>
      <w:r>
        <w:rPr>
          <w:color w:val="808080"/>
        </w:rPr>
        <w:t>(begehen, aussprechen)</w:t>
      </w:r>
      <w:r>
        <w:rPr/>
        <w:t xml:space="preserve"> mögen.{{field-off:bible}} </w:t>
        <w:br/>
        <w:t>[[@BibleTOBIBLE:Mk 3:29]]</w:t>
      </w:r>
      <w:r>
        <w:rPr>
          <w:b/>
        </w:rPr>
        <w:t>29</w:t>
      </w:r>
      <w:r>
        <w:rPr/>
        <w:t xml:space="preserve"> {{field-on:bible}}Doch wer immer gegen den Heiligen Geist lästert, </w:t>
      </w:r>
      <w:r>
        <w:rPr>
          <w:b/>
          <w:color w:val="808080"/>
        </w:rPr>
        <w:t>[</w:t>
      </w:r>
      <w:r>
        <w:rPr/>
        <w:t>für</w:t>
      </w:r>
      <w:r>
        <w:rPr>
          <w:b/>
          <w:color w:val="808080"/>
        </w:rPr>
        <w:t>]</w:t>
      </w:r>
      <w:r>
        <w:rPr/>
        <w:t xml:space="preserve"> den gibt es in </w:t>
      </w:r>
      <w:r>
        <w:rPr>
          <w:strike/>
          <w:color w:val="808080"/>
        </w:rPr>
        <w:t>{der}</w:t>
      </w:r>
      <w:r>
        <w:rPr/>
        <w:t xml:space="preserve"> Ewigkeit </w:t>
      </w:r>
      <w:r>
        <w:rPr>
          <w:color w:val="808080"/>
        </w:rPr>
        <w:t>(im kommenden Zeitalter)</w:t>
      </w:r>
      <w:r>
        <w:rPr/>
        <w:t xml:space="preserve"> </w:t>
      </w:r>
      <w:r>
        <w:rPr>
          <w:rStyle w:val="Funotenanker"/>
        </w:rPr>
        <w:footnoteReference w:customMarkFollows="1" w:id="1366"/>
        <w:t>bd</w:t>
      </w:r>
      <w:r>
        <w:rPr/>
        <w:t xml:space="preserve"> keine Vergebung, sondern er ist ewiger Sünde schuldig!“{{field-off:bible}} </w:t>
        <w:br/>
        <w:t>[[@BibleTOBIBLE:Mk 3:30]]</w:t>
      </w:r>
      <w:r>
        <w:rPr>
          <w:b/>
        </w:rPr>
        <w:t>30</w:t>
      </w:r>
      <w:r>
        <w:rPr/>
        <w:t xml:space="preserve"> {{field-on:bible}} </w:t>
      </w:r>
      <w:r>
        <w:rPr>
          <w:b/>
          <w:color w:val="808080"/>
        </w:rPr>
        <w:t>[</w:t>
      </w:r>
      <w:r>
        <w:rPr/>
        <w:t>Das fügte Jesus hinzu,</w:t>
      </w:r>
      <w:r>
        <w:rPr>
          <w:b/>
          <w:color w:val="808080"/>
        </w:rPr>
        <w:t>]</w:t>
      </w:r>
      <w:r>
        <w:rPr/>
        <w:t xml:space="preserve"> weil sie sagten: „Er ist </w:t>
      </w:r>
      <w:r>
        <w:rPr>
          <w:b/>
          <w:color w:val="808080"/>
        </w:rPr>
        <w:t>[</w:t>
      </w:r>
      <w:r>
        <w:rPr/>
        <w:t>von</w:t>
      </w:r>
      <w:r>
        <w:rPr>
          <w:b/>
          <w:color w:val="808080"/>
        </w:rPr>
        <w:t>]</w:t>
      </w:r>
      <w:r>
        <w:rPr/>
        <w:t xml:space="preserve"> einem unreinen Geist besessen!“ </w:t>
      </w:r>
      <w:r>
        <w:rPr>
          <w:rStyle w:val="Funotenanker"/>
        </w:rPr>
        <w:footnoteReference w:customMarkFollows="1" w:id="1367"/>
        <w:t>be</w:t>
      </w:r>
      <w:r>
        <w:rPr/>
        <w:t xml:space="preserve"> {{field-off:bible}} </w:t>
        <w:br/>
        <w:t>[[@BibleTOBIBLE:Mk 3:31]]</w:t>
      </w:r>
      <w:r>
        <w:rPr>
          <w:b/>
        </w:rPr>
        <w:t>31</w:t>
      </w:r>
      <w:r>
        <w:rPr/>
        <w:t xml:space="preserve"> {{field-on:bible}}Dann </w:t>
      </w:r>
      <w:r>
        <w:rPr>
          <w:color w:val="808080"/>
        </w:rPr>
        <w:t>(Und)</w:t>
      </w:r>
      <w:r>
        <w:rPr/>
        <w:t xml:space="preserve"> kamen </w:t>
      </w:r>
      <w:r>
        <w:rPr>
          <w:rStyle w:val="Funotenanker"/>
        </w:rPr>
        <w:footnoteReference w:customMarkFollows="1" w:id="1368"/>
        <w:t>bf</w:t>
      </w:r>
      <w:r>
        <w:rPr/>
        <w:t xml:space="preserve"> seine Mutter und seine Geschwister </w:t>
      </w:r>
      <w:r>
        <w:rPr>
          <w:color w:val="808080"/>
        </w:rPr>
        <w:t>(Brüder)</w:t>
      </w:r>
      <w:r>
        <w:rPr/>
        <w:t xml:space="preserve"> </w:t>
      </w:r>
      <w:r>
        <w:rPr>
          <w:rStyle w:val="Funotenanker"/>
        </w:rPr>
        <w:footnoteReference w:customMarkFollows="1" w:id="1369"/>
        <w:t>bg</w:t>
      </w:r>
      <w:r>
        <w:rPr/>
        <w:t xml:space="preserve">. </w:t>
      </w:r>
      <w:r>
        <w:rPr>
          <w:strike/>
          <w:color w:val="808080"/>
        </w:rPr>
        <w:t>{und}</w:t>
      </w:r>
      <w:r>
        <w:rPr/>
        <w:t xml:space="preserve"> Sie blieben draußen stehen </w:t>
      </w:r>
      <w:r>
        <w:rPr>
          <w:color w:val="808080"/>
        </w:rPr>
        <w:t>(standen)</w:t>
      </w:r>
      <w:r>
        <w:rPr/>
        <w:t xml:space="preserve"> und </w:t>
      </w:r>
      <w:r>
        <w:rPr>
          <w:rStyle w:val="Funotenanker"/>
        </w:rPr>
        <w:footnoteReference w:customMarkFollows="1" w:id="1370"/>
        <w:t>bh</w:t>
      </w:r>
      <w:r>
        <w:rPr/>
        <w:t xml:space="preserve"> schickten </w:t>
      </w:r>
      <w:r>
        <w:rPr>
          <w:b/>
          <w:color w:val="808080"/>
        </w:rPr>
        <w:t>[</w:t>
      </w:r>
      <w:r>
        <w:rPr/>
        <w:t>jemanden</w:t>
      </w:r>
      <w:r>
        <w:rPr>
          <w:b/>
          <w:color w:val="808080"/>
        </w:rPr>
        <w:t>]</w:t>
      </w:r>
      <w:r>
        <w:rPr/>
        <w:t xml:space="preserve"> zu ihm </w:t>
      </w:r>
      <w:r>
        <w:rPr>
          <w:color w:val="808080"/>
        </w:rPr>
        <w:t>(ließen ihm ausrichten)</w:t>
      </w:r>
      <w:r>
        <w:rPr/>
        <w:t xml:space="preserve">, </w:t>
      </w:r>
      <w:r>
        <w:rPr>
          <w:rStyle w:val="Funotenanker"/>
        </w:rPr>
        <w:footnoteReference w:customMarkFollows="1" w:id="1371"/>
        <w:t>bi</w:t>
      </w:r>
      <w:r>
        <w:rPr/>
        <w:t xml:space="preserve"> um </w:t>
      </w:r>
      <w:r>
        <w:rPr>
          <w:color w:val="808080"/>
        </w:rPr>
        <w:t>(wobei sie)</w:t>
      </w:r>
      <w:r>
        <w:rPr/>
        <w:t xml:space="preserve"> ihn zu rufen. </w:t>
      </w:r>
      <w:r>
        <w:rPr>
          <w:rStyle w:val="Funotenanker"/>
        </w:rPr>
        <w:footnoteReference w:customMarkFollows="1" w:id="1372"/>
        <w:t>bj</w:t>
      </w:r>
      <w:r>
        <w:rPr/>
        <w:t xml:space="preserve"> {{field-off:bible}} </w:t>
        <w:br/>
        <w:t>[[@BibleTOBIBLE:Mk 3:32]]</w:t>
      </w:r>
      <w:r>
        <w:rPr>
          <w:b/>
        </w:rPr>
        <w:t>32</w:t>
      </w:r>
      <w:r>
        <w:rPr/>
        <w:t xml:space="preserve"> {{field-on:bible}} </w:t>
      </w:r>
      <w:r>
        <w:rPr>
          <w:strike/>
          <w:color w:val="808080"/>
        </w:rPr>
        <w:t>{und}</w:t>
      </w:r>
      <w:r>
        <w:rPr/>
        <w:t xml:space="preserve"> Eine Menschenmenge saß um ihn herum, und sie sagten </w:t>
      </w:r>
      <w:r>
        <w:rPr>
          <w:color w:val="808080"/>
        </w:rPr>
        <w:t>(man sagte)</w:t>
      </w:r>
      <w:r>
        <w:rPr/>
        <w:t xml:space="preserve"> </w:t>
      </w:r>
      <w:r>
        <w:rPr>
          <w:rStyle w:val="Funotenanker"/>
        </w:rPr>
        <w:footnoteReference w:customMarkFollows="1" w:id="1373"/>
        <w:t>bk</w:t>
      </w:r>
      <w:r>
        <w:rPr/>
        <w:t xml:space="preserve"> zu ihm: „Da draußen </w:t>
      </w:r>
      <w:r>
        <w:rPr>
          <w:rStyle w:val="Funotenanker"/>
        </w:rPr>
        <w:footnoteReference w:customMarkFollows="1" w:id="1374"/>
        <w:t>bl</w:t>
      </w:r>
      <w:r>
        <w:rPr/>
        <w:t xml:space="preserve"> fragen deine Mutter und deine Geschwister </w:t>
      </w:r>
      <w:r>
        <w:rPr>
          <w:color w:val="808080"/>
        </w:rPr>
        <w:t>(Brüder)</w:t>
      </w:r>
      <w:r>
        <w:rPr/>
        <w:t xml:space="preserve"> nach </w:t>
      </w:r>
      <w:r>
        <w:rPr>
          <w:color w:val="808080"/>
        </w:rPr>
        <w:t>(suchen nach, wollen etwas von)</w:t>
      </w:r>
      <w:r>
        <w:rPr/>
        <w:t xml:space="preserve"> dir!“{{field-off:bible}} </w:t>
        <w:br/>
        <w:t>[[@BibleTOBIBLE:Mk 3:33]]</w:t>
      </w:r>
      <w:r>
        <w:rPr>
          <w:b/>
        </w:rPr>
        <w:t>33</w:t>
      </w:r>
      <w:r>
        <w:rPr/>
        <w:t xml:space="preserve"> {{field-on:bible}}Und er antwortete ihnen </w:t>
      </w:r>
      <w:r>
        <w:rPr>
          <w:strike/>
          <w:color w:val="808080"/>
        </w:rPr>
        <w:t>{und sagte}</w:t>
      </w:r>
      <w:r>
        <w:rPr/>
        <w:t xml:space="preserve"> </w:t>
      </w:r>
      <w:r>
        <w:rPr>
          <w:rStyle w:val="Funotenanker"/>
        </w:rPr>
        <w:footnoteReference w:customMarkFollows="1" w:id="1375"/>
        <w:t>bm</w:t>
      </w:r>
      <w:r>
        <w:rPr/>
        <w:t xml:space="preserve">: „Wer sind </w:t>
      </w:r>
      <w:r>
        <w:rPr>
          <w:rStyle w:val="Funotenanker"/>
        </w:rPr>
        <w:footnoteReference w:customMarkFollows="1" w:id="1376"/>
        <w:t>bn</w:t>
      </w:r>
      <w:r>
        <w:rPr/>
        <w:t xml:space="preserve"> meine Mutter und meine Geschwister </w:t>
      </w:r>
      <w:r>
        <w:rPr>
          <w:color w:val="808080"/>
        </w:rPr>
        <w:t>(Brüder)</w:t>
      </w:r>
      <w:r>
        <w:rPr/>
        <w:t xml:space="preserve"> ?“{{field-off:bible}} </w:t>
        <w:br/>
        <w:t>[[@BibleTOBIBLE:Mk 3:34]]</w:t>
      </w:r>
      <w:r>
        <w:rPr>
          <w:b/>
        </w:rPr>
        <w:t>34</w:t>
      </w:r>
      <w:r>
        <w:rPr/>
        <w:t xml:space="preserve"> {{field-on:bible}}Und während </w:t>
      </w:r>
      <w:r>
        <w:rPr>
          <w:color w:val="808080"/>
        </w:rPr>
        <w:t>(indem, nachdem)</w:t>
      </w:r>
      <w:r>
        <w:rPr/>
        <w:t xml:space="preserve"> er der Reihe nach </w:t>
      </w:r>
      <w:r>
        <w:rPr>
          <w:b/>
          <w:color w:val="808080"/>
        </w:rPr>
        <w:t>[</w:t>
      </w:r>
      <w:r>
        <w:rPr/>
        <w:t>alle</w:t>
      </w:r>
      <w:r>
        <w:rPr>
          <w:b/>
          <w:color w:val="808080"/>
        </w:rPr>
        <w:t>]</w:t>
      </w:r>
      <w:r>
        <w:rPr/>
        <w:t xml:space="preserve"> anschaute, </w:t>
      </w:r>
      <w:r>
        <w:rPr>
          <w:rStyle w:val="Funotenanker"/>
        </w:rPr>
        <w:footnoteReference w:customMarkFollows="1" w:id="1377"/>
        <w:t>bo</w:t>
      </w:r>
      <w:r>
        <w:rPr/>
        <w:t xml:space="preserve"> die </w:t>
      </w:r>
      <w:r>
        <w:rPr>
          <w:b/>
          <w:color w:val="808080"/>
        </w:rPr>
        <w:t>[</w:t>
      </w:r>
      <w:r>
        <w:rPr/>
        <w:t>im</w:t>
      </w:r>
      <w:r>
        <w:rPr>
          <w:b/>
          <w:color w:val="808080"/>
        </w:rPr>
        <w:t>]</w:t>
      </w:r>
      <w:r>
        <w:rPr/>
        <w:t xml:space="preserve"> Kreis </w:t>
      </w:r>
      <w:r>
        <w:rPr>
          <w:color w:val="808080"/>
        </w:rPr>
        <w:t>(rings)</w:t>
      </w:r>
      <w:r>
        <w:rPr/>
        <w:t xml:space="preserve"> </w:t>
      </w:r>
      <w:r>
        <w:rPr>
          <w:rStyle w:val="Funotenanker"/>
        </w:rPr>
        <w:footnoteReference w:customMarkFollows="1" w:id="1378"/>
        <w:t>bp</w:t>
      </w:r>
      <w:r>
        <w:rPr/>
        <w:t xml:space="preserve"> um ihn saßen, </w:t>
      </w:r>
      <w:r>
        <w:rPr>
          <w:rStyle w:val="Funotenanker"/>
        </w:rPr>
        <w:footnoteReference w:customMarkFollows="1" w:id="1379"/>
        <w:t>bq</w:t>
      </w:r>
      <w:r>
        <w:rPr/>
        <w:t xml:space="preserve"> sagte er: „Siehe, </w:t>
      </w:r>
      <w:r>
        <w:rPr>
          <w:color w:val="808080"/>
        </w:rPr>
        <w:t>(Das hier sind, Ihr hier seid)</w:t>
      </w:r>
      <w:r>
        <w:rPr/>
        <w:t xml:space="preserve"> </w:t>
      </w:r>
      <w:r>
        <w:rPr>
          <w:rStyle w:val="Funotenanker"/>
        </w:rPr>
        <w:footnoteReference w:customMarkFollows="1" w:id="1380"/>
        <w:t>br</w:t>
      </w:r>
      <w:r>
        <w:rPr/>
        <w:t xml:space="preserve"> meine Mutter und meine Geschwister!{{field-off:bible}} </w:t>
        <w:br/>
        <w:t>[[@BibleTOBIBLE:Mk 3:35]]</w:t>
      </w:r>
      <w:r>
        <w:rPr>
          <w:b/>
        </w:rPr>
        <w:t>35</w:t>
      </w:r>
      <w:r>
        <w:rPr/>
        <w:t xml:space="preserve"> {{field-on:bible}}Denn wer immer den Willen Gottes tut, der ist mein Bruder und </w:t>
      </w:r>
      <w:r>
        <w:rPr>
          <w:b/>
          <w:color w:val="808080"/>
        </w:rPr>
        <w:t>[</w:t>
      </w:r>
      <w:r>
        <w:rPr/>
        <w:t>meine</w:t>
      </w:r>
      <w:r>
        <w:rPr>
          <w:b/>
          <w:color w:val="808080"/>
        </w:rPr>
        <w:t>]</w:t>
      </w:r>
      <w:r>
        <w:rPr/>
        <w:t xml:space="preserve"> Schwester und </w:t>
      </w:r>
      <w:r>
        <w:rPr>
          <w:b/>
          <w:color w:val="808080"/>
        </w:rPr>
        <w:t>[</w:t>
      </w:r>
      <w:r>
        <w:rPr/>
        <w:t>meine</w:t>
      </w:r>
      <w:r>
        <w:rPr>
          <w:b/>
          <w:color w:val="808080"/>
        </w:rPr>
        <w:t>]</w:t>
      </w:r>
      <w:r>
        <w:rPr/>
        <w:t xml:space="preserve"> Mutter.“{{field-off:bible}}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1381"/>
        <w:t>Status</w:t>
      </w:r>
      <w:r>
        <w:rPr/>
        <w:t xml:space="preserve"> Und wieder einmal </w:t>
      </w:r>
      <w:r>
        <w:rPr>
          <w:color w:val="808080"/>
        </w:rPr>
        <w:t>(erneut)</w:t>
      </w:r>
      <w:r>
        <w:rPr/>
        <w:t xml:space="preserve"> begann er am Meer </w:t>
      </w:r>
      <w:r>
        <w:rPr>
          <w:color w:val="808080"/>
        </w:rPr>
        <w:t>(See)</w:t>
      </w:r>
      <w:r>
        <w:rPr/>
        <w:t xml:space="preserve"> </w:t>
      </w:r>
      <w:r>
        <w:rPr>
          <w:rStyle w:val="Funotenanker"/>
        </w:rPr>
        <w:footnoteReference w:customMarkFollows="1" w:id="1382"/>
        <w:t>a</w:t>
      </w:r>
      <w:r>
        <w:rPr/>
        <w:t xml:space="preserve"> zu lehren. Und eine so gewaltige Menschenmenge versammelte sich bei ihm, dass er in ein Boot stieg und </w:t>
      </w:r>
      <w:r>
        <w:rPr>
          <w:rStyle w:val="Funotenanker"/>
        </w:rPr>
        <w:footnoteReference w:customMarkFollows="1" w:id="1383"/>
        <w:t>b</w:t>
      </w:r>
      <w:r>
        <w:rPr/>
        <w:t xml:space="preserve"> </w:t>
      </w:r>
      <w:r>
        <w:rPr>
          <w:b/>
          <w:color w:val="808080"/>
        </w:rPr>
        <w:t>[</w:t>
      </w:r>
      <w:r>
        <w:rPr/>
        <w:t>darin</w:t>
      </w:r>
      <w:r>
        <w:rPr>
          <w:b/>
          <w:color w:val="808080"/>
        </w:rPr>
        <w:t>]</w:t>
      </w:r>
      <w:r>
        <w:rPr/>
        <w:t xml:space="preserve"> auf dem Meer </w:t>
      </w:r>
      <w:r>
        <w:rPr>
          <w:color w:val="808080"/>
        </w:rPr>
        <w:t>(See)</w:t>
      </w:r>
      <w:r>
        <w:rPr/>
        <w:t xml:space="preserve"> saß </w:t>
      </w:r>
      <w:r>
        <w:rPr>
          <w:rStyle w:val="Funotenanker"/>
        </w:rPr>
        <w:footnoteReference w:customMarkFollows="1" w:id="1384"/>
        <w:t>c</w:t>
      </w:r>
      <w:r>
        <w:rPr/>
        <w:t xml:space="preserve"> , und die ganze Menschenmenge blieb </w:t>
      </w:r>
      <w:r>
        <w:rPr>
          <w:color w:val="808080"/>
        </w:rPr>
        <w:t>(war)</w:t>
      </w:r>
      <w:r>
        <w:rPr/>
        <w:t xml:space="preserve"> </w:t>
      </w:r>
      <w:r>
        <w:rPr>
          <w:rStyle w:val="Funotenanker"/>
        </w:rPr>
        <w:footnoteReference w:customMarkFollows="1" w:id="1385"/>
        <w:t>d</w:t>
      </w:r>
      <w:r>
        <w:rPr/>
        <w:t xml:space="preserve"> am Ufer </w:t>
      </w:r>
      <w:r>
        <w:rPr>
          <w:rStyle w:val="Funotenanker"/>
        </w:rPr>
        <w:footnoteReference w:customMarkFollows="1" w:id="1386"/>
        <w:t>e</w:t>
      </w:r>
      <w:r>
        <w:rPr/>
        <w:t xml:space="preserve"> an Land.{{field-off:bible}} </w:t>
        <w:br/>
        <w:t>[[@BibleTOBIBLE:Mk 4:2]]</w:t>
      </w:r>
      <w:r>
        <w:rPr>
          <w:b/>
        </w:rPr>
        <w:t>2</w:t>
      </w:r>
      <w:r>
        <w:rPr/>
        <w:t xml:space="preserve"> {{field-on:bible}}Und er lehrte sie mit </w:t>
      </w:r>
      <w:r>
        <w:rPr>
          <w:color w:val="808080"/>
        </w:rPr>
        <w:t>(mithilfe, in)</w:t>
      </w:r>
      <w:r>
        <w:rPr/>
        <w:t xml:space="preserve"> Gleichnissen </w:t>
      </w:r>
      <w:r>
        <w:rPr>
          <w:color w:val="808080"/>
        </w:rPr>
        <w:t>(bildhaften Vergleichen)</w:t>
      </w:r>
      <w:r>
        <w:rPr/>
        <w:t xml:space="preserve"> viele </w:t>
      </w:r>
      <w:r>
        <w:rPr>
          <w:b/>
          <w:color w:val="808080"/>
        </w:rPr>
        <w:t>[</w:t>
      </w:r>
      <w:r>
        <w:rPr/>
        <w:t>Dinge</w:t>
      </w:r>
      <w:r>
        <w:rPr>
          <w:b/>
          <w:color w:val="808080"/>
        </w:rPr>
        <w:t>]</w:t>
      </w:r>
      <w:r>
        <w:rPr/>
        <w:t xml:space="preserve"> </w:t>
      </w:r>
      <w:r>
        <w:rPr>
          <w:color w:val="808080"/>
        </w:rPr>
        <w:t>(lange)</w:t>
      </w:r>
      <w:r>
        <w:rPr/>
        <w:t xml:space="preserve"> und er sagte </w:t>
      </w:r>
      <w:r>
        <w:rPr>
          <w:rStyle w:val="Funotenanker"/>
        </w:rPr>
        <w:footnoteReference w:customMarkFollows="1" w:id="1387"/>
        <w:t>f</w:t>
      </w:r>
      <w:r>
        <w:rPr/>
        <w:t xml:space="preserve"> zu ihnen, während er lehrte </w:t>
      </w:r>
      <w:r>
        <w:rPr>
          <w:color w:val="808080"/>
        </w:rPr>
        <w:t>(bei/in/während seiner Lehre)</w:t>
      </w:r>
      <w:r>
        <w:rPr/>
        <w:t xml:space="preserve"> </w:t>
      </w:r>
      <w:r>
        <w:rPr>
          <w:rStyle w:val="Funotenanker"/>
        </w:rPr>
        <w:footnoteReference w:customMarkFollows="1" w:id="1388"/>
        <w:t>g</w:t>
      </w:r>
      <w:r>
        <w:rPr/>
        <w:t xml:space="preserve">:{{field-off:bible}} </w:t>
        <w:br/>
        <w:t>[[@BibleTOBIBLE:Mk 4:3]]</w:t>
      </w:r>
      <w:r>
        <w:rPr>
          <w:b/>
        </w:rPr>
        <w:t>3</w:t>
      </w:r>
      <w:r>
        <w:rPr/>
        <w:t xml:space="preserve"> {{field-on:bible}}„Hört! Seht! </w:t>
      </w:r>
      <w:r>
        <w:rPr>
          <w:color w:val="808080"/>
        </w:rPr>
        <w:t>(Einmal)</w:t>
      </w:r>
      <w:r>
        <w:rPr/>
        <w:t xml:space="preserve"> Der Säende </w:t>
      </w:r>
      <w:r>
        <w:rPr>
          <w:color w:val="808080"/>
        </w:rPr>
        <w:t>(Sämann)</w:t>
      </w:r>
      <w:r>
        <w:rPr/>
        <w:t xml:space="preserve"> machte sich auf, </w:t>
      </w:r>
      <w:r>
        <w:rPr>
          <w:b/>
          <w:color w:val="808080"/>
        </w:rPr>
        <w:t>[</w:t>
      </w:r>
      <w:r>
        <w:rPr/>
        <w:t>um</w:t>
      </w:r>
      <w:r>
        <w:rPr>
          <w:b/>
          <w:color w:val="808080"/>
        </w:rPr>
        <w:t>]</w:t>
      </w:r>
      <w:r>
        <w:rPr/>
        <w:t xml:space="preserve"> zu säen.{{field-off:bible}} </w:t>
        <w:br/>
        <w:t>[[@BibleTOBIBLE:Mk 4:4]]</w:t>
      </w:r>
      <w:r>
        <w:rPr>
          <w:b/>
        </w:rPr>
        <w:t>4</w:t>
      </w:r>
      <w:r>
        <w:rPr/>
        <w:t xml:space="preserve"> {{field-on:bible}}Und beim Säen kam es dazu </w:t>
      </w:r>
      <w:r>
        <w:rPr>
          <w:color w:val="808080"/>
        </w:rPr>
        <w:t>(geschah es)</w:t>
      </w:r>
      <w:r>
        <w:rPr/>
        <w:t xml:space="preserve">, </w:t>
      </w:r>
      <w:r>
        <w:rPr>
          <w:b/>
          <w:color w:val="808080"/>
        </w:rPr>
        <w:t>[</w:t>
      </w:r>
      <w:r>
        <w:rPr/>
        <w:t>dass</w:t>
      </w:r>
      <w:r>
        <w:rPr>
          <w:b/>
          <w:color w:val="808080"/>
        </w:rPr>
        <w:t>]</w:t>
      </w:r>
      <w:r>
        <w:rPr/>
        <w:t xml:space="preserve"> ein </w:t>
      </w:r>
      <w:r>
        <w:rPr>
          <w:b/>
          <w:color w:val="808080"/>
        </w:rPr>
        <w:t>[</w:t>
      </w:r>
      <w:r>
        <w:rPr/>
        <w:t>Teil des Saatguts</w:t>
      </w:r>
      <w:r>
        <w:rPr>
          <w:b/>
          <w:color w:val="808080"/>
        </w:rPr>
        <w:t>]</w:t>
      </w:r>
      <w:r>
        <w:rPr/>
        <w:t xml:space="preserve"> </w:t>
      </w:r>
      <w:r>
        <w:rPr>
          <w:color w:val="808080"/>
        </w:rPr>
        <w:t>(</w:t>
      </w:r>
      <w:r>
        <w:rPr>
          <w:b/>
          <w:color w:val="808080"/>
        </w:rPr>
        <w:t>[</w:t>
      </w:r>
      <w:r>
        <w:rPr>
          <w:color w:val="808080"/>
        </w:rPr>
        <w:t>Samenkorn</w:t>
      </w:r>
      <w:r>
        <w:rPr>
          <w:b/>
          <w:color w:val="808080"/>
        </w:rPr>
        <w:t>]</w:t>
      </w:r>
      <w:r>
        <w:rPr>
          <w:color w:val="808080"/>
        </w:rPr>
        <w:t>)</w:t>
      </w:r>
      <w:r>
        <w:rPr/>
        <w:t xml:space="preserve"> </w:t>
      </w:r>
      <w:r>
        <w:rPr>
          <w:rStyle w:val="Funotenanker"/>
        </w:rPr>
        <w:footnoteReference w:customMarkFollows="1" w:id="1389"/>
        <w:t>h</w:t>
      </w:r>
      <w:r>
        <w:rPr/>
        <w:t xml:space="preserve"> an den Wegesrand </w:t>
      </w:r>
      <w:r>
        <w:rPr>
          <w:color w:val="808080"/>
        </w:rPr>
        <w:t>(auf den Weg)</w:t>
      </w:r>
      <w:r>
        <w:rPr/>
        <w:t xml:space="preserve"> </w:t>
      </w:r>
      <w:r>
        <w:rPr>
          <w:rStyle w:val="Funotenanker"/>
        </w:rPr>
        <w:footnoteReference w:customMarkFollows="1" w:id="1390"/>
        <w:t>i</w:t>
      </w:r>
      <w:r>
        <w:rPr/>
        <w:t xml:space="preserve"> fiel, und die Vögel kamen und fraßen es auf.{{field-off:bible}} </w:t>
        <w:br/>
        <w:t>[[@BibleTOBIBLE:Mk 4:5]]</w:t>
      </w:r>
      <w:r>
        <w:rPr>
          <w:b/>
        </w:rPr>
        <w:t>5</w:t>
      </w:r>
      <w:r>
        <w:rPr/>
        <w:t xml:space="preserve"> {{field-on:bible}}Und ein anderer </w:t>
      </w:r>
      <w:r>
        <w:rPr>
          <w:b/>
          <w:color w:val="808080"/>
        </w:rPr>
        <w:t>[</w:t>
      </w:r>
      <w:r>
        <w:rPr/>
        <w:t>Teil</w:t>
      </w:r>
      <w:r>
        <w:rPr>
          <w:b/>
          <w:color w:val="808080"/>
        </w:rPr>
        <w:t>]</w:t>
      </w:r>
      <w:r>
        <w:rPr/>
        <w:t xml:space="preserve"> fiel auf felsigen Boden, wo er nicht viel Erde hatte, und </w:t>
      </w:r>
      <w:r>
        <w:rPr>
          <w:b/>
          <w:color w:val="808080"/>
        </w:rPr>
        <w:t>[</w:t>
      </w:r>
      <w:r>
        <w:rPr/>
        <w:t>die Saat</w:t>
      </w:r>
      <w:r>
        <w:rPr>
          <w:b/>
          <w:color w:val="808080"/>
        </w:rPr>
        <w:t>]</w:t>
      </w:r>
      <w:r>
        <w:rPr/>
        <w:t xml:space="preserve"> ging schnell auf, weil sie keine tiefe Erde hatte.{{field-off:bible}} </w:t>
        <w:br/>
        <w:t>[[@BibleTOBIBLE:Mk 4:6]]</w:t>
      </w:r>
      <w:r>
        <w:rPr>
          <w:b/>
        </w:rPr>
        <w:t>6</w:t>
      </w:r>
      <w:r>
        <w:rPr/>
        <w:t xml:space="preserve"> {{field-on:bible}}Doch </w:t>
      </w:r>
      <w:r>
        <w:rPr>
          <w:color w:val="808080"/>
        </w:rPr>
        <w:t>(und)</w:t>
      </w:r>
      <w:r>
        <w:rPr/>
        <w:t xml:space="preserve"> als </w:t>
      </w:r>
      <w:r>
        <w:rPr>
          <w:color w:val="808080"/>
        </w:rPr>
        <w:t>(nachdem)</w:t>
      </w:r>
      <w:r>
        <w:rPr/>
        <w:t xml:space="preserve"> die Sonne aufging </w:t>
      </w:r>
      <w:r>
        <w:rPr>
          <w:color w:val="808080"/>
        </w:rPr>
        <w:t>(hochstieg)</w:t>
      </w:r>
      <w:r>
        <w:rPr/>
        <w:t xml:space="preserve">, wurde </w:t>
      </w:r>
      <w:r>
        <w:rPr>
          <w:b/>
          <w:color w:val="808080"/>
        </w:rPr>
        <w:t>[</w:t>
      </w:r>
      <w:r>
        <w:rPr/>
        <w:t>die Saat</w:t>
      </w:r>
      <w:r>
        <w:rPr>
          <w:b/>
          <w:color w:val="808080"/>
        </w:rPr>
        <w:t>]</w:t>
      </w:r>
      <w:r>
        <w:rPr/>
        <w:t xml:space="preserve"> versengt, und weil sie keine Wurzeln </w:t>
      </w:r>
      <w:r>
        <w:rPr>
          <w:rStyle w:val="Funotenanker"/>
        </w:rPr>
        <w:footnoteReference w:customMarkFollows="1" w:id="1391"/>
        <w:t>j</w:t>
      </w:r>
      <w:r>
        <w:rPr/>
        <w:t xml:space="preserve"> hatte, verdorrte sie </w:t>
      </w:r>
      <w:r>
        <w:rPr>
          <w:color w:val="808080"/>
        </w:rPr>
        <w:t>(trocknete sie aus)</w:t>
      </w:r>
      <w:r>
        <w:rPr/>
        <w:t xml:space="preserve">.{{field-off:bible}} </w:t>
        <w:br/>
        <w:t>[[@BibleTOBIBLE:Mk 4:7]]</w:t>
      </w:r>
      <w:r>
        <w:rPr>
          <w:b/>
        </w:rPr>
        <w:t>7</w:t>
      </w:r>
      <w:r>
        <w:rPr/>
        <w:t xml:space="preserve"> {{field-on:bible}}Und ein anderer </w:t>
      </w:r>
      <w:r>
        <w:rPr>
          <w:b/>
          <w:color w:val="808080"/>
        </w:rPr>
        <w:t>[</w:t>
      </w:r>
      <w:r>
        <w:rPr/>
        <w:t>Teil</w:t>
      </w:r>
      <w:r>
        <w:rPr>
          <w:b/>
          <w:color w:val="808080"/>
        </w:rPr>
        <w:t>]</w:t>
      </w:r>
      <w:r>
        <w:rPr/>
        <w:t xml:space="preserve"> fiel zwischen die Dornengewächse </w:t>
      </w:r>
      <w:r>
        <w:rPr>
          <w:color w:val="808080"/>
        </w:rPr>
        <w:t>(Dornbüsche, Dornen)</w:t>
      </w:r>
      <w:r>
        <w:rPr/>
        <w:t xml:space="preserve">, und die Dornengewächse </w:t>
      </w:r>
      <w:r>
        <w:rPr>
          <w:color w:val="808080"/>
        </w:rPr>
        <w:t>(Dornbüsche, Dornen)</w:t>
      </w:r>
      <w:r>
        <w:rPr/>
        <w:t xml:space="preserve"> wuchsen auf </w:t>
      </w:r>
      <w:r>
        <w:rPr>
          <w:color w:val="808080"/>
        </w:rPr>
        <w:t>(überwucherten)</w:t>
      </w:r>
      <w:r>
        <w:rPr/>
        <w:t xml:space="preserve"> und erstickten </w:t>
      </w:r>
      <w:r>
        <w:rPr>
          <w:b/>
          <w:color w:val="808080"/>
        </w:rPr>
        <w:t>[</w:t>
      </w:r>
      <w:r>
        <w:rPr/>
        <w:t>die Saat</w:t>
      </w:r>
      <w:r>
        <w:rPr>
          <w:b/>
          <w:color w:val="808080"/>
        </w:rPr>
        <w:t>]</w:t>
      </w:r>
      <w:r>
        <w:rPr/>
        <w:t xml:space="preserve">, und sie brachte keine Frucht.{{field-off:bible}} </w:t>
        <w:br/>
        <w:t>[[@BibleTOBIBLE:Mk 4:8]]</w:t>
      </w:r>
      <w:r>
        <w:rPr>
          <w:b/>
        </w:rPr>
        <w:t>8</w:t>
      </w:r>
      <w:r>
        <w:rPr/>
        <w:t xml:space="preserve"> {{field-on:bible}}Und andere </w:t>
      </w:r>
      <w:r>
        <w:rPr>
          <w:b/>
          <w:color w:val="808080"/>
        </w:rPr>
        <w:t>[</w:t>
      </w:r>
      <w:r>
        <w:rPr/>
        <w:t>Körner</w:t>
      </w:r>
      <w:r>
        <w:rPr>
          <w:b/>
          <w:color w:val="808080"/>
        </w:rPr>
        <w:t>]</w:t>
      </w:r>
      <w:r>
        <w:rPr/>
        <w:t xml:space="preserve"> </w:t>
      </w:r>
      <w:r>
        <w:rPr>
          <w:color w:val="808080"/>
        </w:rPr>
        <w:t>(</w:t>
      </w:r>
      <w:r>
        <w:rPr>
          <w:b/>
          <w:color w:val="808080"/>
        </w:rPr>
        <w:t>[</w:t>
      </w:r>
      <w:r>
        <w:rPr>
          <w:color w:val="808080"/>
        </w:rPr>
        <w:t>Teile</w:t>
      </w:r>
      <w:r>
        <w:rPr>
          <w:b/>
          <w:color w:val="808080"/>
        </w:rPr>
        <w:t>]</w:t>
      </w:r>
      <w:r>
        <w:rPr>
          <w:color w:val="808080"/>
        </w:rPr>
        <w:t>)</w:t>
      </w:r>
      <w:r>
        <w:rPr/>
        <w:t xml:space="preserve"> fielen auf </w:t>
      </w:r>
      <w:r>
        <w:rPr>
          <w:strike/>
          <w:color w:val="808080"/>
        </w:rPr>
        <w:t>{den}</w:t>
      </w:r>
      <w:r>
        <w:rPr/>
        <w:t xml:space="preserve"> guten Boden </w:t>
      </w:r>
      <w:r>
        <w:rPr>
          <w:color w:val="808080"/>
        </w:rPr>
        <w:t>(Erde)</w:t>
      </w:r>
      <w:r>
        <w:rPr/>
        <w:t xml:space="preserve"> und brachten Frucht, indem </w:t>
      </w:r>
      <w:r>
        <w:rPr>
          <w:color w:val="808080"/>
        </w:rPr>
        <w:t>(während, wobei)</w:t>
      </w:r>
      <w:r>
        <w:rPr/>
        <w:t xml:space="preserve"> sie aufgingen </w:t>
      </w:r>
      <w:r>
        <w:rPr>
          <w:color w:val="808080"/>
        </w:rPr>
        <w:t>(aufwuchsen)</w:t>
      </w:r>
      <w:r>
        <w:rPr/>
        <w:t xml:space="preserve"> und wuchsen, </w:t>
      </w:r>
      <w:r>
        <w:rPr>
          <w:rStyle w:val="Funotenanker"/>
        </w:rPr>
        <w:footnoteReference w:customMarkFollows="1" w:id="1392"/>
        <w:t>k</w:t>
      </w:r>
      <w:r>
        <w:rPr/>
        <w:t xml:space="preserve"> und ein </w:t>
      </w:r>
      <w:r>
        <w:rPr>
          <w:b/>
          <w:color w:val="808080"/>
        </w:rPr>
        <w:t>[</w:t>
      </w:r>
      <w:r>
        <w:rPr/>
        <w:t>Samenkorn</w:t>
      </w:r>
      <w:r>
        <w:rPr>
          <w:b/>
          <w:color w:val="808080"/>
        </w:rPr>
        <w:t>]</w:t>
      </w:r>
      <w:r>
        <w:rPr/>
        <w:t xml:space="preserve"> </w:t>
      </w:r>
      <w:r>
        <w:rPr>
          <w:color w:val="808080"/>
        </w:rPr>
        <w:t>(</w:t>
      </w:r>
      <w:r>
        <w:rPr>
          <w:b/>
          <w:color w:val="808080"/>
        </w:rPr>
        <w:t>[</w:t>
      </w:r>
      <w:r>
        <w:rPr>
          <w:color w:val="808080"/>
        </w:rPr>
        <w:t>Teil der Saat</w:t>
      </w:r>
      <w:r>
        <w:rPr>
          <w:b/>
          <w:color w:val="808080"/>
        </w:rPr>
        <w:t>]</w:t>
      </w:r>
      <w:r>
        <w:rPr>
          <w:color w:val="808080"/>
        </w:rPr>
        <w:t>)</w:t>
      </w:r>
      <w:r>
        <w:rPr/>
        <w:t xml:space="preserve"> brachte 30, </w:t>
      </w:r>
      <w:r>
        <w:rPr>
          <w:strike/>
          <w:color w:val="808080"/>
        </w:rPr>
        <w:t>{und}</w:t>
      </w:r>
      <w:r>
        <w:rPr/>
        <w:t xml:space="preserve"> eins 60 und eins 100 </w:t>
      </w:r>
      <w:r>
        <w:rPr>
          <w:b/>
          <w:color w:val="808080"/>
        </w:rPr>
        <w:t>[</w:t>
      </w:r>
      <w:r>
        <w:rPr/>
        <w:t>Körner</w:t>
      </w:r>
      <w:r>
        <w:rPr>
          <w:b/>
          <w:color w:val="808080"/>
        </w:rPr>
        <w:t>]</w:t>
      </w:r>
      <w:r>
        <w:rPr/>
        <w:t xml:space="preserve"> hervor </w:t>
      </w:r>
      <w:r>
        <w:rPr>
          <w:color w:val="808080"/>
        </w:rPr>
        <w:t>(</w:t>
      </w:r>
      <w:r>
        <w:rPr>
          <w:b/>
          <w:color w:val="808080"/>
        </w:rPr>
        <w:t>[</w:t>
      </w:r>
      <w:r>
        <w:rPr>
          <w:color w:val="808080"/>
        </w:rPr>
        <w:t>das Saatgut</w:t>
      </w:r>
      <w:r>
        <w:rPr>
          <w:b/>
          <w:color w:val="808080"/>
        </w:rPr>
        <w:t>]</w:t>
      </w:r>
      <w:r>
        <w:rPr>
          <w:color w:val="808080"/>
        </w:rPr>
        <w:t xml:space="preserve"> trug dreißig- </w:t>
      </w:r>
      <w:r>
        <w:rPr>
          <w:strike/>
          <w:color w:val="808080"/>
        </w:rPr>
        <w:t>{und}</w:t>
      </w:r>
      <w:r>
        <w:rPr>
          <w:color w:val="808080"/>
        </w:rPr>
        <w:t xml:space="preserve">, sechzig- und hundertfach </w:t>
      </w:r>
      <w:r>
        <w:rPr>
          <w:b/>
          <w:color w:val="808080"/>
        </w:rPr>
        <w:t>[</w:t>
      </w:r>
      <w:r>
        <w:rPr>
          <w:color w:val="808080"/>
        </w:rPr>
        <w:t>Frucht</w:t>
      </w:r>
      <w:r>
        <w:rPr>
          <w:b/>
          <w:color w:val="808080"/>
        </w:rPr>
        <w:t>]</w:t>
      </w:r>
      <w:r>
        <w:rPr>
          <w:color w:val="808080"/>
        </w:rPr>
        <w:t>)</w:t>
      </w:r>
      <w:r>
        <w:rPr/>
        <w:t xml:space="preserve"> </w:t>
      </w:r>
      <w:r>
        <w:rPr>
          <w:rStyle w:val="Funotenanker"/>
        </w:rPr>
        <w:footnoteReference w:customMarkFollows="1" w:id="1393"/>
        <w:t>l</w:t>
      </w:r>
      <w:r>
        <w:rPr/>
        <w:t xml:space="preserve">.“{{field-off:bible}} </w:t>
        <w:br/>
        <w:t>[[@BibleTOBIBLE:Mk 4:9]]</w:t>
      </w:r>
      <w:r>
        <w:rPr>
          <w:b/>
        </w:rPr>
        <w:t>9</w:t>
      </w:r>
      <w:r>
        <w:rPr/>
        <w:t xml:space="preserve"> {{field-on:bible}}Dann </w:t>
      </w:r>
      <w:r>
        <w:rPr>
          <w:color w:val="808080"/>
        </w:rPr>
        <w:t>(und)</w:t>
      </w:r>
      <w:r>
        <w:rPr/>
        <w:t xml:space="preserve"> sagte </w:t>
      </w:r>
      <w:r>
        <w:rPr>
          <w:rStyle w:val="Funotenanker"/>
        </w:rPr>
        <w:footnoteReference w:customMarkFollows="1" w:id="1394"/>
        <w:t>m</w:t>
      </w:r>
      <w:r>
        <w:rPr/>
        <w:t xml:space="preserve"> er: „Wer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4:10]]</w:t>
      </w:r>
      <w:r>
        <w:rPr>
          <w:b/>
        </w:rPr>
        <w:t>10</w:t>
      </w:r>
      <w:r>
        <w:rPr/>
        <w:t xml:space="preserve"> {{field-on:bible}}Und wenn </w:t>
      </w:r>
      <w:r>
        <w:rPr>
          <w:color w:val="808080"/>
        </w:rPr>
        <w:t>(als)</w:t>
      </w:r>
      <w:r>
        <w:rPr/>
        <w:t xml:space="preserve"> er für sich alleine war, fragten ihn </w:t>
      </w:r>
      <w:r>
        <w:rPr>
          <w:b/>
          <w:color w:val="808080"/>
        </w:rPr>
        <w:t>[</w:t>
      </w:r>
      <w:r>
        <w:rPr/>
        <w:t>die Leute</w:t>
      </w:r>
      <w:r>
        <w:rPr>
          <w:b/>
          <w:color w:val="808080"/>
        </w:rPr>
        <w:t>]</w:t>
      </w:r>
      <w:r>
        <w:rPr/>
        <w:t xml:space="preserve">, die um ihn </w:t>
      </w:r>
      <w:r>
        <w:rPr>
          <w:b/>
          <w:color w:val="808080"/>
        </w:rPr>
        <w:t>[</w:t>
      </w:r>
      <w:r>
        <w:rPr/>
        <w:t>waren</w:t>
      </w:r>
      <w:r>
        <w:rPr>
          <w:b/>
          <w:color w:val="808080"/>
        </w:rPr>
        <w:t>]</w:t>
      </w:r>
      <w:r>
        <w:rPr/>
        <w:t xml:space="preserve">, mit den Zwölfen </w:t>
      </w:r>
      <w:r>
        <w:rPr>
          <w:b/>
          <w:color w:val="808080"/>
        </w:rPr>
        <w:t>[</w:t>
      </w:r>
      <w:r>
        <w:rPr/>
        <w:t xml:space="preserve">immer wieder </w:t>
      </w:r>
      <w:r>
        <w:rPr>
          <w:rStyle w:val="Funotenanker"/>
        </w:rPr>
        <w:footnoteReference w:customMarkFollows="1" w:id="1395"/>
        <w:t>n</w:t>
      </w:r>
      <w:r>
        <w:rPr/>
        <w:t xml:space="preserve"> nach</w:t>
      </w:r>
      <w:r>
        <w:rPr>
          <w:b/>
          <w:color w:val="808080"/>
        </w:rPr>
        <w:t>]</w:t>
      </w:r>
      <w:r>
        <w:rPr/>
        <w:t xml:space="preserve"> den Gleichnissen </w:t>
      </w:r>
      <w:r>
        <w:rPr>
          <w:color w:val="808080"/>
        </w:rPr>
        <w:t>(Vergleichen)</w:t>
      </w:r>
      <w:r>
        <w:rPr/>
        <w:t xml:space="preserve">.{{field-off:bible}} </w:t>
        <w:br/>
        <w:t>[[@BibleTOBIBLE:Mk 4:11]]</w:t>
      </w:r>
      <w:r>
        <w:rPr>
          <w:b/>
        </w:rPr>
        <w:t>11</w:t>
      </w:r>
      <w:r>
        <w:rPr/>
        <w:t xml:space="preserve"> {{field-on:bible}}Dann </w:t>
      </w:r>
      <w:r>
        <w:rPr>
          <w:color w:val="808080"/>
        </w:rPr>
        <w:t>(und)</w:t>
      </w:r>
      <w:r>
        <w:rPr/>
        <w:t xml:space="preserve"> sagte </w:t>
      </w:r>
      <w:r>
        <w:rPr>
          <w:rStyle w:val="Funotenanker"/>
        </w:rPr>
        <w:footnoteReference w:customMarkFollows="1" w:id="1396"/>
        <w:t>o</w:t>
      </w:r>
      <w:r>
        <w:rPr/>
        <w:t xml:space="preserve"> er zu ihnen: „Euch ist das Geheimnis von Gottes Königreich </w:t>
      </w:r>
      <w:r>
        <w:rPr>
          <w:color w:val="808080"/>
        </w:rPr>
        <w:t>(Königsherrschaft)</w:t>
      </w:r>
      <w:r>
        <w:rPr/>
        <w:t xml:space="preserve"> gegeben, aber denen draußen </w:t>
      </w:r>
      <w:r>
        <w:rPr>
          <w:color w:val="808080"/>
        </w:rPr>
        <w:t>(den Außenstehenden)</w:t>
      </w:r>
      <w:r>
        <w:rPr/>
        <w:t xml:space="preserve"> wird alles in </w:t>
      </w:r>
      <w:r>
        <w:rPr>
          <w:color w:val="808080"/>
        </w:rPr>
        <w:t>(mit, mit Hilfe von)</w:t>
      </w:r>
      <w:r>
        <w:rPr/>
        <w:t xml:space="preserve"> Gleichnissen </w:t>
      </w:r>
      <w:r>
        <w:rPr>
          <w:color w:val="808080"/>
        </w:rPr>
        <w:t>(Vergleichen, Rätseln)</w:t>
      </w:r>
      <w:r>
        <w:rPr/>
        <w:t xml:space="preserve"> vermittelt,{{field-off:bible}} </w:t>
        <w:br/>
        <w:t>[[@BibleTOBIBLE:Mk 4:12]]</w:t>
      </w:r>
      <w:r>
        <w:rPr>
          <w:b/>
        </w:rPr>
        <w:t>12</w:t>
      </w:r>
      <w:r>
        <w:rPr/>
        <w:t xml:space="preserve"> {{field-on:bible}}damit </w:t>
      </w:r>
      <w:r>
        <w:rPr>
          <w:b/>
          <w:color w:val="808080"/>
        </w:rPr>
        <w:t>[</w:t>
      </w:r>
      <w:r>
        <w:rPr/>
        <w:t>sie</w:t>
      </w:r>
      <w:r>
        <w:rPr>
          <w:b/>
          <w:color w:val="808080"/>
        </w:rPr>
        <w:t>]</w:t>
      </w:r>
      <w:r>
        <w:rPr/>
        <w:t xml:space="preserve"> </w:t>
        <w:br/>
        <w:t xml:space="preserve">sehen und </w:t>
      </w:r>
      <w:r>
        <w:rPr>
          <w:color w:val="808080"/>
        </w:rPr>
        <w:t>(obwohl sie sehen; beim Sehen)</w:t>
      </w:r>
      <w:r>
        <w:rPr/>
        <w:t xml:space="preserve"> sehen und </w:t>
      </w:r>
      <w:r>
        <w:rPr>
          <w:color w:val="808080"/>
        </w:rPr>
        <w:t>(aber)</w:t>
      </w:r>
      <w:r>
        <w:rPr/>
        <w:t xml:space="preserve"> nicht erkennen,</w:t>
        <w:br/>
        <w:t xml:space="preserve">und hören und </w:t>
      </w:r>
      <w:r>
        <w:rPr>
          <w:color w:val="808080"/>
        </w:rPr>
        <w:t>(obwohl sie hören; beim Hören)</w:t>
      </w:r>
      <w:r>
        <w:rPr/>
        <w:t>,</w:t>
      </w:r>
      <w:r>
        <w:rPr>
          <w:rStyle w:val="Funotenanker"/>
        </w:rPr>
        <w:footnoteReference w:customMarkFollows="1" w:id="1397"/>
        <w:t>p</w:t>
      </w:r>
      <w:r>
        <w:rPr/>
        <w:t xml:space="preserve"> hören und </w:t>
      </w:r>
      <w:r>
        <w:rPr>
          <w:color w:val="808080"/>
        </w:rPr>
        <w:t>(aber)</w:t>
      </w:r>
      <w:r>
        <w:rPr/>
        <w:t xml:space="preserve"> nicht verstehen,</w:t>
        <w:br/>
        <w:t xml:space="preserve">damit sie nicht etwa umkehren </w:t>
      </w:r>
      <w:r>
        <w:rPr>
          <w:color w:val="808080"/>
        </w:rPr>
        <w:t>(sich bekehren)</w:t>
      </w:r>
      <w:r>
        <w:rPr/>
        <w:t xml:space="preserve"> und ihnen vergeben wird.“</w:t>
      </w:r>
      <w:r>
        <w:rPr>
          <w:position w:val="8"/>
          <w:sz w:val="19"/>
        </w:rPr>
        <w:t>[[ ℘ &gt;&gt; BibleTOBIBLE:Is 6:9]][[ ℘ &gt;&gt; BibleTOBIBLE:Mk 8:18]]</w:t>
      </w:r>
      <w:r>
        <w:rPr/>
        <w:t xml:space="preserve"> </w:t>
        <w:br/>
        <w:t xml:space="preserve">{{field-off:bible}} </w:t>
        <w:br/>
        <w:t>[[@BibleTOBIBLE:Mk 4:13]]</w:t>
      </w:r>
      <w:r>
        <w:rPr>
          <w:b/>
        </w:rPr>
        <w:t>13</w:t>
      </w:r>
      <w:r>
        <w:rPr/>
        <w:t xml:space="preserve"> {{field-on:bible}}Und er sagte zu ihnen: „Begreift ihr dieses Gleichnis </w:t>
      </w:r>
      <w:r>
        <w:rPr>
          <w:color w:val="808080"/>
        </w:rPr>
        <w:t>(Vergleich)</w:t>
      </w:r>
      <w:r>
        <w:rPr/>
        <w:t xml:space="preserve"> </w:t>
      </w:r>
      <w:r>
        <w:rPr>
          <w:rStyle w:val="Funotenanker"/>
        </w:rPr>
        <w:footnoteReference w:customMarkFollows="1" w:id="1398"/>
        <w:t>q</w:t>
      </w:r>
      <w:r>
        <w:rPr/>
        <w:t xml:space="preserve"> nicht? Wie </w:t>
      </w:r>
      <w:r>
        <w:rPr>
          <w:b/>
          <w:color w:val="808080"/>
        </w:rPr>
        <w:t>[</w:t>
      </w:r>
      <w:r>
        <w:rPr/>
        <w:t>wollt</w:t>
      </w:r>
      <w:r>
        <w:rPr>
          <w:b/>
          <w:color w:val="808080"/>
        </w:rPr>
        <w:t>]</w:t>
      </w:r>
      <w:r>
        <w:rPr/>
        <w:t xml:space="preserve"> ihr dann </w:t>
      </w:r>
      <w:r>
        <w:rPr>
          <w:color w:val="808080"/>
        </w:rPr>
        <w:t>(und)</w:t>
      </w:r>
      <w:r>
        <w:rPr/>
        <w:t xml:space="preserve"> überhaupt </w:t>
      </w:r>
      <w:r>
        <w:rPr>
          <w:color w:val="808080"/>
        </w:rPr>
        <w:t xml:space="preserve">(all die </w:t>
      </w:r>
      <w:r>
        <w:rPr>
          <w:b/>
          <w:color w:val="808080"/>
        </w:rPr>
        <w:t>[</w:t>
      </w:r>
      <w:r>
        <w:rPr>
          <w:color w:val="808080"/>
        </w:rPr>
        <w:t>anderen</w:t>
      </w:r>
      <w:r>
        <w:rPr>
          <w:b/>
          <w:color w:val="808080"/>
        </w:rPr>
        <w:t>]</w:t>
      </w:r>
      <w:r>
        <w:rPr>
          <w:color w:val="808080"/>
        </w:rPr>
        <w:t>)</w:t>
      </w:r>
      <w:r>
        <w:rPr/>
        <w:t xml:space="preserve"> </w:t>
      </w:r>
      <w:r>
        <w:rPr>
          <w:rStyle w:val="Funotenanker"/>
        </w:rPr>
        <w:footnoteReference w:customMarkFollows="1" w:id="1399"/>
        <w:t>r</w:t>
      </w:r>
      <w:r>
        <w:rPr/>
        <w:t xml:space="preserve"> Gleichnisse </w:t>
      </w:r>
      <w:r>
        <w:rPr>
          <w:color w:val="808080"/>
        </w:rPr>
        <w:t>(Vergleiche)</w:t>
      </w:r>
      <w:r>
        <w:rPr/>
        <w:t xml:space="preserve"> verstehen?{{field-off:bible}} </w:t>
        <w:br/>
        <w:t>[[@BibleTOBIBLE:Mk 4:14]]</w:t>
      </w:r>
      <w:r>
        <w:rPr>
          <w:b/>
        </w:rPr>
        <w:t>14</w:t>
      </w:r>
      <w:r>
        <w:rPr/>
        <w:t xml:space="preserve"> {{field-on:bible}}Der Säende </w:t>
      </w:r>
      <w:r>
        <w:rPr>
          <w:color w:val="808080"/>
        </w:rPr>
        <w:t>(Sämann)</w:t>
      </w:r>
      <w:r>
        <w:rPr/>
        <w:t xml:space="preserve"> sät das Wort </w:t>
      </w:r>
      <w:r>
        <w:rPr>
          <w:color w:val="808080"/>
        </w:rPr>
        <w:t>(die Botschaft)</w:t>
      </w:r>
      <w:r>
        <w:rPr/>
        <w:t xml:space="preserve"> </w:t>
      </w:r>
      <w:r>
        <w:rPr>
          <w:rStyle w:val="Funotenanker"/>
        </w:rPr>
        <w:footnoteReference w:customMarkFollows="1" w:id="1400"/>
        <w:t>s</w:t>
      </w:r>
      <w:r>
        <w:rPr/>
        <w:t xml:space="preserve">.{{field-off:bible}} </w:t>
        <w:br/>
        <w:t>[[@BibleTOBIBLE:Mk 4:15]]</w:t>
      </w:r>
      <w:r>
        <w:rPr>
          <w:b/>
        </w:rPr>
        <w:t>15</w:t>
      </w:r>
      <w:r>
        <w:rPr/>
        <w:t xml:space="preserve"> {{field-on:bible}} </w:t>
      </w:r>
      <w:r>
        <w:rPr>
          <w:strike/>
          <w:color w:val="808080"/>
        </w:rPr>
        <w:t>{und (aber)}</w:t>
      </w:r>
      <w:r>
        <w:rPr/>
        <w:t xml:space="preserve"> Die am Wegesrand </w:t>
      </w:r>
      <w:r>
        <w:rPr>
          <w:color w:val="808080"/>
        </w:rPr>
        <w:t>(auf dem Weg)</w:t>
      </w:r>
      <w:r>
        <w:rPr/>
        <w:t xml:space="preserve"> sind diejenigen, in die </w:t>
      </w:r>
      <w:r>
        <w:rPr>
          <w:color w:val="808080"/>
        </w:rPr>
        <w:t>(wo)</w:t>
      </w:r>
      <w:r>
        <w:rPr/>
        <w:t xml:space="preserve"> das Wort </w:t>
      </w:r>
      <w:r>
        <w:rPr>
          <w:color w:val="808080"/>
        </w:rPr>
        <w:t>(die Botschaft)</w:t>
      </w:r>
      <w:r>
        <w:rPr/>
        <w:t xml:space="preserve"> gesät wird, und sobald sie </w:t>
      </w:r>
      <w:r>
        <w:rPr>
          <w:b/>
          <w:color w:val="808080"/>
        </w:rPr>
        <w:t>[</w:t>
      </w:r>
      <w:r>
        <w:rPr/>
        <w:t>es</w:t>
      </w:r>
      <w:r>
        <w:rPr>
          <w:b/>
          <w:color w:val="808080"/>
        </w:rPr>
        <w:t>]</w:t>
      </w:r>
      <w:r>
        <w:rPr/>
        <w:t xml:space="preserve"> hören, kommt der Satan und nimmt das in </w:t>
      </w:r>
      <w:r>
        <w:rPr>
          <w:color w:val="808080"/>
        </w:rPr>
        <w:t>(auf)</w:t>
      </w:r>
      <w:r>
        <w:rPr/>
        <w:t xml:space="preserve"> sie hineingesäte Wort </w:t>
      </w:r>
      <w:r>
        <w:rPr>
          <w:color w:val="808080"/>
        </w:rPr>
        <w:t>(Botschaft)</w:t>
      </w:r>
      <w:r>
        <w:rPr/>
        <w:t xml:space="preserve"> gleich </w:t>
      </w:r>
      <w:r>
        <w:rPr>
          <w:color w:val="808080"/>
        </w:rPr>
        <w:t>(schnell)</w:t>
      </w:r>
      <w:r>
        <w:rPr/>
        <w:t xml:space="preserve"> wieder weg.{{field-off:bible}} </w:t>
        <w:br/>
        <w:t>[[@BibleTOBIBLE:Mk 4:16]]</w:t>
      </w:r>
      <w:r>
        <w:rPr>
          <w:b/>
        </w:rPr>
        <w:t>16</w:t>
      </w:r>
      <w:r>
        <w:rPr/>
        <w:t xml:space="preserve"> {{field-on:bible}}Und die auf den felsigen Boden Gesäten sind diejenigen, die das Wort </w:t>
      </w:r>
      <w:r>
        <w:rPr>
          <w:color w:val="808080"/>
        </w:rPr>
        <w:t>(Botschaft)</w:t>
      </w:r>
      <w:r>
        <w:rPr/>
        <w:t xml:space="preserve"> gleich mit Freuden annehmen, sobald sie es hören </w:t>
      </w:r>
      <w:r>
        <w:rPr>
          <w:rStyle w:val="Funotenanker"/>
        </w:rPr>
        <w:footnoteReference w:customMarkFollows="1" w:id="1401"/>
        <w:t>t</w:t>
      </w:r>
      <w:r>
        <w:rPr/>
        <w:t xml:space="preserve">,{{field-off:bible}} </w:t>
        <w:br/>
        <w:t>[[@BibleTOBIBLE:Mk 4:17]]</w:t>
      </w:r>
      <w:r>
        <w:rPr>
          <w:b/>
        </w:rPr>
        <w:t>17</w:t>
      </w:r>
      <w:r>
        <w:rPr/>
        <w:t xml:space="preserve"> {{field-on:bible}}aber </w:t>
      </w:r>
      <w:r>
        <w:rPr>
          <w:color w:val="808080"/>
        </w:rPr>
        <w:t>(und)</w:t>
      </w:r>
      <w:r>
        <w:rPr/>
        <w:t xml:space="preserve"> keine Wurzel in sich haben, sondern unbeständig sind. Wenn es dann wegen des Wortes </w:t>
      </w:r>
      <w:r>
        <w:rPr>
          <w:color w:val="808080"/>
        </w:rPr>
        <w:t>(der Botschaft)</w:t>
      </w:r>
      <w:r>
        <w:rPr/>
        <w:t xml:space="preserve"> zu Leid </w:t>
      </w:r>
      <w:r>
        <w:rPr>
          <w:color w:val="808080"/>
        </w:rPr>
        <w:t>(Bedrängnis, Schwierigkeiten)</w:t>
      </w:r>
      <w:r>
        <w:rPr/>
        <w:t xml:space="preserve"> oder Verfolgung kommt, </w:t>
      </w:r>
      <w:r>
        <w:rPr>
          <w:rStyle w:val="Funotenanker"/>
        </w:rPr>
        <w:footnoteReference w:customMarkFollows="1" w:id="1402"/>
        <w:t>u</w:t>
      </w:r>
      <w:r>
        <w:rPr/>
        <w:t xml:space="preserve"> geben sie bald </w:t>
      </w:r>
      <w:r>
        <w:rPr>
          <w:color w:val="808080"/>
        </w:rPr>
        <w:t>(schnell, gleich)</w:t>
      </w:r>
      <w:r>
        <w:rPr/>
        <w:t xml:space="preserve"> auf </w:t>
      </w:r>
      <w:r>
        <w:rPr>
          <w:color w:val="808080"/>
        </w:rPr>
        <w:t>(wenden sich/fallen ab, kommen zu Fall, ärgern sich)</w:t>
      </w:r>
      <w:r>
        <w:rPr/>
        <w:t xml:space="preserve">.{{field-off:bible}} </w:t>
        <w:br/>
        <w:t>[[@BibleTOBIBLE:Mk 4:18]]</w:t>
      </w:r>
      <w:r>
        <w:rPr>
          <w:b/>
        </w:rPr>
        <w:t>18</w:t>
      </w:r>
      <w:r>
        <w:rPr/>
        <w:t xml:space="preserve"> {{field-on:bible}} </w:t>
      </w:r>
      <w:r>
        <w:rPr>
          <w:strike/>
          <w:color w:val="808080"/>
        </w:rPr>
        <w:t>{und}</w:t>
      </w:r>
      <w:r>
        <w:rPr/>
        <w:t xml:space="preserve"> Andere sind die unter die Dornengewächse </w:t>
      </w:r>
      <w:r>
        <w:rPr>
          <w:color w:val="808080"/>
        </w:rPr>
        <w:t>(Dornbüsche, Dornen)</w:t>
      </w:r>
      <w:r>
        <w:rPr/>
        <w:t xml:space="preserve"> Gesäten. Es sind diejenigen, die das Wort </w:t>
      </w:r>
      <w:r>
        <w:rPr>
          <w:color w:val="808080"/>
        </w:rPr>
        <w:t>(die Botschaft)</w:t>
      </w:r>
      <w:r>
        <w:rPr/>
        <w:t xml:space="preserve"> hören </w:t>
      </w:r>
      <w:r>
        <w:rPr>
          <w:color w:val="808080"/>
        </w:rPr>
        <w:t>(gehört haben)</w:t>
      </w:r>
      <w:r>
        <w:rPr/>
        <w:t xml:space="preserve">, </w:t>
      </w:r>
      <w:r>
        <w:rPr>
          <w:rStyle w:val="Funotenanker"/>
        </w:rPr>
        <w:footnoteReference w:customMarkFollows="1" w:id="1403"/>
        <w:t>v</w:t>
      </w:r>
      <w:r>
        <w:rPr/>
        <w:t xml:space="preserve"> {{field-off:bible}} </w:t>
        <w:br/>
        <w:t>[[@BibleTOBIBLE:Mk 4:19]]</w:t>
      </w:r>
      <w:r>
        <w:rPr>
          <w:b/>
        </w:rPr>
        <w:t>19</w:t>
      </w:r>
      <w:r>
        <w:rPr/>
        <w:t xml:space="preserve"> {{field-on:bible}}und </w:t>
      </w:r>
      <w:r>
        <w:rPr>
          <w:color w:val="808080"/>
        </w:rPr>
        <w:t>(aber)</w:t>
      </w:r>
      <w:r>
        <w:rPr/>
        <w:t xml:space="preserve"> wenn weltliche Sorgen </w:t>
      </w:r>
      <w:r>
        <w:rPr>
          <w:color w:val="808080"/>
        </w:rPr>
        <w:t>(Sorgen der Gegenwart, Zeit)</w:t>
      </w:r>
      <w:r>
        <w:rPr/>
        <w:t xml:space="preserve"> </w:t>
      </w:r>
      <w:r>
        <w:rPr>
          <w:rStyle w:val="Funotenanker"/>
        </w:rPr>
        <w:footnoteReference w:customMarkFollows="1" w:id="1404"/>
        <w:t>w</w:t>
      </w:r>
      <w:r>
        <w:rPr/>
        <w:t xml:space="preserve"> , </w:t>
      </w:r>
      <w:r>
        <w:rPr>
          <w:strike/>
          <w:color w:val="808080"/>
        </w:rPr>
        <w:t>{und}</w:t>
      </w:r>
      <w:r>
        <w:rPr/>
        <w:t xml:space="preserve"> die Verlockung </w:t>
      </w:r>
      <w:r>
        <w:rPr>
          <w:color w:val="808080"/>
        </w:rPr>
        <w:t>(Täuschung)</w:t>
      </w:r>
      <w:r>
        <w:rPr/>
        <w:t xml:space="preserve"> des Reichtums und das Verlangen </w:t>
      </w:r>
      <w:r>
        <w:rPr>
          <w:color w:val="808080"/>
        </w:rPr>
        <w:t>(die Gier, Sehnsucht)</w:t>
      </w:r>
      <w:r>
        <w:rPr/>
        <w:t xml:space="preserve"> nach allem anderen dazukommen </w:t>
      </w:r>
      <w:r>
        <w:rPr>
          <w:color w:val="808080"/>
        </w:rPr>
        <w:t>(sich breit machen)</w:t>
      </w:r>
      <w:r>
        <w:rPr/>
        <w:t xml:space="preserve">, </w:t>
      </w:r>
      <w:r>
        <w:rPr>
          <w:rStyle w:val="Funotenanker"/>
        </w:rPr>
        <w:footnoteReference w:customMarkFollows="1" w:id="1405"/>
        <w:t>x</w:t>
      </w:r>
      <w:r>
        <w:rPr/>
        <w:t xml:space="preserve"> ersticken sie das Wort </w:t>
      </w:r>
      <w:r>
        <w:rPr>
          <w:color w:val="808080"/>
        </w:rPr>
        <w:t>(die Botschaft)</w:t>
      </w:r>
      <w:r>
        <w:rPr/>
        <w:t xml:space="preserve"> und </w:t>
      </w:r>
      <w:r>
        <w:rPr>
          <w:color w:val="808080"/>
        </w:rPr>
        <w:t>(sodass)</w:t>
      </w:r>
      <w:r>
        <w:rPr/>
        <w:t xml:space="preserve"> es wird unfruchtbar.{{field-off:bible}} </w:t>
        <w:br/>
        <w:t>[[@BibleTOBIBLE:Mk 4:20]]</w:t>
      </w:r>
      <w:r>
        <w:rPr>
          <w:b/>
        </w:rPr>
        <w:t>20</w:t>
      </w:r>
      <w:r>
        <w:rPr/>
        <w:t xml:space="preserve"> {{field-on:bible}}Und die auf die gute Erde gesät werden, </w:t>
      </w:r>
      <w:r>
        <w:rPr>
          <w:rStyle w:val="Funotenanker"/>
        </w:rPr>
        <w:footnoteReference w:customMarkFollows="1" w:id="1406"/>
        <w:t>y</w:t>
      </w:r>
      <w:r>
        <w:rPr/>
        <w:t xml:space="preserve"> sind jene, die das Wort </w:t>
      </w:r>
      <w:r>
        <w:rPr>
          <w:color w:val="808080"/>
        </w:rPr>
        <w:t>(die Botschaft)</w:t>
      </w:r>
      <w:r>
        <w:rPr/>
        <w:t xml:space="preserve"> hören und annehmen und Frucht bringen, eines 30, </w:t>
      </w:r>
      <w:r>
        <w:rPr>
          <w:strike/>
          <w:color w:val="808080"/>
        </w:rPr>
        <w:t>{und}</w:t>
      </w:r>
      <w:r>
        <w:rPr/>
        <w:t xml:space="preserve"> eines 60 und eines 100 </w:t>
      </w:r>
      <w:r>
        <w:rPr>
          <w:color w:val="808080"/>
        </w:rPr>
        <w:t xml:space="preserve">(dreißigfach, </w:t>
      </w:r>
      <w:r>
        <w:rPr>
          <w:strike/>
          <w:color w:val="808080"/>
        </w:rPr>
        <w:t>{und}</w:t>
      </w:r>
      <w:r>
        <w:rPr>
          <w:color w:val="808080"/>
        </w:rPr>
        <w:t xml:space="preserve"> sechzigfach und hundertfach)</w:t>
      </w:r>
      <w:r>
        <w:rPr/>
        <w:t xml:space="preserve"> </w:t>
      </w:r>
      <w:r>
        <w:rPr>
          <w:rStyle w:val="Funotenanker"/>
        </w:rPr>
        <w:footnoteReference w:customMarkFollows="1" w:id="1407"/>
        <w:t>z</w:t>
      </w:r>
      <w:r>
        <w:rPr/>
        <w:t xml:space="preserve">.“{{field-off:bible}} </w:t>
        <w:br/>
        <w:t>[[@BibleTOBIBLE:Mk 4:21]]</w:t>
      </w:r>
      <w:r>
        <w:rPr>
          <w:b/>
        </w:rPr>
        <w:t>21</w:t>
      </w:r>
      <w:r>
        <w:rPr/>
        <w:t xml:space="preserve"> {{field-on:bible}}Und </w:t>
      </w:r>
      <w:r>
        <w:rPr>
          <w:color w:val="808080"/>
        </w:rPr>
        <w:t>(Dann)</w:t>
      </w:r>
      <w:r>
        <w:rPr/>
        <w:t xml:space="preserve"> er sagte zu ihnen: „Bringt man </w:t>
      </w:r>
      <w:r>
        <w:rPr>
          <w:rStyle w:val="Funotenanker"/>
        </w:rPr>
        <w:footnoteReference w:customMarkFollows="1" w:id="1408"/>
        <w:t>aa</w:t>
      </w:r>
      <w:r>
        <w:rPr/>
        <w:t xml:space="preserve"> etwa </w:t>
      </w:r>
      <w:r>
        <w:rPr>
          <w:b/>
          <w:color w:val="808080"/>
        </w:rPr>
        <w:t>[</w:t>
      </w:r>
      <w:r>
        <w:rPr/>
        <w:t>eine</w:t>
      </w:r>
      <w:r>
        <w:rPr>
          <w:b/>
          <w:color w:val="808080"/>
        </w:rPr>
        <w:t>]</w:t>
      </w:r>
      <w:r>
        <w:rPr/>
        <w:t xml:space="preserve"> Lampe, um sie unter </w:t>
      </w:r>
      <w:r>
        <w:rPr>
          <w:b/>
          <w:color w:val="808080"/>
        </w:rPr>
        <w:t>[</w:t>
      </w:r>
      <w:r>
        <w:rPr/>
        <w:t>einen</w:t>
      </w:r>
      <w:r>
        <w:rPr>
          <w:b/>
          <w:color w:val="808080"/>
        </w:rPr>
        <w:t>]</w:t>
      </w:r>
      <w:r>
        <w:rPr/>
        <w:t xml:space="preserve"> Behälter </w:t>
      </w:r>
      <w:r>
        <w:rPr>
          <w:color w:val="808080"/>
        </w:rPr>
        <w:t>(Scheffel, Gefäß, Schüssel, Eimer)</w:t>
      </w:r>
      <w:r>
        <w:rPr/>
        <w:t xml:space="preserve"> oder unter das Bett </w:t>
      </w:r>
      <w:r>
        <w:rPr>
          <w:color w:val="808080"/>
        </w:rPr>
        <w:t>(Liege, Sofa)</w:t>
      </w:r>
      <w:r>
        <w:rPr/>
        <w:t xml:space="preserve"> zu stellen? Oder doch eher </w:t>
      </w:r>
      <w:r>
        <w:rPr>
          <w:color w:val="808080"/>
        </w:rPr>
        <w:t>(Nein)</w:t>
      </w:r>
      <w:r>
        <w:rPr/>
        <w:t xml:space="preserve">, um sie auf den Lampenständer </w:t>
      </w:r>
      <w:r>
        <w:rPr>
          <w:color w:val="808080"/>
        </w:rPr>
        <w:t>(Leuchter)</w:t>
      </w:r>
      <w:r>
        <w:rPr/>
        <w:t xml:space="preserve"> zu stellen </w:t>
      </w:r>
      <w:r>
        <w:rPr>
          <w:rStyle w:val="Funotenanker"/>
        </w:rPr>
        <w:footnoteReference w:customMarkFollows="1" w:id="1409"/>
        <w:t>ab</w:t>
      </w:r>
      <w:r>
        <w:rPr/>
        <w:t xml:space="preserve">?{{field-off:bible}} </w:t>
        <w:br/>
        <w:t>[[@BibleTOBIBLE:Mk 4:22]]</w:t>
      </w:r>
      <w:r>
        <w:rPr>
          <w:b/>
        </w:rPr>
        <w:t>22</w:t>
      </w:r>
      <w:r>
        <w:rPr/>
        <w:t xml:space="preserve"> {{field-on:bible}}Denn es gibt nichts Verborgenes </w:t>
      </w:r>
      <w:r>
        <w:rPr>
          <w:color w:val="808080"/>
        </w:rPr>
        <w:t>(Verstecktes, Geheimes)</w:t>
      </w:r>
      <w:r>
        <w:rPr/>
        <w:t xml:space="preserve">, außer um es öffentlich </w:t>
      </w:r>
      <w:r>
        <w:rPr>
          <w:color w:val="808080"/>
        </w:rPr>
        <w:t>(offenbar, sichtbar)</w:t>
      </w:r>
      <w:r>
        <w:rPr/>
        <w:t xml:space="preserve"> zu machen </w:t>
      </w:r>
      <w:r>
        <w:rPr>
          <w:rStyle w:val="Funotenanker"/>
        </w:rPr>
        <w:footnoteReference w:customMarkFollows="1" w:id="1410"/>
        <w:t>ac</w:t>
      </w:r>
      <w:r>
        <w:rPr/>
        <w:t xml:space="preserve"> , und es ist auch nichts geheim </w:t>
      </w:r>
      <w:r>
        <w:rPr>
          <w:color w:val="808080"/>
        </w:rPr>
        <w:t>(verborgen)</w:t>
      </w:r>
      <w:r>
        <w:rPr/>
        <w:t xml:space="preserve"> geworden </w:t>
      </w:r>
      <w:r>
        <w:rPr>
          <w:color w:val="808080"/>
        </w:rPr>
        <w:t>(geschehen)</w:t>
      </w:r>
      <w:r>
        <w:rPr/>
        <w:t xml:space="preserve">, außer um ins Tageslicht </w:t>
      </w:r>
      <w:r>
        <w:rPr>
          <w:color w:val="808080"/>
        </w:rPr>
        <w:t>(Offene)</w:t>
      </w:r>
      <w:r>
        <w:rPr/>
        <w:t xml:space="preserve"> zu kommen.{{field-off:bible}} </w:t>
        <w:br/>
        <w:t>[[@BibleTOBIBLE:Mk 4:23]]</w:t>
      </w:r>
      <w:r>
        <w:rPr>
          <w:b/>
        </w:rPr>
        <w:t>23</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4:24]]</w:t>
      </w:r>
      <w:r>
        <w:rPr>
          <w:b/>
        </w:rPr>
        <w:t>24</w:t>
      </w:r>
      <w:r>
        <w:rPr/>
        <w:t xml:space="preserve"> {{field-on:bible}}Und </w:t>
      </w:r>
      <w:r>
        <w:rPr>
          <w:color w:val="808080"/>
        </w:rPr>
        <w:t>(Dann)</w:t>
      </w:r>
      <w:r>
        <w:rPr/>
        <w:t xml:space="preserve"> er sagte zu ihnen: „Achtet auf </w:t>
      </w:r>
      <w:r>
        <w:rPr>
          <w:b/>
          <w:color w:val="808080"/>
        </w:rPr>
        <w:t>[</w:t>
      </w:r>
      <w:r>
        <w:rPr/>
        <w:t>das</w:t>
      </w:r>
      <w:r>
        <w:rPr>
          <w:b/>
          <w:color w:val="808080"/>
        </w:rPr>
        <w:t>]</w:t>
      </w:r>
      <w:r>
        <w:rPr/>
        <w:t xml:space="preserve">, was ihr hört! Mit dem Maß, mit dem ihr messt </w:t>
      </w:r>
      <w:r>
        <w:rPr>
          <w:color w:val="808080"/>
        </w:rPr>
        <w:t>(zuteilt)</w:t>
      </w:r>
      <w:r>
        <w:rPr/>
        <w:t xml:space="preserve">, wird euch </w:t>
      </w:r>
      <w:r>
        <w:rPr>
          <w:b/>
          <w:color w:val="808080"/>
        </w:rPr>
        <w:t>[</w:t>
      </w:r>
      <w:r>
        <w:rPr/>
        <w:t>euer Teil</w:t>
      </w:r>
      <w:r>
        <w:rPr>
          <w:b/>
          <w:color w:val="808080"/>
        </w:rPr>
        <w:t>]</w:t>
      </w:r>
      <w:r>
        <w:rPr/>
        <w:t xml:space="preserve"> zugemessen </w:t>
      </w:r>
      <w:r>
        <w:rPr>
          <w:color w:val="808080"/>
        </w:rPr>
        <w:t>(zugeteilt)</w:t>
      </w:r>
      <w:r>
        <w:rPr/>
        <w:t xml:space="preserve"> werden, und euch wird noch mehr gegeben werden.{{field-off:bible}} </w:t>
        <w:br/>
        <w:t>[[@BibleTOBIBLE:Mk 4:25]]</w:t>
      </w:r>
      <w:r>
        <w:rPr>
          <w:b/>
        </w:rPr>
        <w:t>25</w:t>
      </w:r>
      <w:r>
        <w:rPr/>
        <w:t xml:space="preserve"> {{field-on:bible}}Denn wer hat, dem wird gegeben und wer nicht hat, </w:t>
      </w:r>
      <w:r>
        <w:rPr>
          <w:strike/>
          <w:color w:val="808080"/>
        </w:rPr>
        <w:t>{von}</w:t>
      </w:r>
      <w:r>
        <w:rPr/>
        <w:t xml:space="preserve"> dem wird auch das, </w:t>
      </w:r>
      <w:r>
        <w:rPr>
          <w:b/>
          <w:color w:val="808080"/>
        </w:rPr>
        <w:t>[</w:t>
      </w:r>
      <w:r>
        <w:rPr/>
        <w:t>was</w:t>
      </w:r>
      <w:r>
        <w:rPr>
          <w:b/>
          <w:color w:val="808080"/>
        </w:rPr>
        <w:t>]</w:t>
      </w:r>
      <w:r>
        <w:rPr/>
        <w:t xml:space="preserve"> er hat, weggenommen werden.“{{field-off:bible}} </w:t>
        <w:br/>
        <w:t>[[@BibleTOBIBLE:Mk 4:26]]</w:t>
      </w:r>
      <w:r>
        <w:rPr>
          <w:b/>
        </w:rPr>
        <w:t>26</w:t>
      </w:r>
      <w:r>
        <w:rPr/>
        <w:t xml:space="preserve"> {{field-on:bible}}Und </w:t>
      </w:r>
      <w:r>
        <w:rPr>
          <w:color w:val="808080"/>
        </w:rPr>
        <w:t>(Dann)</w:t>
      </w:r>
      <w:r>
        <w:rPr/>
        <w:t xml:space="preserve"> er sagte : „Gottes Königreich </w:t>
      </w:r>
      <w:r>
        <w:rPr>
          <w:color w:val="808080"/>
        </w:rPr>
        <w:t>(Königsherrschaft)</w:t>
      </w:r>
      <w:r>
        <w:rPr/>
        <w:t xml:space="preserve"> ist so, wie wenn ein Mann die Saat </w:t>
      </w:r>
      <w:r>
        <w:rPr>
          <w:color w:val="808080"/>
        </w:rPr>
        <w:t>(</w:t>
      </w:r>
      <w:r>
        <w:rPr>
          <w:b/>
          <w:color w:val="808080"/>
        </w:rPr>
        <w:t>[</w:t>
      </w:r>
      <w:r>
        <w:rPr>
          <w:color w:val="808080"/>
        </w:rPr>
        <w:t>einen</w:t>
      </w:r>
      <w:r>
        <w:rPr>
          <w:b/>
          <w:color w:val="808080"/>
        </w:rPr>
        <w:t>]</w:t>
      </w:r>
      <w:r>
        <w:rPr>
          <w:color w:val="808080"/>
        </w:rPr>
        <w:t xml:space="preserve"> Samen)</w:t>
      </w:r>
      <w:r>
        <w:rPr/>
        <w:t xml:space="preserve"> auf das Ackerland </w:t>
      </w:r>
      <w:r>
        <w:rPr>
          <w:color w:val="808080"/>
        </w:rPr>
        <w:t>(den Boden)</w:t>
      </w:r>
      <w:r>
        <w:rPr/>
        <w:t xml:space="preserve"> streut </w:t>
      </w:r>
      <w:r>
        <w:rPr>
          <w:color w:val="808080"/>
        </w:rPr>
        <w:t>(wirft, fallen lässt)</w:t>
      </w:r>
      <w:r>
        <w:rPr/>
        <w:t xml:space="preserve">.{{field-off:bible}} </w:t>
        <w:br/>
        <w:t>[[@BibleTOBIBLE:Mk 4:27]]</w:t>
      </w:r>
      <w:r>
        <w:rPr>
          <w:b/>
        </w:rPr>
        <w:t>27</w:t>
      </w:r>
      <w:r>
        <w:rPr/>
        <w:t xml:space="preserve"> {{field-on:bible}}Während </w:t>
      </w:r>
      <w:r>
        <w:rPr>
          <w:color w:val="808080"/>
        </w:rPr>
        <w:t>(dann, und)</w:t>
      </w:r>
      <w:r>
        <w:rPr/>
        <w:t xml:space="preserve"> </w:t>
      </w:r>
      <w:r>
        <w:rPr>
          <w:rStyle w:val="Funotenanker"/>
        </w:rPr>
        <w:footnoteReference w:customMarkFollows="1" w:id="1411"/>
        <w:t>ad</w:t>
      </w:r>
      <w:r>
        <w:rPr/>
        <w:t xml:space="preserve"> er schläft und erwacht, Nacht und Tag, </w:t>
      </w:r>
      <w:r>
        <w:rPr>
          <w:strike/>
          <w:color w:val="808080"/>
        </w:rPr>
        <w:t>{und}</w:t>
      </w:r>
      <w:r>
        <w:rPr/>
        <w:t xml:space="preserve"> sprießt und wächst die Saat </w:t>
      </w:r>
      <w:r>
        <w:rPr>
          <w:color w:val="808080"/>
        </w:rPr>
        <w:t>(der Same)</w:t>
      </w:r>
      <w:r>
        <w:rPr/>
        <w:t xml:space="preserve"> – wie </w:t>
      </w:r>
      <w:r>
        <w:rPr>
          <w:color w:val="808080"/>
        </w:rPr>
        <w:t>(während)</w:t>
      </w:r>
      <w:r>
        <w:rPr/>
        <w:t xml:space="preserve">, </w:t>
      </w:r>
      <w:r>
        <w:rPr>
          <w:b/>
          <w:color w:val="808080"/>
        </w:rPr>
        <w:t>[</w:t>
      </w:r>
      <w:r>
        <w:rPr/>
        <w:t>das</w:t>
      </w:r>
      <w:r>
        <w:rPr>
          <w:b/>
          <w:color w:val="808080"/>
        </w:rPr>
        <w:t>]</w:t>
      </w:r>
      <w:r>
        <w:rPr/>
        <w:t xml:space="preserve"> weiß er selbst nicht </w:t>
      </w:r>
      <w:r>
        <w:rPr>
          <w:color w:val="808080"/>
        </w:rPr>
        <w:t>(ohne daß er selbst etwas davon weiß)</w:t>
      </w:r>
      <w:r>
        <w:rPr/>
        <w:t xml:space="preserve"> </w:t>
      </w:r>
      <w:r>
        <w:rPr>
          <w:rStyle w:val="Funotenanker"/>
        </w:rPr>
        <w:footnoteReference w:customMarkFollows="1" w:id="1412"/>
        <w:t>ae</w:t>
      </w:r>
      <w:r>
        <w:rPr/>
        <w:t xml:space="preserve">.{{field-off:bible}} </w:t>
        <w:br/>
        <w:t>[[@BibleTOBIBLE:Mk 4:28]]</w:t>
      </w:r>
      <w:r>
        <w:rPr>
          <w:b/>
        </w:rPr>
        <w:t>28</w:t>
      </w:r>
      <w:r>
        <w:rPr/>
        <w:t xml:space="preserve"> {{field-on:bible}}Von selbst bringt die Erde Frucht, zuerst einen Halm, dann eine Ähre, dann mit voll ausgereiftem Weizen </w:t>
      </w:r>
      <w:r>
        <w:rPr>
          <w:rStyle w:val="Funotenanker"/>
        </w:rPr>
        <w:footnoteReference w:customMarkFollows="1" w:id="1413"/>
        <w:t>af</w:t>
      </w:r>
      <w:r>
        <w:rPr/>
        <w:t xml:space="preserve"> in der Ähre.{{field-off:bible}} </w:t>
        <w:br/>
        <w:t>[[@BibleTOBIBLE:Mk 4:29]]</w:t>
      </w:r>
      <w:r>
        <w:rPr>
          <w:b/>
        </w:rPr>
        <w:t>29</w:t>
      </w:r>
      <w:r>
        <w:rPr/>
        <w:t xml:space="preserve"> {{field-on:bible}}Und </w:t>
      </w:r>
      <w:r>
        <w:rPr>
          <w:color w:val="808080"/>
        </w:rPr>
        <w:t>(aber)</w:t>
      </w:r>
      <w:r>
        <w:rPr/>
        <w:t xml:space="preserve"> sobald die Frucht es zulässt, setzt er gleich </w:t>
      </w:r>
      <w:r>
        <w:rPr>
          <w:color w:val="808080"/>
        </w:rPr>
        <w:t>(bald)</w:t>
      </w:r>
      <w:r>
        <w:rPr/>
        <w:t xml:space="preserve"> die Sichel an </w:t>
      </w:r>
      <w:r>
        <w:rPr>
          <w:color w:val="808080"/>
        </w:rPr>
        <w:t>(sendet aus)</w:t>
      </w:r>
      <w:r>
        <w:rPr/>
        <w:t xml:space="preserve"> </w:t>
      </w:r>
      <w:r>
        <w:rPr>
          <w:rStyle w:val="Funotenanker"/>
        </w:rPr>
        <w:footnoteReference w:customMarkFollows="1" w:id="1414"/>
        <w:t>ag</w:t>
      </w:r>
      <w:r>
        <w:rPr/>
        <w:t xml:space="preserve"> , weil die Erntezeit gekommen ist.“</w:t>
      </w:r>
      <w:r>
        <w:rPr>
          <w:position w:val="8"/>
          <w:sz w:val="19"/>
        </w:rPr>
        <w:t>[[ ℘ &gt;&gt; BibleTOBIBLE:Joe 4:13]]</w:t>
      </w:r>
      <w:r>
        <w:rPr/>
        <w:t xml:space="preserve"> {{field-off:bible}} </w:t>
        <w:br/>
        <w:t>[[@BibleTOBIBLE:Mk 4:30]]</w:t>
      </w:r>
      <w:r>
        <w:rPr>
          <w:b/>
        </w:rPr>
        <w:t>30</w:t>
      </w:r>
      <w:r>
        <w:rPr/>
        <w:t xml:space="preserve"> {{field-on:bible}}Und </w:t>
      </w:r>
      <w:r>
        <w:rPr>
          <w:color w:val="808080"/>
        </w:rPr>
        <w:t>(Dann)</w:t>
      </w:r>
      <w:r>
        <w:rPr/>
        <w:t xml:space="preserve"> sagte er: „Womit können wir Gottes Königreich </w:t>
      </w:r>
      <w:r>
        <w:rPr>
          <w:color w:val="808080"/>
        </w:rPr>
        <w:t>(Königsherrschaft)</w:t>
      </w:r>
      <w:r>
        <w:rPr/>
        <w:t xml:space="preserve"> vergleichen, oder mit </w:t>
      </w:r>
      <w:r>
        <w:rPr>
          <w:color w:val="808080"/>
        </w:rPr>
        <w:t>(in)</w:t>
      </w:r>
      <w:r>
        <w:rPr/>
        <w:t xml:space="preserve"> welchem Bild </w:t>
      </w:r>
      <w:r>
        <w:rPr>
          <w:color w:val="808080"/>
        </w:rPr>
        <w:t>(Gleichnis, Vergleich)</w:t>
      </w:r>
      <w:r>
        <w:rPr/>
        <w:t xml:space="preserve"> können wir es darstellen?{{field-off:bible}} </w:t>
        <w:br/>
        <w:t>[[@BibleTOBIBLE:Mk 4:31]]</w:t>
      </w:r>
      <w:r>
        <w:rPr>
          <w:b/>
        </w:rPr>
        <w:t>31</w:t>
      </w:r>
      <w:r>
        <w:rPr/>
        <w:t xml:space="preserve"> {{field-on:bible}}Mit einem Senfkorn </w:t>
      </w:r>
      <w:r>
        <w:rPr>
          <w:rStyle w:val="Funotenanker"/>
        </w:rPr>
        <w:footnoteReference w:customMarkFollows="1" w:id="1415"/>
        <w:t>ah</w:t>
      </w:r>
      <w:r>
        <w:rPr/>
        <w:t xml:space="preserve"> , das, wenn es in </w:t>
      </w:r>
      <w:r>
        <w:rPr>
          <w:color w:val="808080"/>
        </w:rPr>
        <w:t>(auf)</w:t>
      </w:r>
      <w:r>
        <w:rPr/>
        <w:t xml:space="preserve"> die Erde gesät wird, </w:t>
      </w:r>
      <w:r>
        <w:rPr>
          <w:b/>
          <w:color w:val="808080"/>
        </w:rPr>
        <w:t>[</w:t>
      </w:r>
      <w:r>
        <w:rPr/>
        <w:t>das</w:t>
      </w:r>
      <w:r>
        <w:rPr>
          <w:b/>
          <w:color w:val="808080"/>
        </w:rPr>
        <w:t>]</w:t>
      </w:r>
      <w:r>
        <w:rPr/>
        <w:t xml:space="preserve"> kleinste </w:t>
      </w:r>
      <w:r>
        <w:rPr>
          <w:color w:val="808080"/>
        </w:rPr>
        <w:t xml:space="preserve">(kleiner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416"/>
        <w:t>ai</w:t>
      </w:r>
      <w:r>
        <w:rPr/>
        <w:t xml:space="preserve"> aller Samenkörner ist </w:t>
      </w:r>
      <w:r>
        <w:rPr>
          <w:rStyle w:val="Funotenanker"/>
        </w:rPr>
        <w:footnoteReference w:customMarkFollows="1" w:id="1417"/>
        <w:t>aj</w:t>
      </w:r>
      <w:r>
        <w:rPr/>
        <w:t xml:space="preserve"> , die </w:t>
      </w:r>
      <w:r>
        <w:rPr>
          <w:b/>
          <w:color w:val="808080"/>
        </w:rPr>
        <w:t>[</w:t>
      </w:r>
      <w:r>
        <w:rPr/>
        <w:t>man</w:t>
      </w:r>
      <w:r>
        <w:rPr>
          <w:b/>
          <w:color w:val="808080"/>
        </w:rPr>
        <w:t>]</w:t>
      </w:r>
      <w:r>
        <w:rPr/>
        <w:t xml:space="preserve"> in </w:t>
      </w:r>
      <w:r>
        <w:rPr>
          <w:color w:val="808080"/>
        </w:rPr>
        <w:t>(auf)</w:t>
      </w:r>
      <w:r>
        <w:rPr/>
        <w:t xml:space="preserve"> die Erde </w:t>
      </w:r>
      <w:r>
        <w:rPr>
          <w:b/>
          <w:color w:val="808080"/>
        </w:rPr>
        <w:t>[</w:t>
      </w:r>
      <w:r>
        <w:rPr/>
        <w:t>sät</w:t>
      </w:r>
      <w:r>
        <w:rPr>
          <w:b/>
          <w:color w:val="808080"/>
        </w:rPr>
        <w:t>]</w:t>
      </w:r>
      <w:r>
        <w:rPr/>
        <w:t xml:space="preserve">,{{field-off:bible}} </w:t>
        <w:br/>
        <w:t>[[@BibleTOBIBLE:Mk 4:32]]</w:t>
      </w:r>
      <w:r>
        <w:rPr>
          <w:b/>
        </w:rPr>
        <w:t>32</w:t>
      </w:r>
      <w:r>
        <w:rPr/>
        <w:t xml:space="preserve"> {{field-on:bible}}und wenn es gesät ist, geht es auf </w:t>
      </w:r>
      <w:r>
        <w:rPr>
          <w:color w:val="808080"/>
        </w:rPr>
        <w:t>(wächst es nach oben)</w:t>
      </w:r>
      <w:r>
        <w:rPr/>
        <w:t xml:space="preserve"> und wird </w:t>
      </w:r>
      <w:r>
        <w:rPr>
          <w:b/>
          <w:color w:val="808080"/>
        </w:rPr>
        <w:t>[</w:t>
      </w:r>
      <w:r>
        <w:rPr/>
        <w:t>die</w:t>
      </w:r>
      <w:r>
        <w:rPr>
          <w:b/>
          <w:color w:val="808080"/>
        </w:rPr>
        <w:t>]</w:t>
      </w:r>
      <w:r>
        <w:rPr/>
        <w:t xml:space="preserve"> größte </w:t>
      </w:r>
      <w:r>
        <w:rPr>
          <w:color w:val="808080"/>
        </w:rPr>
        <w:t xml:space="preserve">(größer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418"/>
        <w:t>ak</w:t>
      </w:r>
      <w:r>
        <w:rPr/>
        <w:t xml:space="preserve"> aller Gartenpflanzen, und es treibt so große Zweige, dass in seinem Schatten </w:t>
      </w:r>
      <w:r>
        <w:rPr>
          <w:rStyle w:val="Funotenanker"/>
        </w:rPr>
        <w:footnoteReference w:customMarkFollows="1" w:id="1419"/>
        <w:t>al</w:t>
      </w:r>
      <w:r>
        <w:rPr/>
        <w:t xml:space="preserve"> die Vögel des Himmels nisten </w:t>
      </w:r>
      <w:r>
        <w:rPr>
          <w:color w:val="808080"/>
        </w:rPr>
        <w:t>(Unterschlupf finden)</w:t>
      </w:r>
      <w:r>
        <w:rPr/>
        <w:t xml:space="preserve"> können.“</w:t>
      </w:r>
      <w:r>
        <w:rPr>
          <w:position w:val="8"/>
          <w:sz w:val="19"/>
        </w:rPr>
        <w:t>[[ ℘ &gt;&gt; BibleTOBIBLE:Eze 17:23]][[ ℘ &gt;&gt; BibleTOBIBLE:Da 4:9]][[ ℘ &gt;&gt; BibleTOBIBLE:Da 4:18]]</w:t>
      </w:r>
      <w:r>
        <w:rPr/>
        <w:t xml:space="preserve"> {{field-off:bible}} </w:t>
        <w:br/>
        <w:t>[[@BibleTOBIBLE:Mk 4:33]]</w:t>
      </w:r>
      <w:r>
        <w:rPr>
          <w:b/>
        </w:rPr>
        <w:t>33</w:t>
      </w:r>
      <w:r>
        <w:rPr/>
        <w:t xml:space="preserve"> {{field-on:bible}}So </w:t>
      </w:r>
      <w:r>
        <w:rPr>
          <w:color w:val="808080"/>
        </w:rPr>
        <w:t>(Und)</w:t>
      </w:r>
      <w:r>
        <w:rPr/>
        <w:t xml:space="preserve"> erläuterte </w:t>
      </w:r>
      <w:r>
        <w:rPr>
          <w:color w:val="808080"/>
        </w:rPr>
        <w:t>(verkündete, sagte)</w:t>
      </w:r>
      <w:r>
        <w:rPr/>
        <w:t xml:space="preserve"> </w:t>
      </w:r>
      <w:r>
        <w:rPr>
          <w:rStyle w:val="Funotenanker"/>
        </w:rPr>
        <w:footnoteReference w:customMarkFollows="1" w:id="1420"/>
        <w:t>am</w:t>
      </w:r>
      <w:r>
        <w:rPr/>
        <w:t xml:space="preserve"> er ihnen mit </w:t>
      </w:r>
      <w:r>
        <w:rPr>
          <w:color w:val="808080"/>
        </w:rPr>
        <w:t>(in)</w:t>
      </w:r>
      <w:r>
        <w:rPr/>
        <w:t xml:space="preserve"> vielen solchen Gleichnissen </w:t>
      </w:r>
      <w:r>
        <w:rPr>
          <w:color w:val="808080"/>
        </w:rPr>
        <w:t>(Bildern, Vergleichen)</w:t>
      </w:r>
      <w:r>
        <w:rPr/>
        <w:t xml:space="preserve"> </w:t>
      </w:r>
      <w:r>
        <w:rPr>
          <w:b/>
          <w:color w:val="808080"/>
        </w:rPr>
        <w:t>[</w:t>
      </w:r>
      <w:r>
        <w:rPr/>
        <w:t>seine</w:t>
      </w:r>
      <w:r>
        <w:rPr>
          <w:b/>
          <w:color w:val="808080"/>
        </w:rPr>
        <w:t>]</w:t>
      </w:r>
      <w:r>
        <w:rPr/>
        <w:t xml:space="preserve"> Botschaft </w:t>
      </w:r>
      <w:r>
        <w:rPr>
          <w:color w:val="808080"/>
        </w:rPr>
        <w:t>(das Wort)</w:t>
      </w:r>
      <w:r>
        <w:rPr/>
        <w:t xml:space="preserve"> so, wie </w:t>
      </w:r>
      <w:r>
        <w:rPr>
          <w:color w:val="808080"/>
        </w:rPr>
        <w:t>(in einer Weise, dass; in dem Maße, wie)</w:t>
      </w:r>
      <w:r>
        <w:rPr/>
        <w:t xml:space="preserve"> </w:t>
      </w:r>
      <w:r>
        <w:rPr>
          <w:rStyle w:val="Funotenanker"/>
        </w:rPr>
        <w:footnoteReference w:customMarkFollows="1" w:id="1421"/>
        <w:t>an</w:t>
      </w:r>
      <w:r>
        <w:rPr/>
        <w:t xml:space="preserve"> sie </w:t>
      </w:r>
      <w:r>
        <w:rPr>
          <w:b/>
          <w:color w:val="808080"/>
        </w:rPr>
        <w:t>[</w:t>
      </w:r>
      <w:r>
        <w:rPr/>
        <w:t>sie</w:t>
      </w:r>
      <w:r>
        <w:rPr>
          <w:b/>
          <w:color w:val="808080"/>
        </w:rPr>
        <w:t>]</w:t>
      </w:r>
      <w:r>
        <w:rPr/>
        <w:t xml:space="preserve"> verstehen </w:t>
      </w:r>
      <w:r>
        <w:rPr>
          <w:color w:val="808080"/>
        </w:rPr>
        <w:t>(hören)</w:t>
      </w:r>
      <w:r>
        <w:rPr/>
        <w:t xml:space="preserve"> konnten.{{field-off:bible}} </w:t>
        <w:br/>
        <w:t>[[@BibleTOBIBLE:Mk 4:34]]</w:t>
      </w:r>
      <w:r>
        <w:rPr>
          <w:b/>
        </w:rPr>
        <w:t>34</w:t>
      </w:r>
      <w:r>
        <w:rPr/>
        <w:t xml:space="preserve"> {{field-on:bible}}Dabei sprach </w:t>
      </w:r>
      <w:r>
        <w:rPr>
          <w:color w:val="808080"/>
        </w:rPr>
        <w:t>(verkündete)</w:t>
      </w:r>
      <w:r>
        <w:rPr/>
        <w:t xml:space="preserve"> er nie ohne Gleichnis </w:t>
      </w:r>
      <w:r>
        <w:rPr>
          <w:color w:val="808080"/>
        </w:rPr>
        <w:t>(Bild, Rätsel, Vergleich)</w:t>
      </w:r>
      <w:r>
        <w:rPr/>
        <w:t xml:space="preserve"> mit </w:t>
      </w:r>
      <w:r>
        <w:rPr>
          <w:color w:val="808080"/>
        </w:rPr>
        <w:t>(zu)</w:t>
      </w:r>
      <w:r>
        <w:rPr/>
        <w:t xml:space="preserve"> ihnen, doch </w:t>
      </w:r>
      <w:r>
        <w:rPr>
          <w:b/>
          <w:color w:val="808080"/>
        </w:rPr>
        <w:t>[</w:t>
      </w:r>
      <w:r>
        <w:rPr/>
        <w:t>wenn er</w:t>
      </w:r>
      <w:r>
        <w:rPr>
          <w:b/>
          <w:color w:val="808080"/>
        </w:rPr>
        <w:t>]</w:t>
      </w:r>
      <w:r>
        <w:rPr/>
        <w:t xml:space="preserve"> mit seinen Jüngern </w:t>
      </w:r>
      <w:r>
        <w:rPr>
          <w:rStyle w:val="Funotenanker"/>
        </w:rPr>
        <w:footnoteReference w:customMarkFollows="1" w:id="1422"/>
        <w:t>ao</w:t>
      </w:r>
      <w:r>
        <w:rPr/>
        <w:t xml:space="preserve"> alleine </w:t>
      </w:r>
      <w:r>
        <w:rPr>
          <w:b/>
          <w:color w:val="808080"/>
        </w:rPr>
        <w:t>[</w:t>
      </w:r>
      <w:r>
        <w:rPr/>
        <w:t>war</w:t>
      </w:r>
      <w:r>
        <w:rPr>
          <w:b/>
          <w:color w:val="808080"/>
        </w:rPr>
        <w:t>]</w:t>
      </w:r>
      <w:r>
        <w:rPr/>
        <w:t xml:space="preserve">, erklärte er </w:t>
      </w:r>
      <w:r>
        <w:rPr>
          <w:color w:val="808080"/>
        </w:rPr>
        <w:t>(löste auf, legte aus)</w:t>
      </w:r>
      <w:r>
        <w:rPr/>
        <w:t xml:space="preserve"> </w:t>
      </w:r>
      <w:r>
        <w:rPr>
          <w:rStyle w:val="Funotenanker"/>
        </w:rPr>
        <w:footnoteReference w:customMarkFollows="1" w:id="1423"/>
        <w:t>ap</w:t>
      </w:r>
      <w:r>
        <w:rPr/>
        <w:t xml:space="preserve"> alles.{{field-off:bible}} </w:t>
        <w:br/>
        <w:t>[[@BibleTOBIBLE:Mk 4:35]]</w:t>
      </w:r>
      <w:r>
        <w:rPr>
          <w:b/>
        </w:rPr>
        <w:t>35</w:t>
      </w:r>
      <w:r>
        <w:rPr/>
        <w:t xml:space="preserve"> {{field-on:bible}}Und an jenem Tag sagte er zu ihnen, als es Abend geworden war: </w:t>
      </w:r>
      <w:r>
        <w:rPr>
          <w:rStyle w:val="Funotenanker"/>
        </w:rPr>
        <w:footnoteReference w:customMarkFollows="1" w:id="1424"/>
        <w:t>aq</w:t>
      </w:r>
      <w:r>
        <w:rPr/>
        <w:t xml:space="preserve"> „Fahren wir doch </w:t>
      </w:r>
      <w:r>
        <w:rPr>
          <w:color w:val="808080"/>
        </w:rPr>
        <w:t>(lasst uns)</w:t>
      </w:r>
      <w:r>
        <w:rPr/>
        <w:t xml:space="preserve"> ans andere Ufer.“ </w:t>
      </w:r>
      <w:r>
        <w:rPr>
          <w:rStyle w:val="Funotenanker"/>
        </w:rPr>
        <w:footnoteReference w:customMarkFollows="1" w:id="1425"/>
        <w:t>ar</w:t>
      </w:r>
      <w:r>
        <w:rPr/>
        <w:t xml:space="preserve"> {{field-off:bible}} </w:t>
        <w:br/>
        <w:t>[[@BibleTOBIBLE:Mk 4:36]]</w:t>
      </w:r>
      <w:r>
        <w:rPr>
          <w:b/>
        </w:rPr>
        <w:t>36</w:t>
      </w:r>
      <w:r>
        <w:rPr/>
        <w:t xml:space="preserve"> {{field-on:bible}}Und nachdem sie die Menschenmenge weggeschickt hatten </w:t>
      </w:r>
      <w:r>
        <w:rPr>
          <w:color w:val="808080"/>
        </w:rPr>
        <w:t>(wobei … zurückließen)</w:t>
      </w:r>
      <w:r>
        <w:rPr/>
        <w:t xml:space="preserve">, </w:t>
      </w:r>
      <w:r>
        <w:rPr>
          <w:rStyle w:val="Funotenanker"/>
        </w:rPr>
        <w:footnoteReference w:customMarkFollows="1" w:id="1426"/>
        <w:t>as</w:t>
      </w:r>
      <w:r>
        <w:rPr/>
        <w:t xml:space="preserve"> nahmen sie ihn im Boot mit </w:t>
      </w:r>
      <w:r>
        <w:rPr>
          <w:color w:val="808080"/>
        </w:rPr>
        <w:t>(zu sich ins Boot)</w:t>
      </w:r>
      <w:r>
        <w:rPr/>
        <w:t xml:space="preserve">, wie er war, </w:t>
      </w:r>
      <w:r>
        <w:rPr>
          <w:rStyle w:val="Funotenanker"/>
        </w:rPr>
        <w:footnoteReference w:customMarkFollows="1" w:id="1427"/>
        <w:t>at</w:t>
      </w:r>
      <w:r>
        <w:rPr/>
        <w:t xml:space="preserve"> und auch andere Boote waren bei ihm.{{field-off:bible}} </w:t>
        <w:br/>
        <w:t>[[@BibleTOBIBLE:Mk 4:37]]</w:t>
      </w:r>
      <w:r>
        <w:rPr>
          <w:b/>
        </w:rPr>
        <w:t>37</w:t>
      </w:r>
      <w:r>
        <w:rPr/>
        <w:t xml:space="preserve"> {{field-on:bible}}Da </w:t>
      </w:r>
      <w:r>
        <w:rPr>
          <w:color w:val="808080"/>
        </w:rPr>
        <w:t>(und)</w:t>
      </w:r>
      <w:r>
        <w:rPr/>
        <w:t xml:space="preserve"> kam ein starker Sturmwind </w:t>
      </w:r>
      <w:r>
        <w:rPr>
          <w:rStyle w:val="Funotenanker"/>
        </w:rPr>
        <w:footnoteReference w:customMarkFollows="1" w:id="1428"/>
        <w:t>au</w:t>
      </w:r>
      <w:r>
        <w:rPr/>
        <w:t xml:space="preserve"> auf, und die Wogen schlugen </w:t>
      </w:r>
      <w:r>
        <w:rPr>
          <w:b/>
          <w:color w:val="808080"/>
        </w:rPr>
        <w:t>[</w:t>
      </w:r>
      <w:r>
        <w:rPr/>
        <w:t>bald</w:t>
      </w:r>
      <w:r>
        <w:rPr>
          <w:b/>
          <w:color w:val="808080"/>
        </w:rPr>
        <w:t>]</w:t>
      </w:r>
      <w:r>
        <w:rPr/>
        <w:t xml:space="preserve"> so </w:t>
      </w:r>
      <w:r>
        <w:rPr>
          <w:b/>
          <w:color w:val="808080"/>
        </w:rPr>
        <w:t>[</w:t>
      </w:r>
      <w:r>
        <w:rPr/>
        <w:t>heftig</w:t>
      </w:r>
      <w:r>
        <w:rPr>
          <w:b/>
          <w:color w:val="808080"/>
        </w:rPr>
        <w:t>]</w:t>
      </w:r>
      <w:r>
        <w:rPr/>
        <w:t xml:space="preserve">, </w:t>
      </w:r>
      <w:r>
        <w:rPr>
          <w:b/>
          <w:color w:val="808080"/>
        </w:rPr>
        <w:t>[</w:t>
      </w:r>
      <w:r>
        <w:rPr/>
        <w:t>auch</w:t>
      </w:r>
      <w:r>
        <w:rPr>
          <w:b/>
          <w:color w:val="808080"/>
        </w:rPr>
        <w:t>]</w:t>
      </w:r>
      <w:r>
        <w:rPr/>
        <w:t xml:space="preserve"> in das Boot, dass das Boot sich schon </w:t>
      </w:r>
      <w:r>
        <w:rPr>
          <w:b/>
          <w:color w:val="808080"/>
        </w:rPr>
        <w:t>[</w:t>
      </w:r>
      <w:r>
        <w:rPr/>
        <w:t>langsam</w:t>
      </w:r>
      <w:r>
        <w:rPr>
          <w:b/>
          <w:color w:val="808080"/>
        </w:rPr>
        <w:t>]</w:t>
      </w:r>
      <w:r>
        <w:rPr/>
        <w:t xml:space="preserve"> füllte </w:t>
      </w:r>
      <w:r>
        <w:rPr>
          <w:rStyle w:val="Funotenanker"/>
        </w:rPr>
        <w:footnoteReference w:customMarkFollows="1" w:id="1429"/>
        <w:t>av</w:t>
      </w:r>
      <w:r>
        <w:rPr/>
        <w:t xml:space="preserve">.{{field-off:bible}} </w:t>
        <w:br/>
        <w:t>[[@BibleTOBIBLE:Mk 4:38]]</w:t>
      </w:r>
      <w:r>
        <w:rPr>
          <w:b/>
        </w:rPr>
        <w:t>38</w:t>
      </w:r>
      <w:r>
        <w:rPr/>
        <w:t xml:space="preserve"> {{field-on:bible}}Er befand sich währenddessen am Heck, wo er auf dem Kissen schlief, </w:t>
      </w:r>
      <w:r>
        <w:rPr>
          <w:rStyle w:val="Funotenanker"/>
        </w:rPr>
        <w:footnoteReference w:customMarkFollows="1" w:id="1430"/>
        <w:t>aw</w:t>
      </w:r>
      <w:r>
        <w:rPr/>
        <w:t xml:space="preserve"> und sie weckten ihn und riefen </w:t>
      </w:r>
      <w:r>
        <w:rPr>
          <w:color w:val="808080"/>
        </w:rPr>
        <w:t>(sagten)</w:t>
      </w:r>
      <w:r>
        <w:rPr/>
        <w:t xml:space="preserve"> </w:t>
      </w:r>
      <w:r>
        <w:rPr>
          <w:strike/>
          <w:color w:val="808080"/>
        </w:rPr>
        <w:t>{zu ihm}</w:t>
      </w:r>
      <w:r>
        <w:rPr/>
        <w:t xml:space="preserve">: „Lehrer, kümmert es dich nicht, dass wir umkommen?“{{field-off:bible}} </w:t>
        <w:br/>
        <w:t>[[@BibleTOBIBLE:Mk 4:39]]</w:t>
      </w:r>
      <w:r>
        <w:rPr>
          <w:b/>
        </w:rPr>
        <w:t>39</w:t>
      </w:r>
      <w:r>
        <w:rPr/>
        <w:t xml:space="preserve"> {{field-on:bible}}Da </w:t>
      </w:r>
      <w:r>
        <w:rPr>
          <w:color w:val="808080"/>
        </w:rPr>
        <w:t>(und)</w:t>
      </w:r>
      <w:r>
        <w:rPr/>
        <w:t xml:space="preserve"> wachte er auf, </w:t>
      </w:r>
      <w:r>
        <w:rPr>
          <w:rStyle w:val="Funotenanker"/>
        </w:rPr>
        <w:footnoteReference w:customMarkFollows="1" w:id="1431"/>
        <w:t>ax</w:t>
      </w:r>
      <w:r>
        <w:rPr/>
        <w:t xml:space="preserve"> unterwarf </w:t>
      </w:r>
      <w:r>
        <w:rPr>
          <w:color w:val="808080"/>
        </w:rPr>
        <w:t>(fuhr an)</w:t>
      </w:r>
      <w:r>
        <w:rPr/>
        <w:t xml:space="preserve"> </w:t>
      </w:r>
      <w:r>
        <w:rPr>
          <w:rStyle w:val="Funotenanker"/>
        </w:rPr>
        <w:footnoteReference w:customMarkFollows="1" w:id="1432"/>
        <w:t>ay</w:t>
      </w:r>
      <w:r>
        <w:rPr/>
        <w:t xml:space="preserve"> den Wind und rief </w:t>
      </w:r>
      <w:r>
        <w:rPr>
          <w:color w:val="808080"/>
        </w:rPr>
        <w:t>(sagte)</w:t>
      </w:r>
      <w:r>
        <w:rPr/>
        <w:t xml:space="preserve"> dem Meer </w:t>
      </w:r>
      <w:r>
        <w:rPr>
          <w:color w:val="808080"/>
        </w:rPr>
        <w:t>(See)</w:t>
      </w:r>
      <w:r>
        <w:rPr/>
        <w:t xml:space="preserve"> zu: „Still, sei ruhig!“ Und der Wind ließ nach, und es trat eine große Stille ein.{{field-off:bible}} </w:t>
        <w:br/>
        <w:t>[[@BibleTOBIBLE:Mk 4:40]]</w:t>
      </w:r>
      <w:r>
        <w:rPr>
          <w:b/>
        </w:rPr>
        <w:t>40</w:t>
      </w:r>
      <w:r>
        <w:rPr/>
        <w:t xml:space="preserve"> {{field-on:bible}}Und er sagte zu ihnen: „Warum seid ihr </w:t>
      </w:r>
      <w:r>
        <w:rPr>
          <w:b/>
          <w:color w:val="808080"/>
        </w:rPr>
        <w:t>[</w:t>
      </w:r>
      <w:r>
        <w:rPr/>
        <w:t>so</w:t>
      </w:r>
      <w:r>
        <w:rPr>
          <w:b/>
          <w:color w:val="808080"/>
        </w:rPr>
        <w:t>]</w:t>
      </w:r>
      <w:r>
        <w:rPr/>
        <w:t xml:space="preserve"> furchtsam </w:t>
      </w:r>
      <w:r>
        <w:rPr>
          <w:color w:val="808080"/>
        </w:rPr>
        <w:t>(verzagt)</w:t>
      </w:r>
      <w:r>
        <w:rPr/>
        <w:t xml:space="preserve">? Habt ihr noch keinen Glauben </w:t>
      </w:r>
      <w:r>
        <w:rPr>
          <w:color w:val="808080"/>
        </w:rPr>
        <w:t>(Vertrauen)</w:t>
      </w:r>
      <w:r>
        <w:rPr/>
        <w:t xml:space="preserve">?“{{field-off:bible}} </w:t>
        <w:br/>
        <w:t>[[@BibleTOBIBLE:Mk 4:41]]</w:t>
      </w:r>
      <w:r>
        <w:rPr>
          <w:b/>
        </w:rPr>
        <w:t>41</w:t>
      </w:r>
      <w:r>
        <w:rPr/>
        <w:t xml:space="preserve"> {{field-on:bible}}Da </w:t>
      </w:r>
      <w:r>
        <w:rPr>
          <w:color w:val="808080"/>
        </w:rPr>
        <w:t>(Und)</w:t>
      </w:r>
      <w:r>
        <w:rPr/>
        <w:t xml:space="preserve"> fürchteten sie sich </w:t>
      </w:r>
      <w:r>
        <w:rPr>
          <w:b/>
          <w:color w:val="808080"/>
        </w:rPr>
        <w:t>[</w:t>
      </w:r>
      <w:r>
        <w:rPr/>
        <w:t>mit</w:t>
      </w:r>
      <w:r>
        <w:rPr>
          <w:b/>
          <w:color w:val="808080"/>
        </w:rPr>
        <w:t>]</w:t>
      </w:r>
      <w:r>
        <w:rPr/>
        <w:t xml:space="preserve"> großer Furcht </w:t>
      </w:r>
      <w:r>
        <w:rPr>
          <w:color w:val="808080"/>
        </w:rPr>
        <w:t>(Ehrfurcht)</w:t>
      </w:r>
      <w:r>
        <w:rPr/>
        <w:t xml:space="preserve"> </w:t>
      </w:r>
      <w:r>
        <w:rPr>
          <w:rStyle w:val="Funotenanker"/>
        </w:rPr>
        <w:footnoteReference w:customMarkFollows="1" w:id="1433"/>
        <w:t>az</w:t>
      </w:r>
      <w:r>
        <w:rPr/>
        <w:t xml:space="preserve"> und sagten zueinander: „Wer ist denn dieser </w:t>
      </w:r>
      <w:r>
        <w:rPr>
          <w:b/>
          <w:color w:val="808080"/>
        </w:rPr>
        <w:t>[</w:t>
      </w:r>
      <w:r>
        <w:rPr/>
        <w:t>Mann</w:t>
      </w:r>
      <w:r>
        <w:rPr>
          <w:b/>
          <w:color w:val="808080"/>
        </w:rPr>
        <w:t>]</w:t>
      </w:r>
      <w:r>
        <w:rPr/>
        <w:t xml:space="preserve">, dass sogar der Wind und das Meer </w:t>
      </w:r>
      <w:r>
        <w:rPr>
          <w:color w:val="808080"/>
        </w:rPr>
        <w:t>(der See)</w:t>
      </w:r>
      <w:r>
        <w:rPr/>
        <w:t xml:space="preserve"> ihm gehorchen </w:t>
      </w:r>
      <w:r>
        <w:rPr>
          <w:rStyle w:val="Funotenanker"/>
        </w:rPr>
        <w:footnoteReference w:customMarkFollows="1" w:id="1434"/>
        <w:t>ba</w:t>
      </w:r>
      <w:r>
        <w:rPr/>
        <w:t xml:space="preserve">?“{{field-off:bible}} </w:t>
      </w:r>
    </w:p>
    <w:p>
      <w:pPr>
        <w:pStyle w:val="Berschrift3"/>
        <w:rPr/>
      </w:pPr>
      <w:r>
        <w:rPr/>
        <w:t>[[@BibleTOBIBLE:Mk 5]]Kapitel 5</w:t>
      </w:r>
    </w:p>
    <w:p>
      <w:pPr>
        <w:pStyle w:val="Textkrper"/>
        <w:rPr/>
      </w:pPr>
      <w:r>
        <w:rPr/>
        <w:br/>
        <w:t>[[@BibleTOBIBLE:Mk 5:1]]</w:t>
      </w:r>
      <w:r>
        <w:rPr>
          <w:b/>
        </w:rPr>
        <w:t>1</w:t>
      </w:r>
      <w:r>
        <w:rPr/>
        <w:t xml:space="preserve"> {{field-on:bible}} </w:t>
      </w:r>
      <w:r>
        <w:rPr>
          <w:rStyle w:val="Funotenanker"/>
        </w:rPr>
        <w:footnoteReference w:customMarkFollows="1" w:id="1435"/>
        <w:t>Status</w:t>
      </w:r>
      <w:r>
        <w:rPr/>
        <w:t xml:space="preserve"> Und sie kamen ans andere Ufer des Meeres </w:t>
      </w:r>
      <w:r>
        <w:rPr>
          <w:color w:val="808080"/>
        </w:rPr>
        <w:t>(Sees)</w:t>
      </w:r>
      <w:r>
        <w:rPr/>
        <w:t xml:space="preserve">, in das Gebiet </w:t>
      </w:r>
      <w:r>
        <w:rPr>
          <w:color w:val="808080"/>
        </w:rPr>
        <w:t>(Land)</w:t>
      </w:r>
      <w:r>
        <w:rPr/>
        <w:t xml:space="preserve"> der Gerasener </w:t>
      </w:r>
      <w:r>
        <w:rPr>
          <w:color w:val="808080"/>
        </w:rPr>
        <w:t>(Gergesener, Gadarener)</w:t>
      </w:r>
      <w:r>
        <w:rPr/>
        <w:t xml:space="preserve"> </w:t>
      </w:r>
      <w:r>
        <w:rPr>
          <w:rStyle w:val="Funotenanker"/>
        </w:rPr>
        <w:footnoteReference w:customMarkFollows="1" w:id="1436"/>
        <w:t>a</w:t>
      </w:r>
      <w:r>
        <w:rPr/>
        <w:t xml:space="preserve">.{{field-off:bible}} </w:t>
        <w:br/>
        <w:t>[[@BibleTOBIBLE:Mk 5:2]]</w:t>
      </w:r>
      <w:r>
        <w:rPr>
          <w:b/>
        </w:rPr>
        <w:t>2</w:t>
      </w:r>
      <w:r>
        <w:rPr/>
        <w:t xml:space="preserve"> {{field-on:bible}}Und als er gerade </w:t>
      </w:r>
      <w:r>
        <w:rPr>
          <w:color w:val="808080"/>
        </w:rPr>
        <w:t>(gleich, bald)</w:t>
      </w:r>
      <w:r>
        <w:rPr/>
        <w:t xml:space="preserve"> aus dem Boot </w:t>
      </w:r>
      <w:r>
        <w:rPr>
          <w:color w:val="808080"/>
        </w:rPr>
        <w:t>(Schiff)</w:t>
      </w:r>
      <w:r>
        <w:rPr/>
        <w:t xml:space="preserve"> gestiegen war </w:t>
      </w:r>
      <w:r>
        <w:rPr>
          <w:color w:val="808080"/>
        </w:rPr>
        <w:t>(stieg)</w:t>
      </w:r>
      <w:r>
        <w:rPr/>
        <w:t xml:space="preserve">, </w:t>
      </w:r>
      <w:r>
        <w:rPr>
          <w:rStyle w:val="Funotenanker"/>
        </w:rPr>
        <w:footnoteReference w:customMarkFollows="1" w:id="1437"/>
        <w:t>b</w:t>
      </w:r>
      <w:r>
        <w:rPr/>
        <w:t xml:space="preserve"> kam von den Grabstätten </w:t>
      </w:r>
      <w:r>
        <w:rPr>
          <w:color w:val="808080"/>
        </w:rPr>
        <w:t>(Gräbern, Grabhöhlen)</w:t>
      </w:r>
      <w:r>
        <w:rPr/>
        <w:t xml:space="preserve"> her ein Mann mit einem unreinen Geist auf ihn zu </w:t>
      </w:r>
      <w:r>
        <w:rPr>
          <w:color w:val="808080"/>
        </w:rPr>
        <w:t>(ihm entgegen)</w:t>
      </w:r>
      <w:r>
        <w:rPr/>
        <w:t xml:space="preserve">,{{field-off:bible}} </w:t>
        <w:br/>
        <w:t>[[@BibleTOBIBLE:Mk 5:3]]</w:t>
      </w:r>
      <w:r>
        <w:rPr>
          <w:b/>
        </w:rPr>
        <w:t>3</w:t>
      </w:r>
      <w:r>
        <w:rPr/>
        <w:t xml:space="preserve"> {{field-on:bible}}der </w:t>
      </w:r>
      <w:r>
        <w:rPr>
          <w:b/>
          <w:color w:val="808080"/>
        </w:rPr>
        <w:t>[</w:t>
      </w:r>
      <w:r>
        <w:rPr/>
        <w:t>seine</w:t>
      </w:r>
      <w:r>
        <w:rPr>
          <w:b/>
          <w:color w:val="808080"/>
        </w:rPr>
        <w:t>]</w:t>
      </w:r>
      <w:r>
        <w:rPr/>
        <w:t xml:space="preserve"> Behausung </w:t>
      </w:r>
      <w:r>
        <w:rPr>
          <w:color w:val="808080"/>
        </w:rPr>
        <w:t>(Unterkunft, Lager)</w:t>
      </w:r>
      <w:r>
        <w:rPr/>
        <w:t xml:space="preserve"> in den Grabhöhlen </w:t>
      </w:r>
      <w:r>
        <w:rPr>
          <w:color w:val="808080"/>
        </w:rPr>
        <w:t>(Grabstätten, Gräbern)</w:t>
      </w:r>
      <w:r>
        <w:rPr/>
        <w:t xml:space="preserve"> hatte, und nicht einmal </w:t>
      </w:r>
      <w:r>
        <w:rPr>
          <w:color w:val="808080"/>
        </w:rPr>
        <w:t>(auch nicht)</w:t>
      </w:r>
      <w:r>
        <w:rPr/>
        <w:t xml:space="preserve"> </w:t>
      </w:r>
      <w:r>
        <w:rPr>
          <w:b/>
          <w:color w:val="808080"/>
        </w:rPr>
        <w:t>[</w:t>
      </w:r>
      <w:r>
        <w:rPr/>
        <w:t>mit</w:t>
      </w:r>
      <w:r>
        <w:rPr>
          <w:b/>
          <w:color w:val="808080"/>
        </w:rPr>
        <w:t>]</w:t>
      </w:r>
      <w:r>
        <w:rPr/>
        <w:t xml:space="preserve"> einer Kette konnte man ihn noch </w:t>
      </w:r>
      <w:r>
        <w:rPr>
          <w:rStyle w:val="Funotenanker"/>
        </w:rPr>
        <w:footnoteReference w:customMarkFollows="1" w:id="1438"/>
        <w:t>c</w:t>
      </w:r>
      <w:r>
        <w:rPr/>
        <w:t xml:space="preserve"> bändigen </w:t>
      </w:r>
      <w:r>
        <w:rPr>
          <w:color w:val="808080"/>
        </w:rPr>
        <w:t>(festhalten, fesseln)</w:t>
      </w:r>
      <w:r>
        <w:rPr/>
        <w:t xml:space="preserve">.{{field-off:bible}} </w:t>
        <w:br/>
        <w:t>[[@BibleTOBIBLE:Mk 5:4]]</w:t>
      </w:r>
      <w:r>
        <w:rPr>
          <w:b/>
        </w:rPr>
        <w:t>4</w:t>
      </w:r>
      <w:r>
        <w:rPr/>
        <w:t xml:space="preserve"> {{field-on:bible}}Er war nämlich schon mehrfach </w:t>
      </w:r>
      <w:r>
        <w:rPr>
          <w:b/>
          <w:color w:val="808080"/>
        </w:rPr>
        <w:t>[</w:t>
      </w:r>
      <w:r>
        <w:rPr/>
        <w:t>mit</w:t>
      </w:r>
      <w:r>
        <w:rPr>
          <w:b/>
          <w:color w:val="808080"/>
        </w:rPr>
        <w:t>]</w:t>
      </w:r>
      <w:r>
        <w:rPr/>
        <w:t xml:space="preserve"> Fußfesseln und Ketten </w:t>
      </w:r>
      <w:r>
        <w:rPr>
          <w:color w:val="808080"/>
        </w:rPr>
        <w:t>(Handfesseln)</w:t>
      </w:r>
      <w:r>
        <w:rPr/>
        <w:t xml:space="preserve"> </w:t>
      </w:r>
      <w:r>
        <w:rPr>
          <w:rStyle w:val="Funotenanker"/>
        </w:rPr>
        <w:footnoteReference w:customMarkFollows="1" w:id="1439"/>
        <w:t>d</w:t>
      </w:r>
      <w:r>
        <w:rPr/>
        <w:t xml:space="preserve"> gefesselt worden und </w:t>
      </w:r>
      <w:r>
        <w:rPr>
          <w:color w:val="808080"/>
        </w:rPr>
        <w:t>(aber)</w:t>
      </w:r>
      <w:r>
        <w:rPr/>
        <w:t xml:space="preserve"> hatte </w:t>
      </w:r>
      <w:r>
        <w:rPr>
          <w:b/>
          <w:color w:val="808080"/>
        </w:rPr>
        <w:t>[</w:t>
      </w:r>
      <w:r>
        <w:rPr/>
        <w:t>jedes Mal</w:t>
      </w:r>
      <w:r>
        <w:rPr>
          <w:b/>
          <w:color w:val="808080"/>
        </w:rPr>
        <w:t>]</w:t>
      </w:r>
      <w:r>
        <w:rPr/>
        <w:t xml:space="preserve"> die Ketten </w:t>
      </w:r>
      <w:r>
        <w:rPr>
          <w:color w:val="808080"/>
        </w:rPr>
        <w:t>(Handfesseln)</w:t>
      </w:r>
      <w:r>
        <w:rPr/>
        <w:t xml:space="preserve"> zerrissen </w:t>
      </w:r>
      <w:r>
        <w:rPr>
          <w:rStyle w:val="Funotenanker"/>
        </w:rPr>
        <w:footnoteReference w:customMarkFollows="1" w:id="1440"/>
        <w:t>e</w:t>
      </w:r>
      <w:r>
        <w:rPr/>
        <w:t xml:space="preserve"> und die Fußfesseln zerrieben </w:t>
      </w:r>
      <w:r>
        <w:rPr>
          <w:color w:val="808080"/>
        </w:rPr>
        <w:t>(zerschmettert)</w:t>
      </w:r>
      <w:r>
        <w:rPr/>
        <w:t xml:space="preserve">, </w:t>
      </w:r>
      <w:r>
        <w:rPr>
          <w:rStyle w:val="Funotenanker"/>
        </w:rPr>
        <w:footnoteReference w:customMarkFollows="1" w:id="1441"/>
        <w:t>f</w:t>
      </w:r>
      <w:r>
        <w:rPr/>
        <w:t xml:space="preserve"> und niemand war stark </w:t>
      </w:r>
      <w:r>
        <w:rPr>
          <w:b/>
          <w:color w:val="808080"/>
        </w:rPr>
        <w:t>[</w:t>
      </w:r>
      <w:r>
        <w:rPr/>
        <w:t>genug</w:t>
      </w:r>
      <w:r>
        <w:rPr>
          <w:b/>
          <w:color w:val="808080"/>
        </w:rPr>
        <w:t>]</w:t>
      </w:r>
      <w:r>
        <w:rPr/>
        <w:t xml:space="preserve">, ihn unter Kontrolle zu bringen </w:t>
      </w:r>
      <w:r>
        <w:rPr>
          <w:color w:val="808080"/>
        </w:rPr>
        <w:t>(zu bezwingen, überwältigen, bändigen)</w:t>
      </w:r>
      <w:r>
        <w:rPr/>
        <w:t xml:space="preserve">.{{field-off:bible}} </w:t>
        <w:br/>
        <w:t>[[@BibleTOBIBLE:Mk 5:5]]</w:t>
      </w:r>
      <w:r>
        <w:rPr>
          <w:b/>
        </w:rPr>
        <w:t>5</w:t>
      </w:r>
      <w:r>
        <w:rPr/>
        <w:t xml:space="preserve"> {{field-on:bible}}Und die ganze Zeit </w:t>
      </w:r>
      <w:r>
        <w:rPr>
          <w:color w:val="808080"/>
        </w:rPr>
        <w:t>(ununterbrochen, ständig)</w:t>
      </w:r>
      <w:r>
        <w:rPr/>
        <w:t xml:space="preserve">, nachts wie tags, hielt er sich </w:t>
      </w:r>
      <w:r>
        <w:rPr>
          <w:color w:val="808080"/>
        </w:rPr>
        <w:t>(war)</w:t>
      </w:r>
      <w:r>
        <w:rPr/>
        <w:t xml:space="preserve"> in den Grabhöhlen </w:t>
      </w:r>
      <w:r>
        <w:rPr>
          <w:color w:val="808080"/>
        </w:rPr>
        <w:t>(Grabstätten, Gräbern)</w:t>
      </w:r>
      <w:r>
        <w:rPr/>
        <w:t xml:space="preserve"> oder </w:t>
      </w:r>
      <w:r>
        <w:rPr>
          <w:color w:val="808080"/>
        </w:rPr>
        <w:t>(und)</w:t>
      </w:r>
      <w:r>
        <w:rPr/>
        <w:t xml:space="preserve"> in den Bergen auf, wo </w:t>
      </w:r>
      <w:r>
        <w:rPr>
          <w:color w:val="808080"/>
        </w:rPr>
        <w:t>(wobei, während)</w:t>
      </w:r>
      <w:r>
        <w:rPr/>
        <w:t xml:space="preserve"> er schrie </w:t>
      </w:r>
      <w:r>
        <w:rPr>
          <w:color w:val="808080"/>
        </w:rPr>
        <w:t>(schrie er in den Grabhöhlen oder in den Bergen)</w:t>
      </w:r>
      <w:r>
        <w:rPr/>
        <w:t xml:space="preserve"> </w:t>
      </w:r>
      <w:r>
        <w:rPr>
          <w:rStyle w:val="Funotenanker"/>
        </w:rPr>
        <w:footnoteReference w:customMarkFollows="1" w:id="1442"/>
        <w:t>g</w:t>
      </w:r>
      <w:r>
        <w:rPr/>
        <w:t xml:space="preserve"> und sich </w:t>
      </w:r>
      <w:r>
        <w:rPr>
          <w:b/>
          <w:color w:val="808080"/>
        </w:rPr>
        <w:t>[</w:t>
      </w:r>
      <w:r>
        <w:rPr/>
        <w:t>mit</w:t>
      </w:r>
      <w:r>
        <w:rPr>
          <w:b/>
          <w:color w:val="808080"/>
        </w:rPr>
        <w:t>]</w:t>
      </w:r>
      <w:r>
        <w:rPr/>
        <w:t xml:space="preserve"> Steinen schnitt </w:t>
      </w:r>
      <w:r>
        <w:rPr>
          <w:color w:val="808080"/>
        </w:rPr>
        <w:t>(verletzte; auf sich einschlug)</w:t>
      </w:r>
      <w:r>
        <w:rPr/>
        <w:t xml:space="preserve"> </w:t>
      </w:r>
      <w:r>
        <w:rPr>
          <w:rStyle w:val="Funotenanker"/>
        </w:rPr>
        <w:footnoteReference w:customMarkFollows="1" w:id="1443"/>
        <w:t>h</w:t>
      </w:r>
      <w:r>
        <w:rPr/>
        <w:t xml:space="preserve">.{{field-off:bible}} </w:t>
        <w:br/>
        <w:t>[[@BibleTOBIBLE:Mk 5:6]]</w:t>
      </w:r>
      <w:r>
        <w:rPr>
          <w:b/>
        </w:rPr>
        <w:t>6</w:t>
      </w:r>
      <w:r>
        <w:rPr/>
        <w:t xml:space="preserve"> {{field-on:bible}}Und als </w:t>
      </w:r>
      <w:r>
        <w:rPr>
          <w:color w:val="808080"/>
        </w:rPr>
        <w:t>(weil)</w:t>
      </w:r>
      <w:r>
        <w:rPr/>
        <w:t xml:space="preserve"> er Jesus von Weitem sah, </w:t>
      </w:r>
      <w:r>
        <w:rPr>
          <w:rStyle w:val="Funotenanker"/>
        </w:rPr>
        <w:footnoteReference w:customMarkFollows="1" w:id="1444"/>
        <w:t>i</w:t>
      </w:r>
      <w:r>
        <w:rPr/>
        <w:t xml:space="preserve"> kam er angerannt und warf sich vor ihm nieder </w:t>
      </w:r>
      <w:r>
        <w:rPr>
          <w:rStyle w:val="Funotenanker"/>
        </w:rPr>
        <w:footnoteReference w:customMarkFollows="1" w:id="1445"/>
        <w:t>j</w:t>
      </w:r>
      <w:r>
        <w:rPr/>
        <w:t xml:space="preserve">.{{field-off:bible}} </w:t>
        <w:br/>
        <w:t>[[@BibleTOBIBLE:Mk 5:7]]</w:t>
      </w:r>
      <w:r>
        <w:rPr>
          <w:b/>
        </w:rPr>
        <w:t>7</w:t>
      </w:r>
      <w:r>
        <w:rPr/>
        <w:t xml:space="preserve"> {{field-on:bible}} </w:t>
      </w:r>
      <w:r>
        <w:rPr>
          <w:strike/>
          <w:color w:val="808080"/>
        </w:rPr>
        <w:t>{und}</w:t>
      </w:r>
      <w:r>
        <w:rPr/>
        <w:t xml:space="preserve"> Er schrie </w:t>
      </w:r>
      <w:r>
        <w:rPr>
          <w:b/>
          <w:color w:val="808080"/>
        </w:rPr>
        <w:t>[</w:t>
      </w:r>
      <w:r>
        <w:rPr/>
        <w:t>mit</w:t>
      </w:r>
      <w:r>
        <w:rPr>
          <w:b/>
          <w:color w:val="808080"/>
        </w:rPr>
        <w:t>]</w:t>
      </w:r>
      <w:r>
        <w:rPr/>
        <w:t xml:space="preserve"> lauter Stimme und </w:t>
      </w:r>
      <w:r>
        <w:rPr>
          <w:rStyle w:val="Funotenanker"/>
        </w:rPr>
        <w:footnoteReference w:customMarkFollows="1" w:id="1446"/>
        <w:t>k</w:t>
      </w:r>
      <w:r>
        <w:rPr/>
        <w:t xml:space="preserve"> sagte: „Was willst du von mir </w:t>
      </w:r>
      <w:r>
        <w:rPr>
          <w:rStyle w:val="Funotenanker"/>
        </w:rPr>
        <w:footnoteReference w:customMarkFollows="1" w:id="1447"/>
        <w:t>l</w:t>
      </w:r>
      <w:r>
        <w:rPr/>
        <w:t xml:space="preserve">, Jesus, Sohn Gottes, des Höchsten </w:t>
      </w:r>
      <w:r>
        <w:rPr>
          <w:color w:val="808080"/>
        </w:rPr>
        <w:t>(des höchsten Gottes)</w:t>
      </w:r>
      <w:r>
        <w:rPr/>
        <w:t xml:space="preserve">? Ich beschwöre dich bei Gott, mich nicht zu quälen </w:t>
      </w:r>
      <w:r>
        <w:rPr>
          <w:color w:val="808080"/>
        </w:rPr>
        <w:t>(foltern)</w:t>
      </w:r>
      <w:r>
        <w:rPr/>
        <w:t xml:space="preserve">!“{{field-off:bible}} </w:t>
        <w:br/>
        <w:t>[[@BibleTOBIBLE:Mk 5:8]]</w:t>
      </w:r>
      <w:r>
        <w:rPr>
          <w:b/>
        </w:rPr>
        <w:t>8</w:t>
      </w:r>
      <w:r>
        <w:rPr/>
        <w:t xml:space="preserve"> {{field-on:bible}}Denn [Jesus] hatte zu ihm gesagt </w:t>
      </w:r>
      <w:r>
        <w:rPr>
          <w:color w:val="808080"/>
        </w:rPr>
        <w:t>(sagte gerade/wiederholt)</w:t>
      </w:r>
      <w:r>
        <w:rPr/>
        <w:t xml:space="preserve"> </w:t>
      </w:r>
      <w:r>
        <w:rPr>
          <w:rStyle w:val="Funotenanker"/>
        </w:rPr>
        <w:footnoteReference w:customMarkFollows="1" w:id="1448"/>
        <w:t>m</w:t>
      </w:r>
      <w:r>
        <w:rPr/>
        <w:t xml:space="preserve">: „Komm heraus </w:t>
      </w:r>
      <w:r>
        <w:rPr>
          <w:color w:val="808080"/>
        </w:rPr>
        <w:t>(Fahre aus, verlass)</w:t>
      </w:r>
      <w:r>
        <w:rPr/>
        <w:t xml:space="preserve"> aus dem Mann, unreiner Geist!“,{{field-off:bible}} </w:t>
        <w:br/>
        <w:t>[[@BibleTOBIBLE:Mk 5:9]]</w:t>
      </w:r>
      <w:r>
        <w:rPr>
          <w:b/>
        </w:rPr>
        <w:t>9</w:t>
      </w:r>
      <w:r>
        <w:rPr/>
        <w:t xml:space="preserve"> {{field-on:bible}}und er fragte ihn: „Was </w:t>
      </w:r>
      <w:r>
        <w:rPr>
          <w:b/>
          <w:color w:val="808080"/>
        </w:rPr>
        <w:t>[</w:t>
      </w:r>
      <w:r>
        <w:rPr/>
        <w:t>ist</w:t>
      </w:r>
      <w:r>
        <w:rPr>
          <w:b/>
          <w:color w:val="808080"/>
        </w:rPr>
        <w:t>]</w:t>
      </w:r>
      <w:r>
        <w:rPr/>
        <w:t xml:space="preserve"> dein Name?“, und er antwortete </w:t>
      </w:r>
      <w:r>
        <w:rPr>
          <w:color w:val="808080"/>
        </w:rPr>
        <w:t>(sagte)</w:t>
      </w:r>
      <w:r>
        <w:rPr/>
        <w:t xml:space="preserve"> </w:t>
      </w:r>
      <w:r>
        <w:rPr>
          <w:strike/>
          <w:color w:val="808080"/>
        </w:rPr>
        <w:t>{zu ihm}</w:t>
      </w:r>
      <w:r>
        <w:rPr/>
        <w:t xml:space="preserve">: „Mein Name </w:t>
      </w:r>
      <w:r>
        <w:rPr>
          <w:b/>
          <w:color w:val="808080"/>
        </w:rPr>
        <w:t>[</w:t>
      </w:r>
      <w:r>
        <w:rPr/>
        <w:t>ist</w:t>
      </w:r>
      <w:r>
        <w:rPr>
          <w:b/>
          <w:color w:val="808080"/>
        </w:rPr>
        <w:t>]</w:t>
      </w:r>
      <w:r>
        <w:rPr/>
        <w:t xml:space="preserve"> »Legion« </w:t>
      </w:r>
      <w:r>
        <w:rPr>
          <w:rStyle w:val="Funotenanker"/>
        </w:rPr>
        <w:footnoteReference w:customMarkFollows="1" w:id="1449"/>
        <w:t>n</w:t>
      </w:r>
      <w:r>
        <w:rPr/>
        <w:t xml:space="preserve">, </w:t>
      </w:r>
      <w:r>
        <w:rPr>
          <w:rStyle w:val="Funotenanker"/>
        </w:rPr>
        <w:footnoteReference w:customMarkFollows="1" w:id="1450"/>
        <w:t>o</w:t>
      </w:r>
      <w:r>
        <w:rPr/>
        <w:t xml:space="preserve"> denn wir sind viele.“{{field-off:bible}} </w:t>
        <w:br/>
        <w:t>[[@BibleTOBIBLE:Mk 5:10]]</w:t>
      </w:r>
      <w:r>
        <w:rPr>
          <w:b/>
        </w:rPr>
        <w:t>10</w:t>
      </w:r>
      <w:r>
        <w:rPr/>
        <w:t xml:space="preserve"> {{field-on:bible}}Und er flehte </w:t>
      </w:r>
      <w:r>
        <w:rPr>
          <w:color w:val="808080"/>
        </w:rPr>
        <w:t>(bat)</w:t>
      </w:r>
      <w:r>
        <w:rPr/>
        <w:t xml:space="preserve"> ihn immer wieder </w:t>
      </w:r>
      <w:r>
        <w:rPr>
          <w:color w:val="808080"/>
        </w:rPr>
        <w:t>(inständig)</w:t>
      </w:r>
      <w:r>
        <w:rPr/>
        <w:t xml:space="preserve"> </w:t>
      </w:r>
      <w:r>
        <w:rPr>
          <w:rStyle w:val="Funotenanker"/>
        </w:rPr>
        <w:footnoteReference w:customMarkFollows="1" w:id="1451"/>
        <w:t>p</w:t>
      </w:r>
      <w:r>
        <w:rPr/>
        <w:t xml:space="preserve"> an, </w:t>
      </w:r>
      <w:r>
        <w:rPr>
          <w:strike/>
          <w:color w:val="808080"/>
        </w:rPr>
        <w:t>{dass}</w:t>
      </w:r>
      <w:r>
        <w:rPr/>
        <w:t xml:space="preserve"> sie nicht aus der Gegend </w:t>
      </w:r>
      <w:r>
        <w:rPr>
          <w:color w:val="808080"/>
        </w:rPr>
        <w:t>(Gebiet, Land)</w:t>
      </w:r>
      <w:r>
        <w:rPr/>
        <w:t xml:space="preserve"> wegzuschicken </w:t>
      </w:r>
      <w:r>
        <w:rPr>
          <w:color w:val="808080"/>
        </w:rPr>
        <w:t>(zu vertreiben)</w:t>
      </w:r>
      <w:r>
        <w:rPr/>
        <w:t xml:space="preserve">.{{field-off:bible}} </w:t>
        <w:br/>
        <w:t>[[@BibleTOBIBLE:Mk 5:11]]</w:t>
      </w:r>
      <w:r>
        <w:rPr>
          <w:b/>
        </w:rPr>
        <w:t>11</w:t>
      </w:r>
      <w:r>
        <w:rPr/>
        <w:t xml:space="preserve"> {{field-on:bible}}Nun </w:t>
      </w:r>
      <w:r>
        <w:rPr>
          <w:color w:val="808080"/>
        </w:rPr>
        <w:t>(aber, und)</w:t>
      </w:r>
      <w:r>
        <w:rPr/>
        <w:t xml:space="preserve"> weidete </w:t>
      </w:r>
      <w:r>
        <w:rPr>
          <w:color w:val="808080"/>
        </w:rPr>
        <w:t>(wurde gehütet)</w:t>
      </w:r>
      <w:r>
        <w:rPr/>
        <w:t xml:space="preserve"> in der Nähe </w:t>
      </w:r>
      <w:r>
        <w:rPr>
          <w:color w:val="808080"/>
        </w:rPr>
        <w:t>(dort)</w:t>
      </w:r>
      <w:r>
        <w:rPr/>
        <w:t xml:space="preserve"> am Berghang </w:t>
      </w:r>
      <w:r>
        <w:rPr>
          <w:rStyle w:val="Funotenanker"/>
        </w:rPr>
        <w:footnoteReference w:customMarkFollows="1" w:id="1452"/>
        <w:t>q</w:t>
      </w:r>
      <w:r>
        <w:rPr/>
        <w:t xml:space="preserve"> gerade </w:t>
      </w:r>
      <w:r>
        <w:rPr>
          <w:rStyle w:val="Funotenanker"/>
        </w:rPr>
        <w:footnoteReference w:customMarkFollows="1" w:id="1453"/>
        <w:t>r</w:t>
      </w:r>
      <w:r>
        <w:rPr/>
        <w:t xml:space="preserve"> eine große Schweineherde </w:t>
      </w:r>
      <w:r>
        <w:rPr>
          <w:rStyle w:val="Funotenanker"/>
        </w:rPr>
        <w:footnoteReference w:customMarkFollows="1" w:id="1454"/>
        <w:t>s</w:t>
      </w:r>
      <w:r>
        <w:rPr/>
        <w:t xml:space="preserve">.{{field-off:bible}} </w:t>
        <w:br/>
        <w:t>[[@BibleTOBIBLE:Mk 5:12]]</w:t>
      </w:r>
      <w:r>
        <w:rPr>
          <w:b/>
        </w:rPr>
        <w:t>12</w:t>
      </w:r>
      <w:r>
        <w:rPr/>
        <w:t xml:space="preserve"> {{field-on:bible}}Und sie baten </w:t>
      </w:r>
      <w:r>
        <w:rPr>
          <w:color w:val="808080"/>
        </w:rPr>
        <w:t>(flehten an)</w:t>
      </w:r>
      <w:r>
        <w:rPr/>
        <w:t xml:space="preserve"> ihn </w:t>
      </w:r>
      <w:r>
        <w:rPr>
          <w:strike/>
          <w:color w:val="808080"/>
        </w:rPr>
        <w:t>{sagend}</w:t>
      </w:r>
      <w:r>
        <w:rPr/>
        <w:t xml:space="preserve">: „Schicke </w:t>
      </w:r>
      <w:r>
        <w:rPr>
          <w:color w:val="808080"/>
        </w:rPr>
        <w:t>(Treibe)</w:t>
      </w:r>
      <w:r>
        <w:rPr/>
        <w:t xml:space="preserve"> uns in die Schweine! Wir wollen </w:t>
      </w:r>
      <w:r>
        <w:rPr>
          <w:color w:val="808080"/>
        </w:rPr>
        <w:t>(damit wir)</w:t>
      </w:r>
      <w:r>
        <w:rPr/>
        <w:t xml:space="preserve"> </w:t>
      </w:r>
      <w:r>
        <w:rPr>
          <w:rStyle w:val="Funotenanker"/>
        </w:rPr>
        <w:footnoteReference w:customMarkFollows="1" w:id="1455"/>
        <w:t>t</w:t>
      </w:r>
      <w:r>
        <w:rPr/>
        <w:t xml:space="preserve"> in sie fahren!“,{{field-off:bible}} </w:t>
        <w:br/>
        <w:t>[[@BibleTOBIBLE:Mk 5:13]]</w:t>
      </w:r>
      <w:r>
        <w:rPr>
          <w:b/>
        </w:rPr>
        <w:t>13</w:t>
      </w:r>
      <w:r>
        <w:rPr/>
        <w:t xml:space="preserve"> {{field-on:bible}}und er erlaubte </w:t>
      </w:r>
      <w:r>
        <w:rPr>
          <w:b/>
          <w:color w:val="808080"/>
        </w:rPr>
        <w:t>[</w:t>
      </w:r>
      <w:r>
        <w:rPr/>
        <w:t>es</w:t>
      </w:r>
      <w:r>
        <w:rPr>
          <w:b/>
          <w:color w:val="808080"/>
        </w:rPr>
        <w:t>]</w:t>
      </w:r>
      <w:r>
        <w:rPr/>
        <w:t xml:space="preserve"> ihnen. Da </w:t>
      </w:r>
      <w:r>
        <w:rPr>
          <w:color w:val="808080"/>
        </w:rPr>
        <w:t>(Und)</w:t>
      </w:r>
      <w:r>
        <w:rPr/>
        <w:t xml:space="preserve"> fuhren die unreinen Geister aus und </w:t>
      </w:r>
      <w:r>
        <w:rPr>
          <w:rStyle w:val="Funotenanker"/>
        </w:rPr>
        <w:footnoteReference w:customMarkFollows="1" w:id="1456"/>
        <w:t>u</w:t>
      </w:r>
      <w:r>
        <w:rPr/>
        <w:t xml:space="preserve"> fuhren in die Schweine, und die Herde raste </w:t>
      </w:r>
      <w:r>
        <w:rPr>
          <w:color w:val="808080"/>
        </w:rPr>
        <w:t>(stürzte sich, stürmte)</w:t>
      </w:r>
      <w:r>
        <w:rPr/>
        <w:t xml:space="preserve"> den Abhang hinunter ins Meer </w:t>
      </w:r>
      <w:r>
        <w:rPr>
          <w:color w:val="808080"/>
        </w:rPr>
        <w:t>(den See)</w:t>
      </w:r>
      <w:r>
        <w:rPr/>
        <w:t xml:space="preserve">, ungefähr zweitausend, und ertranken im Meer </w:t>
      </w:r>
      <w:r>
        <w:rPr>
          <w:color w:val="808080"/>
        </w:rPr>
        <w:t>(See)</w:t>
      </w:r>
      <w:r>
        <w:rPr/>
        <w:t xml:space="preserve"> </w:t>
      </w:r>
      <w:r>
        <w:rPr>
          <w:rStyle w:val="Funotenanker"/>
        </w:rPr>
        <w:footnoteReference w:customMarkFollows="1" w:id="1457"/>
        <w:t>v</w:t>
      </w:r>
      <w:r>
        <w:rPr/>
        <w:t xml:space="preserve">.{{field-off:bible}} </w:t>
        <w:br/>
        <w:t>[[@BibleTOBIBLE:Mk 5:14]]</w:t>
      </w:r>
      <w:r>
        <w:rPr>
          <w:b/>
        </w:rPr>
        <w:t>14</w:t>
      </w:r>
      <w:r>
        <w:rPr/>
        <w:t xml:space="preserve"> {{field-on:bible}}Und ihre Hirten </w:t>
      </w:r>
      <w:r>
        <w:rPr>
          <w:rStyle w:val="Funotenanker"/>
        </w:rPr>
        <w:footnoteReference w:customMarkFollows="1" w:id="1458"/>
        <w:t>w</w:t>
      </w:r>
      <w:r>
        <w:rPr/>
        <w:t xml:space="preserve"> ergriffen die Flucht </w:t>
      </w:r>
      <w:r>
        <w:rPr>
          <w:color w:val="808080"/>
        </w:rPr>
        <w:t>(liefen davon)</w:t>
      </w:r>
      <w:r>
        <w:rPr/>
        <w:t xml:space="preserve"> und verbreiteten </w:t>
      </w:r>
      <w:r>
        <w:rPr>
          <w:color w:val="808080"/>
        </w:rPr>
        <w:t>(verkündeten, erzählten)</w:t>
      </w:r>
      <w:r>
        <w:rPr/>
        <w:t xml:space="preserve"> </w:t>
      </w:r>
      <w:r>
        <w:rPr>
          <w:b/>
          <w:color w:val="808080"/>
        </w:rPr>
        <w:t>[</w:t>
      </w:r>
      <w:r>
        <w:rPr/>
        <w:t>die Nachricht</w:t>
      </w:r>
      <w:r>
        <w:rPr>
          <w:b/>
          <w:color w:val="808080"/>
        </w:rPr>
        <w:t>]</w:t>
      </w:r>
      <w:r>
        <w:rPr/>
        <w:t xml:space="preserve"> in der Stadt und auf dem Land </w:t>
      </w:r>
      <w:r>
        <w:rPr>
          <w:color w:val="808080"/>
        </w:rPr>
        <w:t>(den Höfen, Dörfern)</w:t>
      </w:r>
      <w:r>
        <w:rPr/>
        <w:t xml:space="preserve"> </w:t>
      </w:r>
      <w:r>
        <w:rPr>
          <w:rStyle w:val="Funotenanker"/>
        </w:rPr>
        <w:footnoteReference w:customMarkFollows="1" w:id="1459"/>
        <w:t>x</w:t>
      </w:r>
      <w:r>
        <w:rPr/>
        <w:t xml:space="preserve">. Und </w:t>
      </w:r>
      <w:r>
        <w:rPr>
          <w:b/>
          <w:color w:val="808080"/>
        </w:rPr>
        <w:t>[</w:t>
      </w:r>
      <w:r>
        <w:rPr/>
        <w:t>die Leute</w:t>
      </w:r>
      <w:r>
        <w:rPr>
          <w:b/>
          <w:color w:val="808080"/>
        </w:rPr>
        <w:t>]</w:t>
      </w:r>
      <w:r>
        <w:rPr/>
        <w:t xml:space="preserve"> machten sich auf </w:t>
      </w:r>
      <w:r>
        <w:rPr>
          <w:color w:val="808080"/>
        </w:rPr>
        <w:t>(kamen)</w:t>
      </w:r>
      <w:r>
        <w:rPr/>
        <w:t xml:space="preserve">, </w:t>
      </w:r>
      <w:r>
        <w:rPr>
          <w:b/>
          <w:color w:val="808080"/>
        </w:rPr>
        <w:t>[</w:t>
      </w:r>
      <w:r>
        <w:rPr/>
        <w:t>um</w:t>
      </w:r>
      <w:r>
        <w:rPr>
          <w:b/>
          <w:color w:val="808080"/>
        </w:rPr>
        <w:t>]</w:t>
      </w:r>
      <w:r>
        <w:rPr/>
        <w:t xml:space="preserve"> zu sehen, was das Geschehene war </w:t>
      </w:r>
      <w:r>
        <w:rPr>
          <w:rStyle w:val="Funotenanker"/>
        </w:rPr>
        <w:footnoteReference w:customMarkFollows="1" w:id="1460"/>
        <w:t>y</w:t>
      </w:r>
      <w:r>
        <w:rPr/>
        <w:t xml:space="preserve">.{{field-off:bible}} </w:t>
        <w:br/>
        <w:t>[[@BibleTOBIBLE:Mk 5:15]]</w:t>
      </w:r>
      <w:r>
        <w:rPr>
          <w:b/>
        </w:rPr>
        <w:t>15</w:t>
      </w:r>
      <w:r>
        <w:rPr/>
        <w:t xml:space="preserve"> {{field-on:bible}}Und sie erreichten </w:t>
      </w:r>
      <w:r>
        <w:rPr>
          <w:color w:val="808080"/>
        </w:rPr>
        <w:t>(kamen zu)</w:t>
      </w:r>
      <w:r>
        <w:rPr/>
        <w:t xml:space="preserve"> Jesus und sahen </w:t>
      </w:r>
      <w:r>
        <w:rPr>
          <w:color w:val="808080"/>
        </w:rPr>
        <w:t>(als sie erreichten, sahen sie)</w:t>
      </w:r>
      <w:r>
        <w:rPr/>
        <w:t xml:space="preserve">, dass der Besessene saß, bekleidet und bei Verstand </w:t>
      </w:r>
      <w:r>
        <w:rPr>
          <w:rStyle w:val="Funotenanker"/>
        </w:rPr>
        <w:footnoteReference w:customMarkFollows="1" w:id="1461"/>
        <w:t>z</w:t>
      </w:r>
      <w:r>
        <w:rPr/>
        <w:t xml:space="preserve"> – derjenige, der die Legion gehabt hatte! – und fürchteten sich.{{field-off:bible}} </w:t>
        <w:br/>
        <w:t>[[@BibleTOBIBLE:Mk 5:16]]</w:t>
      </w:r>
      <w:r>
        <w:rPr>
          <w:b/>
        </w:rPr>
        <w:t>16</w:t>
      </w:r>
      <w:r>
        <w:rPr/>
        <w:t xml:space="preserve"> {{field-on:bible}}Und die, die </w:t>
      </w:r>
      <w:r>
        <w:rPr>
          <w:b/>
          <w:color w:val="808080"/>
        </w:rPr>
        <w:t>[</w:t>
      </w:r>
      <w:r>
        <w:rPr/>
        <w:t>alles</w:t>
      </w:r>
      <w:r>
        <w:rPr>
          <w:b/>
          <w:color w:val="808080"/>
        </w:rPr>
        <w:t>]</w:t>
      </w:r>
      <w:r>
        <w:rPr/>
        <w:t xml:space="preserve"> gesehen hatten, erzählten </w:t>
      </w:r>
      <w:r>
        <w:rPr>
          <w:color w:val="808080"/>
        </w:rPr>
        <w:t>(schilderten)</w:t>
      </w:r>
      <w:r>
        <w:rPr/>
        <w:t xml:space="preserve"> ihnen, was </w:t>
      </w:r>
      <w:r>
        <w:rPr>
          <w:color w:val="808080"/>
        </w:rPr>
        <w:t>(wie)</w:t>
      </w:r>
      <w:r>
        <w:rPr/>
        <w:t xml:space="preserve"> mit dem Besessenen passierten war, und von den Schweinen.{{field-off:bible}} </w:t>
        <w:br/>
        <w:t>[[@BibleTOBIBLE:Mk 5:17]]</w:t>
      </w:r>
      <w:r>
        <w:rPr>
          <w:b/>
        </w:rPr>
        <w:t>17</w:t>
      </w:r>
      <w:r>
        <w:rPr/>
        <w:t xml:space="preserve"> {{field-on:bible}}Da </w:t>
      </w:r>
      <w:r>
        <w:rPr>
          <w:color w:val="808080"/>
        </w:rPr>
        <w:t>(Und)</w:t>
      </w:r>
      <w:r>
        <w:rPr/>
        <w:t xml:space="preserve"> drängten </w:t>
      </w:r>
      <w:r>
        <w:rPr>
          <w:color w:val="808080"/>
        </w:rPr>
        <w:t>(baten, forderten auf)</w:t>
      </w:r>
      <w:r>
        <w:rPr/>
        <w:t xml:space="preserve"> sie ihn, </w:t>
      </w:r>
      <w:r>
        <w:rPr>
          <w:rStyle w:val="Funotenanker"/>
        </w:rPr>
        <w:footnoteReference w:customMarkFollows="1" w:id="1462"/>
        <w:t>aa</w:t>
      </w:r>
      <w:r>
        <w:rPr/>
        <w:t xml:space="preserve"> ihr Gebiet zu verlassen </w:t>
      </w:r>
      <w:r>
        <w:rPr>
          <w:color w:val="808080"/>
        </w:rPr>
        <w:t>(fortzugehen aus)</w:t>
      </w:r>
      <w:r>
        <w:rPr/>
        <w:t xml:space="preserve">.{{field-off:bible}} </w:t>
        <w:br/>
        <w:t>[[@BibleTOBIBLE:Mk 5:18]]</w:t>
      </w:r>
      <w:r>
        <w:rPr>
          <w:b/>
        </w:rPr>
        <w:t>18</w:t>
      </w:r>
      <w:r>
        <w:rPr/>
        <w:t xml:space="preserve"> {{field-on:bible}} </w:t>
      </w:r>
      <w:r>
        <w:rPr>
          <w:strike/>
          <w:color w:val="808080"/>
        </w:rPr>
        <w:t>{Und}</w:t>
      </w:r>
      <w:r>
        <w:rPr/>
        <w:t xml:space="preserve"> Als er ins Boot stieg, </w:t>
      </w:r>
      <w:r>
        <w:rPr>
          <w:rStyle w:val="Funotenanker"/>
        </w:rPr>
        <w:footnoteReference w:customMarkFollows="1" w:id="1463"/>
        <w:t>ab</w:t>
      </w:r>
      <w:r>
        <w:rPr/>
        <w:t xml:space="preserve"> bat </w:t>
      </w:r>
      <w:r>
        <w:rPr>
          <w:color w:val="808080"/>
        </w:rPr>
        <w:t>(flehte)</w:t>
      </w:r>
      <w:r>
        <w:rPr/>
        <w:t xml:space="preserve"> ihn der, der besessen gewesen war, </w:t>
      </w:r>
      <w:r>
        <w:rPr>
          <w:rStyle w:val="Funotenanker"/>
        </w:rPr>
        <w:footnoteReference w:customMarkFollows="1" w:id="1464"/>
        <w:t>ac</w:t>
      </w:r>
      <w:r>
        <w:rPr/>
        <w:t xml:space="preserve"> darum, </w:t>
      </w:r>
      <w:r>
        <w:rPr>
          <w:strike/>
          <w:color w:val="808080"/>
        </w:rPr>
        <w:t>{dass}</w:t>
      </w:r>
      <w:r>
        <w:rPr/>
        <w:t xml:space="preserve"> bei ihm bleiben </w:t>
      </w:r>
      <w:r>
        <w:rPr>
          <w:b/>
          <w:color w:val="808080"/>
        </w:rPr>
        <w:t>[</w:t>
      </w:r>
      <w:r>
        <w:rPr/>
        <w:t>zu dürfen</w:t>
      </w:r>
      <w:r>
        <w:rPr>
          <w:b/>
          <w:color w:val="808080"/>
        </w:rPr>
        <w:t>]</w:t>
      </w:r>
      <w:r>
        <w:rPr/>
        <w:t xml:space="preserve">.{{field-off:bible}} </w:t>
        <w:br/>
        <w:t>[[@BibleTOBIBLE:Mk 5:19]]</w:t>
      </w:r>
      <w:r>
        <w:rPr>
          <w:b/>
        </w:rPr>
        <w:t>19</w:t>
      </w:r>
      <w:r>
        <w:rPr/>
        <w:t xml:space="preserve"> {{field-on:bible}}Aber </w:t>
      </w:r>
      <w:r>
        <w:rPr>
          <w:color w:val="808080"/>
        </w:rPr>
        <w:t>(und)</w:t>
      </w:r>
      <w:r>
        <w:rPr/>
        <w:t xml:space="preserve"> er erlaubte es ihm </w:t>
      </w:r>
      <w:r>
        <w:rPr>
          <w:color w:val="808080"/>
        </w:rPr>
        <w:t>(ließ ihn)</w:t>
      </w:r>
      <w:r>
        <w:rPr/>
        <w:t xml:space="preserve"> nicht, sondern sagte zu ihm: „Geh nach Hause </w:t>
      </w:r>
      <w:r>
        <w:rPr>
          <w:color w:val="808080"/>
        </w:rPr>
        <w:t>(in dein Haus)</w:t>
      </w:r>
      <w:r>
        <w:rPr/>
        <w:t xml:space="preserve"> zu den Deinen und berichte </w:t>
      </w:r>
      <w:r>
        <w:rPr>
          <w:color w:val="808080"/>
        </w:rPr>
        <w:t>(verkünde, erzähle)</w:t>
      </w:r>
      <w:r>
        <w:rPr/>
        <w:t xml:space="preserve"> ihnen, was der Herr dir getan hat und </w:t>
      </w:r>
      <w:r>
        <w:rPr>
          <w:b/>
          <w:color w:val="808080"/>
        </w:rPr>
        <w:t>[</w:t>
      </w:r>
      <w:r>
        <w:rPr/>
        <w:t>wie</w:t>
      </w:r>
      <w:r>
        <w:rPr>
          <w:b/>
          <w:color w:val="808080"/>
        </w:rPr>
        <w:t>]</w:t>
      </w:r>
      <w:r>
        <w:rPr/>
        <w:t xml:space="preserve"> er Erbarmen mit dir hatte!“{{field-off:bible}} </w:t>
        <w:br/>
        <w:t>[[@BibleTOBIBLE:Mk 5:20]]</w:t>
      </w:r>
      <w:r>
        <w:rPr>
          <w:b/>
        </w:rPr>
        <w:t>20</w:t>
      </w:r>
      <w:r>
        <w:rPr/>
        <w:t xml:space="preserve"> {{field-on:bible}}Und </w:t>
      </w:r>
      <w:r>
        <w:rPr>
          <w:color w:val="808080"/>
        </w:rPr>
        <w:t>(Da)</w:t>
      </w:r>
      <w:r>
        <w:rPr/>
        <w:t xml:space="preserve"> er ging fort und begann in der Dekapolis </w:t>
      </w:r>
      <w:r>
        <w:rPr>
          <w:color w:val="808080"/>
        </w:rPr>
        <w:t>(im Zehnstädtegebiet)</w:t>
      </w:r>
      <w:r>
        <w:rPr/>
        <w:t xml:space="preserve"> </w:t>
      </w:r>
      <w:r>
        <w:rPr>
          <w:rStyle w:val="Funotenanker"/>
        </w:rPr>
        <w:footnoteReference w:customMarkFollows="1" w:id="1465"/>
        <w:t>ad</w:t>
      </w:r>
      <w:r>
        <w:rPr/>
        <w:t xml:space="preserve"> zu erzählen </w:t>
      </w:r>
      <w:r>
        <w:rPr>
          <w:color w:val="808080"/>
        </w:rPr>
        <w:t>(predigen, verkündigen)</w:t>
      </w:r>
      <w:r>
        <w:rPr/>
        <w:t xml:space="preserve">, was Jesus ihm getan hatte, </w:t>
      </w:r>
      <w:r>
        <w:rPr>
          <w:rStyle w:val="Funotenanker"/>
        </w:rPr>
        <w:footnoteReference w:customMarkFollows="1" w:id="1466"/>
        <w:t>ae</w:t>
      </w:r>
      <w:r>
        <w:rPr/>
        <w:t xml:space="preserve"> und alle staunten </w:t>
      </w:r>
      <w:r>
        <w:rPr>
          <w:color w:val="808080"/>
        </w:rPr>
        <w:t>(wunderten sich)</w:t>
      </w:r>
      <w:r>
        <w:rPr/>
        <w:t xml:space="preserve"> </w:t>
      </w:r>
      <w:r>
        <w:rPr>
          <w:rStyle w:val="Funotenanker"/>
        </w:rPr>
        <w:footnoteReference w:customMarkFollows="1" w:id="1467"/>
        <w:t>af</w:t>
      </w:r>
      <w:r>
        <w:rPr/>
        <w:t>.</w:t>
      </w:r>
      <w:r>
        <w:rPr>
          <w:position w:val="8"/>
          <w:sz w:val="19"/>
        </w:rPr>
        <w:t>[[ ℘ &gt;&gt; BibleTOBIBLE:Mk 1:45]]</w:t>
      </w:r>
      <w:r>
        <w:rPr/>
        <w:t xml:space="preserve"> {{field-off:bible}} </w:t>
        <w:br/>
        <w:t>[[@BibleTOBIBLE:Mk 5:21]]</w:t>
      </w:r>
      <w:r>
        <w:rPr>
          <w:b/>
        </w:rPr>
        <w:t>21</w:t>
      </w:r>
      <w:r>
        <w:rPr/>
        <w:t xml:space="preserve"> {{field-on:bible}}Und nachdem Jesus mit dem </w:t>
      </w:r>
      <w:r>
        <w:rPr>
          <w:color w:val="808080"/>
        </w:rPr>
        <w:t>(im)</w:t>
      </w:r>
      <w:r>
        <w:rPr/>
        <w:t xml:space="preserve"> Boot wieder </w:t>
      </w:r>
      <w:r>
        <w:rPr>
          <w:color w:val="808080"/>
        </w:rPr>
        <w:t>(zurück)</w:t>
      </w:r>
      <w:r>
        <w:rPr/>
        <w:t xml:space="preserve"> ans andere Ufer gefahren war, </w:t>
      </w:r>
      <w:r>
        <w:rPr>
          <w:rStyle w:val="Funotenanker"/>
        </w:rPr>
        <w:footnoteReference w:customMarkFollows="1" w:id="1468"/>
        <w:t>ag</w:t>
      </w:r>
      <w:r>
        <w:rPr/>
        <w:t xml:space="preserve"> versammelte sich eine große Menschenmenge bei ihm. </w:t>
      </w:r>
      <w:r>
        <w:rPr>
          <w:strike/>
          <w:color w:val="808080"/>
        </w:rPr>
        <w:t>{und}</w:t>
      </w:r>
      <w:r>
        <w:rPr/>
        <w:t xml:space="preserve"> Er war gerade </w:t>
      </w:r>
      <w:r>
        <w:rPr>
          <w:color w:val="808080"/>
        </w:rPr>
        <w:t>(während, noch)</w:t>
      </w:r>
      <w:r>
        <w:rPr/>
        <w:t xml:space="preserve"> </w:t>
      </w:r>
      <w:r>
        <w:rPr>
          <w:rStyle w:val="Funotenanker"/>
        </w:rPr>
        <w:footnoteReference w:customMarkFollows="1" w:id="1469"/>
        <w:t>ah</w:t>
      </w:r>
      <w:r>
        <w:rPr/>
        <w:t xml:space="preserve"> am Meer </w:t>
      </w:r>
      <w:r>
        <w:rPr>
          <w:color w:val="808080"/>
        </w:rPr>
        <w:t>(See)</w:t>
      </w:r>
      <w:r>
        <w:rPr/>
        <w:t xml:space="preserve">,{{field-off:bible}} </w:t>
        <w:br/>
        <w:t>[[@BibleTOBIBLE:Mk 5:22]]</w:t>
      </w:r>
      <w:r>
        <w:rPr>
          <w:b/>
        </w:rPr>
        <w:t>22</w:t>
      </w:r>
      <w:r>
        <w:rPr/>
        <w:t xml:space="preserve"> {{field-on:bible}}als </w:t>
      </w:r>
      <w:r>
        <w:rPr>
          <w:color w:val="808080"/>
        </w:rPr>
        <w:t>(da, und)</w:t>
      </w:r>
      <w:r>
        <w:rPr/>
        <w:t xml:space="preserve"> einer der Synagogenvorsteher </w:t>
      </w:r>
      <w:r>
        <w:rPr>
          <w:rStyle w:val="Funotenanker"/>
        </w:rPr>
        <w:footnoteReference w:customMarkFollows="1" w:id="1470"/>
        <w:t>ai</w:t>
      </w:r>
      <w:r>
        <w:rPr/>
        <w:t xml:space="preserve"> namens Jairus </w:t>
      </w:r>
      <w:r>
        <w:rPr>
          <w:rStyle w:val="Funotenanker"/>
        </w:rPr>
        <w:footnoteReference w:customMarkFollows="1" w:id="1471"/>
        <w:t>aj</w:t>
      </w:r>
      <w:r>
        <w:rPr/>
        <w:t xml:space="preserve"> kam, und als er ihn sah, </w:t>
      </w:r>
      <w:r>
        <w:rPr>
          <w:rStyle w:val="Funotenanker"/>
        </w:rPr>
        <w:footnoteReference w:customMarkFollows="1" w:id="1472"/>
        <w:t>ak</w:t>
      </w:r>
      <w:r>
        <w:rPr/>
        <w:t xml:space="preserve"> warf </w:t>
      </w:r>
      <w:r>
        <w:rPr>
          <w:color w:val="808080"/>
        </w:rPr>
        <w:t>(fiel)</w:t>
      </w:r>
      <w:r>
        <w:rPr/>
        <w:t xml:space="preserve"> er sich ihm vor die Füße{{field-off:bible}} </w:t>
        <w:br/>
        <w:t>[[@BibleTOBIBLE:Mk 5:23]]</w:t>
      </w:r>
      <w:r>
        <w:rPr>
          <w:b/>
        </w:rPr>
        <w:t>23</w:t>
      </w:r>
      <w:r>
        <w:rPr/>
        <w:t xml:space="preserve"> {{field-on:bible}}und bat </w:t>
      </w:r>
      <w:r>
        <w:rPr>
          <w:color w:val="808080"/>
        </w:rPr>
        <w:t>(flehte an)</w:t>
      </w:r>
      <w:r>
        <w:rPr/>
        <w:t xml:space="preserve"> ihn inständig </w:t>
      </w:r>
      <w:r>
        <w:rPr>
          <w:color w:val="808080"/>
        </w:rPr>
        <w:t>(mehrfach)</w:t>
      </w:r>
      <w:r>
        <w:rPr/>
        <w:t xml:space="preserve"> </w:t>
      </w:r>
      <w:r>
        <w:rPr>
          <w:rStyle w:val="Funotenanker"/>
        </w:rPr>
        <w:footnoteReference w:customMarkFollows="1" w:id="1473"/>
        <w:t>al</w:t>
      </w:r>
      <w:r>
        <w:rPr/>
        <w:t xml:space="preserve"> </w:t>
      </w:r>
      <w:r>
        <w:rPr>
          <w:strike/>
          <w:color w:val="808080"/>
        </w:rPr>
        <w:t>{sagend}</w:t>
      </w:r>
      <w:r>
        <w:rPr/>
        <w:t xml:space="preserve">: „Meine kleine Tochter ist dem Tode nahe </w:t>
      </w:r>
      <w:r>
        <w:rPr>
          <w:color w:val="808080"/>
        </w:rPr>
        <w:t>(liegt im Sterben, ist todkrank)</w:t>
      </w:r>
      <w:r>
        <w:rPr/>
        <w:t xml:space="preserve"> </w:t>
      </w:r>
      <w:r>
        <w:rPr>
          <w:rStyle w:val="Funotenanker"/>
        </w:rPr>
        <w:footnoteReference w:customMarkFollows="1" w:id="1474"/>
        <w:t>am</w:t>
      </w:r>
      <w:r>
        <w:rPr/>
        <w:t xml:space="preserve"> – komm doch und </w:t>
      </w:r>
      <w:r>
        <w:rPr>
          <w:rStyle w:val="Funotenanker"/>
        </w:rPr>
        <w:footnoteReference w:customMarkFollows="1" w:id="1475"/>
        <w:t>an</w:t>
      </w:r>
      <w:r>
        <w:rPr/>
        <w:t xml:space="preserve"> lege ihr deine Hände auf, </w:t>
      </w:r>
      <w:r>
        <w:rPr>
          <w:rStyle w:val="Funotenanker"/>
        </w:rPr>
        <w:footnoteReference w:customMarkFollows="1" w:id="1476"/>
        <w:t>ao</w:t>
      </w:r>
      <w:r>
        <w:rPr/>
        <w:t xml:space="preserve"> damit sie gerettet </w:t>
      </w:r>
      <w:r>
        <w:rPr>
          <w:color w:val="808080"/>
        </w:rPr>
        <w:t>(geheilt)</w:t>
      </w:r>
      <w:r>
        <w:rPr/>
        <w:t xml:space="preserve"> wird und am Leben bleibt </w:t>
      </w:r>
      <w:r>
        <w:rPr>
          <w:color w:val="808080"/>
        </w:rPr>
        <w:t>(lebt)</w:t>
      </w:r>
      <w:r>
        <w:rPr/>
        <w:t xml:space="preserve">!“{{field-off:bible}} </w:t>
        <w:br/>
        <w:t>[[@BibleTOBIBLE:Mk 5:24]]</w:t>
      </w:r>
      <w:r>
        <w:rPr>
          <w:b/>
        </w:rPr>
        <w:t>24</w:t>
      </w:r>
      <w:r>
        <w:rPr/>
        <w:t xml:space="preserve"> {{field-on:bible}}Und er ging mit ihm, und eine große Menge folgte ihm, und sie drängten sich um ihn </w:t>
      </w:r>
      <w:r>
        <w:rPr>
          <w:rStyle w:val="Funotenanker"/>
        </w:rPr>
        <w:footnoteReference w:customMarkFollows="1" w:id="1477"/>
        <w:t>ap</w:t>
      </w:r>
      <w:r>
        <w:rPr/>
        <w:t xml:space="preserve">.{{field-off:bible}} </w:t>
        <w:br/>
        <w:t>[[@BibleTOBIBLE:Mk 5:25]]</w:t>
      </w:r>
      <w:r>
        <w:rPr>
          <w:b/>
        </w:rPr>
        <w:t>25</w:t>
      </w:r>
      <w:r>
        <w:rPr/>
        <w:t xml:space="preserve"> {{field-on:bible}}Und eine Frau, die </w:t>
      </w:r>
      <w:r>
        <w:rPr>
          <w:b/>
          <w:color w:val="808080"/>
        </w:rPr>
        <w:t>[</w:t>
      </w:r>
      <w:r>
        <w:rPr/>
        <w:t>seit</w:t>
      </w:r>
      <w:r>
        <w:rPr>
          <w:b/>
          <w:color w:val="808080"/>
        </w:rPr>
        <w:t>]</w:t>
      </w:r>
      <w:r>
        <w:rPr/>
        <w:t xml:space="preserve"> zwölf Jahren an Blutungen </w:t>
      </w:r>
      <w:r>
        <w:rPr>
          <w:color w:val="808080"/>
        </w:rPr>
        <w:t>(Blutfluss)</w:t>
      </w:r>
      <w:r>
        <w:rPr/>
        <w:t xml:space="preserve"> litt </w:t>
      </w:r>
      <w:r>
        <w:rPr>
          <w:rStyle w:val="Funotenanker"/>
        </w:rPr>
        <w:footnoteReference w:customMarkFollows="1" w:id="1478"/>
        <w:t>aq</w:t>
      </w:r>
      <w:r>
        <w:rPr/>
        <w:t xml:space="preserve"> </w:t>
      </w:r>
      <w:r>
        <w:rPr>
          <w:position w:val="8"/>
          <w:sz w:val="19"/>
        </w:rPr>
        <w:t>[[ ℘ &gt;&gt; BibleTOBIBLE:Le 15:25]]</w:t>
      </w:r>
      <w:r>
        <w:rPr/>
        <w:t xml:space="preserve"> {{field-off:bible}} </w:t>
        <w:br/>
        <w:t>[[@BibleTOBIBLE:Mk 5:26]]</w:t>
      </w:r>
      <w:r>
        <w:rPr>
          <w:b/>
        </w:rPr>
        <w:t>26</w:t>
      </w:r>
      <w:r>
        <w:rPr/>
        <w:t xml:space="preserve"> {{field-on:bible}}und mit </w:t>
      </w:r>
      <w:r>
        <w:rPr>
          <w:color w:val="808080"/>
        </w:rPr>
        <w:t>(durch)</w:t>
      </w:r>
      <w:r>
        <w:rPr/>
        <w:t xml:space="preserve"> vielen Ärzten viel durchgemacht </w:t>
      </w:r>
      <w:r>
        <w:rPr>
          <w:color w:val="808080"/>
        </w:rPr>
        <w:t>(erduldet, erlitten)</w:t>
      </w:r>
      <w:r>
        <w:rPr/>
        <w:t xml:space="preserve"> hatte, die ihren gesamten Besitz </w:t>
      </w:r>
      <w:r>
        <w:rPr>
          <w:color w:val="808080"/>
        </w:rPr>
        <w:t>(Vermögen, Habe)</w:t>
      </w:r>
      <w:r>
        <w:rPr/>
        <w:t xml:space="preserve"> ausgegeben hatte, ohne etwas zu erreichen </w:t>
      </w:r>
      <w:r>
        <w:rPr>
          <w:color w:val="808080"/>
        </w:rPr>
        <w:t>(einen Nutzen davon zu haben)</w:t>
      </w:r>
      <w:r>
        <w:rPr/>
        <w:t xml:space="preserve">; stattdessen </w:t>
      </w:r>
      <w:r>
        <w:rPr>
          <w:color w:val="808080"/>
        </w:rPr>
        <w:t>(im Gegenteil)</w:t>
      </w:r>
      <w:r>
        <w:rPr/>
        <w:t xml:space="preserve"> war es ihr immer schlechter gegangen </w:t>
      </w:r>
      <w:r>
        <w:rPr>
          <w:color w:val="808080"/>
        </w:rPr>
        <w:t>(schlimmer geworden)</w:t>
      </w:r>
      <w:r>
        <w:rPr/>
        <w:t xml:space="preserve">, </w:t>
      </w:r>
      <w:r>
        <w:rPr>
          <w:rStyle w:val="Funotenanker"/>
        </w:rPr>
        <w:footnoteReference w:customMarkFollows="1" w:id="1479"/>
        <w:t>ar</w:t>
      </w:r>
      <w:r>
        <w:rPr/>
        <w:t xml:space="preserve"> {{field-off:bible}} </w:t>
        <w:br/>
        <w:t>[[@BibleTOBIBLE:Mk 5:27]]</w:t>
      </w:r>
      <w:r>
        <w:rPr>
          <w:b/>
        </w:rPr>
        <w:t>27</w:t>
      </w:r>
      <w:r>
        <w:rPr/>
        <w:t xml:space="preserve"> {{field-on:bible}}als sie </w:t>
      </w:r>
      <w:r>
        <w:rPr>
          <w:color w:val="808080"/>
        </w:rPr>
        <w:t>(die)</w:t>
      </w:r>
      <w:r>
        <w:rPr/>
        <w:t xml:space="preserve"> von Jesus hörte, näherte sich </w:t>
      </w:r>
      <w:r>
        <w:rPr>
          <w:color w:val="808080"/>
        </w:rPr>
        <w:t>(kam)</w:t>
      </w:r>
      <w:r>
        <w:rPr/>
        <w:t xml:space="preserve"> </w:t>
      </w:r>
      <w:r>
        <w:rPr>
          <w:rStyle w:val="Funotenanker"/>
        </w:rPr>
        <w:footnoteReference w:customMarkFollows="1" w:id="1480"/>
        <w:t>as</w:t>
      </w:r>
      <w:r>
        <w:rPr/>
        <w:t xml:space="preserve"> </w:t>
      </w:r>
      <w:r>
        <w:rPr>
          <w:b/>
          <w:color w:val="808080"/>
        </w:rPr>
        <w:t>[</w:t>
      </w:r>
      <w:r>
        <w:rPr/>
        <w:t>diese Frau</w:t>
      </w:r>
      <w:r>
        <w:rPr>
          <w:b/>
          <w:color w:val="808080"/>
        </w:rPr>
        <w:t>]</w:t>
      </w:r>
      <w:r>
        <w:rPr/>
        <w:t xml:space="preserve"> in der Menge von hinten und berührte </w:t>
      </w:r>
      <w:r>
        <w:rPr>
          <w:color w:val="808080"/>
        </w:rPr>
        <w:t>(fasste an)</w:t>
      </w:r>
      <w:r>
        <w:rPr/>
        <w:t xml:space="preserve"> seine Kleidung </w:t>
      </w:r>
      <w:r>
        <w:rPr>
          <w:color w:val="808080"/>
        </w:rPr>
        <w:t>(Gewand)</w:t>
      </w:r>
      <w:r>
        <w:rPr/>
        <w:t xml:space="preserve">.{{field-off:bible}} </w:t>
        <w:br/>
        <w:t>[[@BibleTOBIBLE:Mk 5:28]]</w:t>
      </w:r>
      <w:r>
        <w:rPr>
          <w:b/>
        </w:rPr>
        <w:t>28</w:t>
      </w:r>
      <w:r>
        <w:rPr/>
        <w:t xml:space="preserve"> {{field-on:bible}}Sie sagte sich </w:t>
      </w:r>
      <w:r>
        <w:rPr>
          <w:color w:val="808080"/>
        </w:rPr>
        <w:t>(dachte)</w:t>
      </w:r>
      <w:r>
        <w:rPr/>
        <w:t xml:space="preserve"> nämlich: „Wenn ich auch nur seine Kleider </w:t>
      </w:r>
      <w:r>
        <w:rPr>
          <w:color w:val="808080"/>
        </w:rPr>
        <w:t>(Kleidung)</w:t>
      </w:r>
      <w:r>
        <w:rPr/>
        <w:t xml:space="preserve"> berühre </w:t>
      </w:r>
      <w:r>
        <w:rPr>
          <w:color w:val="808080"/>
        </w:rPr>
        <w:t>(anfasse)</w:t>
      </w:r>
      <w:r>
        <w:rPr/>
        <w:t xml:space="preserve">, werde ich geheilt </w:t>
      </w:r>
      <w:r>
        <w:rPr>
          <w:color w:val="808080"/>
        </w:rPr>
        <w:t>(gerettet)</w:t>
      </w:r>
      <w:r>
        <w:rPr/>
        <w:t xml:space="preserve"> werden!“ </w:t>
      </w:r>
      <w:r>
        <w:rPr>
          <w:rStyle w:val="Funotenanker"/>
        </w:rPr>
        <w:footnoteReference w:customMarkFollows="1" w:id="1481"/>
        <w:t>at</w:t>
      </w:r>
      <w:r>
        <w:rPr/>
        <w:t xml:space="preserve"> {{field-off:bible}} </w:t>
        <w:br/>
        <w:t>[[@BibleTOBIBLE:Mk 5:29]]</w:t>
      </w:r>
      <w:r>
        <w:rPr>
          <w:b/>
        </w:rPr>
        <w:t>29</w:t>
      </w:r>
      <w:r>
        <w:rPr/>
        <w:t xml:space="preserve"> {{field-on:bible}}Und die Quelle ihre Blutes versiegte </w:t>
      </w:r>
      <w:r>
        <w:rPr>
          <w:color w:val="808080"/>
        </w:rPr>
        <w:t>(vertrocknete)</w:t>
      </w:r>
      <w:r>
        <w:rPr/>
        <w:t xml:space="preserve"> auf der Stelle </w:t>
      </w:r>
      <w:r>
        <w:rPr>
          <w:color w:val="808080"/>
        </w:rPr>
        <w:t>(sofort)</w:t>
      </w:r>
      <w:r>
        <w:rPr/>
        <w:t xml:space="preserve">, </w:t>
      </w:r>
      <w:r>
        <w:rPr>
          <w:rStyle w:val="Funotenanker"/>
        </w:rPr>
        <w:footnoteReference w:customMarkFollows="1" w:id="1482"/>
        <w:t>au</w:t>
      </w:r>
      <w:r>
        <w:rPr/>
        <w:t xml:space="preserve"> und sie bemerkte </w:t>
      </w:r>
      <w:r>
        <w:rPr>
          <w:color w:val="808080"/>
        </w:rPr>
        <w:t>(wusste, spürte)</w:t>
      </w:r>
      <w:r>
        <w:rPr/>
        <w:t xml:space="preserve"> </w:t>
      </w:r>
      <w:r>
        <w:rPr>
          <w:b/>
          <w:color w:val="808080"/>
        </w:rPr>
        <w:t>[</w:t>
      </w:r>
      <w:r>
        <w:rPr/>
        <w:t xml:space="preserve">an </w:t>
      </w:r>
      <w:r>
        <w:rPr>
          <w:color w:val="808080"/>
        </w:rPr>
        <w:t>(in)</w:t>
      </w:r>
      <w:r>
        <w:rPr/>
        <w:t xml:space="preserve"> ihrem</w:t>
      </w:r>
      <w:r>
        <w:rPr>
          <w:b/>
          <w:color w:val="808080"/>
        </w:rPr>
        <w:t>]</w:t>
      </w:r>
      <w:r>
        <w:rPr/>
        <w:t xml:space="preserve"> Körper </w:t>
      </w:r>
      <w:r>
        <w:rPr>
          <w:rStyle w:val="Funotenanker"/>
        </w:rPr>
        <w:footnoteReference w:customMarkFollows="1" w:id="1483"/>
        <w:t>av</w:t>
      </w:r>
      <w:r>
        <w:rPr/>
        <w:t xml:space="preserve"> , dass sie von </w:t>
      </w:r>
      <w:r>
        <w:rPr>
          <w:b/>
          <w:color w:val="808080"/>
        </w:rPr>
        <w:t>[</w:t>
      </w:r>
      <w:r>
        <w:rPr/>
        <w:t>ihrem</w:t>
      </w:r>
      <w:r>
        <w:rPr>
          <w:b/>
          <w:color w:val="808080"/>
        </w:rPr>
        <w:t>]</w:t>
      </w:r>
      <w:r>
        <w:rPr/>
        <w:t xml:space="preserve"> Leiden </w:t>
      </w:r>
      <w:r>
        <w:rPr>
          <w:color w:val="808080"/>
        </w:rPr>
        <w:t>(Qual)</w:t>
      </w:r>
      <w:r>
        <w:rPr/>
        <w:t xml:space="preserve"> </w:t>
      </w:r>
      <w:r>
        <w:rPr>
          <w:rStyle w:val="Funotenanker"/>
        </w:rPr>
        <w:footnoteReference w:customMarkFollows="1" w:id="1484"/>
        <w:t>aw</w:t>
      </w:r>
      <w:r>
        <w:rPr/>
        <w:t xml:space="preserve"> geheilt war.</w:t>
      </w:r>
      <w:r>
        <w:rPr>
          <w:position w:val="8"/>
          <w:sz w:val="19"/>
        </w:rPr>
        <w:t>[[ ℘ &gt;&gt; BibleTOBIBLE:Le 12:7]]</w:t>
      </w:r>
      <w:r>
        <w:rPr/>
        <w:t xml:space="preserve"> {{field-off:bible}} </w:t>
        <w:br/>
        <w:t>[[@BibleTOBIBLE:Mk 5:30]]</w:t>
      </w:r>
      <w:r>
        <w:rPr>
          <w:b/>
        </w:rPr>
        <w:t>30</w:t>
      </w:r>
      <w:r>
        <w:rPr/>
        <w:t xml:space="preserve"> {{field-on:bible}}Und Jesus, der </w:t>
      </w:r>
      <w:r>
        <w:rPr>
          <w:color w:val="808080"/>
        </w:rPr>
        <w:t>(als/weil er)</w:t>
      </w:r>
      <w:r>
        <w:rPr/>
        <w:t xml:space="preserve"> innerlich </w:t>
      </w:r>
      <w:r>
        <w:rPr>
          <w:color w:val="808080"/>
        </w:rPr>
        <w:t>(bei sich)</w:t>
      </w:r>
      <w:r>
        <w:rPr/>
        <w:t xml:space="preserve"> sofort merkte, </w:t>
      </w:r>
      <w:r>
        <w:rPr>
          <w:rStyle w:val="Funotenanker"/>
        </w:rPr>
        <w:footnoteReference w:customMarkFollows="1" w:id="1485"/>
        <w:t>ax</w:t>
      </w:r>
      <w:r>
        <w:rPr/>
        <w:t xml:space="preserve"> dass Kraft </w:t>
      </w:r>
      <w:r>
        <w:rPr>
          <w:b/>
          <w:color w:val="808080"/>
        </w:rPr>
        <w:t>[</w:t>
      </w:r>
      <w:r>
        <w:rPr/>
        <w:t>von ihm</w:t>
      </w:r>
      <w:r>
        <w:rPr>
          <w:b/>
          <w:color w:val="808080"/>
        </w:rPr>
        <w:t>]</w:t>
      </w:r>
      <w:r>
        <w:rPr/>
        <w:t xml:space="preserve"> ausgegangen war, </w:t>
      </w:r>
      <w:r>
        <w:rPr>
          <w:rStyle w:val="Funotenanker"/>
        </w:rPr>
        <w:footnoteReference w:customMarkFollows="1" w:id="1486"/>
        <w:t>ay</w:t>
      </w:r>
      <w:r>
        <w:rPr/>
        <w:t xml:space="preserve"> drehte sich in der Menschenmenge um und fragte </w:t>
      </w:r>
      <w:r>
        <w:rPr>
          <w:color w:val="808080"/>
        </w:rPr>
        <w:t>(sagte, wiederholte)</w:t>
      </w:r>
      <w:r>
        <w:rPr/>
        <w:t xml:space="preserve"> </w:t>
      </w:r>
      <w:r>
        <w:rPr>
          <w:rStyle w:val="Funotenanker"/>
        </w:rPr>
        <w:footnoteReference w:customMarkFollows="1" w:id="1487"/>
        <w:t>az</w:t>
      </w:r>
      <w:r>
        <w:rPr/>
        <w:t xml:space="preserve">: „Wer hat meine Kleider </w:t>
      </w:r>
      <w:r>
        <w:rPr>
          <w:color w:val="808080"/>
        </w:rPr>
        <w:t>(Kleidung)</w:t>
      </w:r>
      <w:r>
        <w:rPr/>
        <w:t xml:space="preserve"> berührt </w:t>
      </w:r>
      <w:r>
        <w:rPr>
          <w:color w:val="808080"/>
        </w:rPr>
        <w:t>(angefasst)</w:t>
      </w:r>
      <w:r>
        <w:rPr/>
        <w:t xml:space="preserve">?“{{field-off:bible}} </w:t>
        <w:br/>
        <w:t>[[@BibleTOBIBLE:Mk 5:31]]</w:t>
      </w:r>
      <w:r>
        <w:rPr>
          <w:b/>
        </w:rPr>
        <w:t>31</w:t>
      </w:r>
      <w:r>
        <w:rPr/>
        <w:t xml:space="preserve"> {{field-on:bible}}Aber </w:t>
      </w:r>
      <w:r>
        <w:rPr>
          <w:color w:val="808080"/>
        </w:rPr>
        <w:t>(Und, Da)</w:t>
      </w:r>
      <w:r>
        <w:rPr/>
        <w:t xml:space="preserve"> seine Jünger meinten </w:t>
      </w:r>
      <w:r>
        <w:rPr>
          <w:color w:val="808080"/>
        </w:rPr>
        <w:t>(sagten)</w:t>
      </w:r>
      <w:r>
        <w:rPr/>
        <w:t xml:space="preserve"> </w:t>
      </w:r>
      <w:r>
        <w:rPr>
          <w:strike/>
          <w:color w:val="808080"/>
        </w:rPr>
        <w:t>{ihm}</w:t>
      </w:r>
      <w:r>
        <w:rPr/>
        <w:t xml:space="preserve">: „Du siehst die Menschenmenge, die sich um dich drängt, </w:t>
      </w:r>
      <w:r>
        <w:rPr>
          <w:rStyle w:val="Funotenanker"/>
        </w:rPr>
        <w:footnoteReference w:customMarkFollows="1" w:id="1488"/>
        <w:t>ba</w:t>
      </w:r>
      <w:r>
        <w:rPr/>
        <w:t xml:space="preserve"> und sagst: »Wer hat mich berührt </w:t>
      </w:r>
      <w:r>
        <w:rPr>
          <w:color w:val="808080"/>
        </w:rPr>
        <w:t>(angefasst)</w:t>
      </w:r>
      <w:r>
        <w:rPr/>
        <w:t xml:space="preserve">?«“{{field-off:bible}} </w:t>
        <w:br/>
        <w:t>[[@BibleTOBIBLE:Mk 5:32]]</w:t>
      </w:r>
      <w:r>
        <w:rPr>
          <w:b/>
        </w:rPr>
        <w:t>32</w:t>
      </w:r>
      <w:r>
        <w:rPr/>
        <w:t xml:space="preserve"> {{field-on:bible}}Und er schaute sich um, </w:t>
      </w:r>
      <w:r>
        <w:rPr>
          <w:b/>
          <w:color w:val="808080"/>
        </w:rPr>
        <w:t>[</w:t>
      </w:r>
      <w:r>
        <w:rPr/>
        <w:t>um</w:t>
      </w:r>
      <w:r>
        <w:rPr>
          <w:b/>
          <w:color w:val="808080"/>
        </w:rPr>
        <w:t>]</w:t>
      </w:r>
      <w:r>
        <w:rPr/>
        <w:t xml:space="preserve"> die </w:t>
      </w:r>
      <w:r>
        <w:rPr>
          <w:b/>
          <w:color w:val="808080"/>
        </w:rPr>
        <w:t>[</w:t>
      </w:r>
      <w:r>
        <w:rPr/>
        <w:t>Person</w:t>
      </w:r>
      <w:r>
        <w:rPr>
          <w:b/>
          <w:color w:val="808080"/>
        </w:rPr>
        <w:t>]</w:t>
      </w:r>
      <w:r>
        <w:rPr/>
        <w:t xml:space="preserve"> zu sehen, die es gewesen war </w:t>
      </w:r>
      <w:r>
        <w:rPr>
          <w:color w:val="808080"/>
        </w:rPr>
        <w:t>(getan hatte)</w:t>
      </w:r>
      <w:r>
        <w:rPr/>
        <w:t xml:space="preserve">. </w:t>
      </w:r>
      <w:r>
        <w:rPr>
          <w:rStyle w:val="Funotenanker"/>
        </w:rPr>
        <w:footnoteReference w:customMarkFollows="1" w:id="1489"/>
        <w:t>bb</w:t>
      </w:r>
      <w:r>
        <w:rPr/>
        <w:t xml:space="preserve"> {{field-off:bible}} </w:t>
        <w:br/>
        <w:t>[[@BibleTOBIBLE:Mk 5:33]]</w:t>
      </w:r>
      <w:r>
        <w:rPr>
          <w:b/>
        </w:rPr>
        <w:t>33</w:t>
      </w:r>
      <w:r>
        <w:rPr/>
        <w:t xml:space="preserve"> {{field-on:bible}}Die Frau fürchtete sich und zitterte, weil sie wusste, </w:t>
      </w:r>
      <w:r>
        <w:rPr>
          <w:rStyle w:val="Funotenanker"/>
        </w:rPr>
        <w:footnoteReference w:customMarkFollows="1" w:id="1490"/>
        <w:t>bc</w:t>
      </w:r>
      <w:r>
        <w:rPr/>
        <w:t xml:space="preserve"> was mit ihr passiert war. Sie kam und warf sich </w:t>
      </w:r>
      <w:r>
        <w:rPr>
          <w:color w:val="808080"/>
        </w:rPr>
        <w:t>(fiel)</w:t>
      </w:r>
      <w:r>
        <w:rPr/>
        <w:t xml:space="preserve"> vor ihm nieder und erzählte </w:t>
      </w:r>
      <w:r>
        <w:rPr>
          <w:color w:val="808080"/>
        </w:rPr>
        <w:t>(sagte)</w:t>
      </w:r>
      <w:r>
        <w:rPr/>
        <w:t xml:space="preserve"> ihm die ganze Wahrheit.{{field-off:bible}} </w:t>
        <w:br/>
        <w:t>[[@BibleTOBIBLE:Mk 5:34]]</w:t>
      </w:r>
      <w:r>
        <w:rPr>
          <w:b/>
        </w:rPr>
        <w:t>34</w:t>
      </w:r>
      <w:r>
        <w:rPr/>
        <w:t xml:space="preserve"> {{field-on:bible}}Doch er sagte zu ihr: „Tochter, dein Glaube </w:t>
      </w:r>
      <w:r>
        <w:rPr>
          <w:color w:val="808080"/>
        </w:rPr>
        <w:t>(Vertrauen)</w:t>
      </w:r>
      <w:r>
        <w:rPr/>
        <w:t xml:space="preserve"> hat dich gesund gemacht </w:t>
      </w:r>
      <w:r>
        <w:rPr>
          <w:color w:val="808080"/>
        </w:rPr>
        <w:t>(gerettet)</w:t>
      </w:r>
      <w:r>
        <w:rPr/>
        <w:t xml:space="preserve">. Geh in Frieden, und sei </w:t>
      </w:r>
      <w:r>
        <w:rPr>
          <w:color w:val="808080"/>
        </w:rPr>
        <w:t>(bleibe)</w:t>
      </w:r>
      <w:r>
        <w:rPr/>
        <w:t xml:space="preserve"> von deinem Leiden </w:t>
      </w:r>
      <w:r>
        <w:rPr>
          <w:color w:val="808080"/>
        </w:rPr>
        <w:t>(Plage)</w:t>
      </w:r>
      <w:r>
        <w:rPr/>
        <w:t xml:space="preserve"> gesund </w:t>
      </w:r>
      <w:r>
        <w:rPr>
          <w:color w:val="808080"/>
        </w:rPr>
        <w:t>(geheilt)</w:t>
      </w:r>
      <w:r>
        <w:rPr/>
        <w:t xml:space="preserve">!“{{field-off:bible}} </w:t>
        <w:br/>
        <w:t>[[@BibleTOBIBLE:Mk 5:35]]</w:t>
      </w:r>
      <w:r>
        <w:rPr>
          <w:b/>
        </w:rPr>
        <w:t>35</w:t>
      </w:r>
      <w:r>
        <w:rPr/>
        <w:t xml:space="preserve"> {{field-on:bible}}Während er noch redete, </w:t>
      </w:r>
      <w:r>
        <w:rPr>
          <w:rStyle w:val="Funotenanker"/>
        </w:rPr>
        <w:footnoteReference w:customMarkFollows="1" w:id="1491"/>
        <w:t>bd</w:t>
      </w:r>
      <w:r>
        <w:rPr/>
        <w:t xml:space="preserve"> kamen </w:t>
      </w:r>
      <w:r>
        <w:rPr>
          <w:b/>
          <w:color w:val="808080"/>
        </w:rPr>
        <w:t>[</w:t>
      </w:r>
      <w:r>
        <w:rPr/>
        <w:t xml:space="preserve">Angehörige </w:t>
      </w:r>
      <w:r>
        <w:rPr>
          <w:color w:val="808080"/>
        </w:rPr>
        <w:t>(Leute aus dem Haus)</w:t>
      </w:r>
      <w:r>
        <w:rPr>
          <w:b/>
          <w:color w:val="808080"/>
        </w:rPr>
        <w:t>]</w:t>
      </w:r>
      <w:r>
        <w:rPr/>
        <w:t xml:space="preserve"> des Synagogenvorstehers und richteten aus </w:t>
      </w:r>
      <w:r>
        <w:rPr>
          <w:color w:val="808080"/>
        </w:rPr>
        <w:t>(sagten)</w:t>
      </w:r>
      <w:r>
        <w:rPr/>
        <w:t xml:space="preserve"> </w:t>
      </w:r>
      <w:r>
        <w:rPr>
          <w:rStyle w:val="Funotenanker"/>
        </w:rPr>
        <w:footnoteReference w:customMarkFollows="1" w:id="1492"/>
        <w:t>be</w:t>
      </w:r>
      <w:r>
        <w:rPr/>
        <w:t xml:space="preserve">: „Deine Tochter ist gestorben. Was </w:t>
      </w:r>
      <w:r>
        <w:rPr>
          <w:color w:val="808080"/>
        </w:rPr>
        <w:t>(Warum)</w:t>
      </w:r>
      <w:r>
        <w:rPr/>
        <w:t xml:space="preserve"> bemühst du noch den Lehrer?“{{field-off:bible}} </w:t>
        <w:br/>
        <w:t>[[@BibleTOBIBLE:Mk 5:36]]</w:t>
      </w:r>
      <w:r>
        <w:rPr>
          <w:b/>
        </w:rPr>
        <w:t>36</w:t>
      </w:r>
      <w:r>
        <w:rPr/>
        <w:t xml:space="preserve"> {{field-on:bible}}Aber Jesus, der mitbekommen hatte </w:t>
      </w:r>
      <w:r>
        <w:rPr>
          <w:color w:val="808080"/>
        </w:rPr>
        <w:t>(hörte zu; überhörte, missachtete)</w:t>
      </w:r>
      <w:r>
        <w:rPr/>
        <w:t xml:space="preserve">, wie die Botschaft </w:t>
      </w:r>
      <w:r>
        <w:rPr>
          <w:color w:val="808080"/>
        </w:rPr>
        <w:t>(Meldung, Wort)</w:t>
      </w:r>
      <w:r>
        <w:rPr/>
        <w:t xml:space="preserve"> ausgerichtet </w:t>
      </w:r>
      <w:r>
        <w:rPr>
          <w:color w:val="808080"/>
        </w:rPr>
        <w:t>(gesagt)</w:t>
      </w:r>
      <w:r>
        <w:rPr/>
        <w:t xml:space="preserve"> wurde, </w:t>
      </w:r>
      <w:r>
        <w:rPr>
          <w:rStyle w:val="Funotenanker"/>
        </w:rPr>
        <w:footnoteReference w:customMarkFollows="1" w:id="1493"/>
        <w:t>bf</w:t>
      </w:r>
      <w:r>
        <w:rPr/>
        <w:t xml:space="preserve"> sagte zu dem Synagogenvorsteher: „Fürchte dich nicht, vertraue </w:t>
      </w:r>
      <w:r>
        <w:rPr>
          <w:color w:val="808080"/>
        </w:rPr>
        <w:t>(glaube)</w:t>
      </w:r>
      <w:r>
        <w:rPr/>
        <w:t xml:space="preserve"> einfach </w:t>
      </w:r>
      <w:r>
        <w:rPr>
          <w:color w:val="808080"/>
        </w:rPr>
        <w:t>(nur)</w:t>
      </w:r>
      <w:r>
        <w:rPr/>
        <w:t xml:space="preserve">!“ </w:t>
      </w:r>
      <w:r>
        <w:rPr>
          <w:rStyle w:val="Funotenanker"/>
        </w:rPr>
        <w:footnoteReference w:customMarkFollows="1" w:id="1494"/>
        <w:t>bg</w:t>
      </w:r>
      <w:r>
        <w:rPr/>
        <w:t xml:space="preserve"> {{field-off:bible}} </w:t>
        <w:br/>
        <w:t>[[@BibleTOBIBLE:Mk 5:37]]</w:t>
      </w:r>
      <w:r>
        <w:rPr>
          <w:b/>
        </w:rPr>
        <w:t>37</w:t>
      </w:r>
      <w:r>
        <w:rPr/>
        <w:t xml:space="preserve"> {{field-on:bible}}Und er ließ </w:t>
      </w:r>
      <w:r>
        <w:rPr>
          <w:color w:val="808080"/>
        </w:rPr>
        <w:t>(erlaubte)</w:t>
      </w:r>
      <w:r>
        <w:rPr/>
        <w:t xml:space="preserve"> niemanden mitkommen </w:t>
      </w:r>
      <w:r>
        <w:rPr>
          <w:color w:val="808080"/>
        </w:rPr>
        <w:t>(ihn begleiten)</w:t>
      </w:r>
      <w:r>
        <w:rPr/>
        <w:t xml:space="preserve"> außer Petrus, </w:t>
      </w:r>
      <w:r>
        <w:rPr>
          <w:strike/>
          <w:color w:val="808080"/>
        </w:rPr>
        <w:t>{und}</w:t>
      </w:r>
      <w:r>
        <w:rPr/>
        <w:t xml:space="preserve"> Jakobus und Jakobus’ Bruder Johannes.{{field-off:bible}} </w:t>
        <w:br/>
        <w:t>[[@BibleTOBIBLE:Mk 5:38]]</w:t>
      </w:r>
      <w:r>
        <w:rPr>
          <w:b/>
        </w:rPr>
        <w:t>38</w:t>
      </w:r>
      <w:r>
        <w:rPr/>
        <w:t xml:space="preserve"> {{field-on:bible}}Als </w:t>
      </w:r>
      <w:r>
        <w:rPr>
          <w:color w:val="808080"/>
        </w:rPr>
        <w:t>(Und)</w:t>
      </w:r>
      <w:r>
        <w:rPr/>
        <w:t xml:space="preserve"> sie zum </w:t>
      </w:r>
      <w:r>
        <w:rPr>
          <w:color w:val="808080"/>
        </w:rPr>
        <w:t>(in das)</w:t>
      </w:r>
      <w:r>
        <w:rPr/>
        <w:t xml:space="preserve"> Haus des Synagogenvorstehers kamen, </w:t>
      </w:r>
      <w:r>
        <w:rPr>
          <w:strike/>
          <w:color w:val="808080"/>
        </w:rPr>
        <w:t>{und}</w:t>
      </w:r>
      <w:r>
        <w:rPr/>
        <w:t xml:space="preserve"> sah er ein lärmendes Durcheinander </w:t>
      </w:r>
      <w:r>
        <w:rPr>
          <w:color w:val="808080"/>
        </w:rPr>
        <w:t>(Aufregung, Tumult)</w:t>
      </w:r>
      <w:r>
        <w:rPr/>
        <w:t xml:space="preserve"> </w:t>
      </w:r>
      <w:r>
        <w:rPr>
          <w:rStyle w:val="Funotenanker"/>
        </w:rPr>
        <w:footnoteReference w:customMarkFollows="1" w:id="1495"/>
        <w:t>bh</w:t>
      </w:r>
      <w:r>
        <w:rPr/>
        <w:t xml:space="preserve"> und </w:t>
      </w:r>
      <w:r>
        <w:rPr>
          <w:b/>
          <w:color w:val="808080"/>
        </w:rPr>
        <w:t>[</w:t>
      </w:r>
      <w:r>
        <w:rPr/>
        <w:t>Menschen</w:t>
      </w:r>
      <w:r>
        <w:rPr>
          <w:b/>
          <w:color w:val="808080"/>
        </w:rPr>
        <w:t>]</w:t>
      </w:r>
      <w:r>
        <w:rPr/>
        <w:t xml:space="preserve">, die heftig heulten </w:t>
      </w:r>
      <w:r>
        <w:rPr>
          <w:color w:val="808080"/>
        </w:rPr>
        <w:t>(weinten)</w:t>
      </w:r>
      <w:r>
        <w:rPr/>
        <w:t xml:space="preserve"> und wehklagten </w:t>
      </w:r>
      <w:r>
        <w:rPr>
          <w:color w:val="808080"/>
        </w:rPr>
        <w:t>(heulten)</w:t>
      </w:r>
      <w:r>
        <w:rPr/>
        <w:t xml:space="preserve">, </w:t>
      </w:r>
      <w:r>
        <w:rPr>
          <w:rStyle w:val="Funotenanker"/>
        </w:rPr>
        <w:footnoteReference w:customMarkFollows="1" w:id="1496"/>
        <w:t>bi</w:t>
      </w:r>
      <w:r>
        <w:rPr/>
        <w:t xml:space="preserve"> {{field-off:bible}} </w:t>
        <w:br/>
        <w:t>[[@BibleTOBIBLE:Mk 5:39]]</w:t>
      </w:r>
      <w:r>
        <w:rPr>
          <w:b/>
        </w:rPr>
        <w:t>39</w:t>
      </w:r>
      <w:r>
        <w:rPr/>
        <w:t xml:space="preserve"> {{field-on:bible}}und nach dem </w:t>
      </w:r>
      <w:r>
        <w:rPr>
          <w:color w:val="808080"/>
        </w:rPr>
        <w:t>(beim)</w:t>
      </w:r>
      <w:r>
        <w:rPr/>
        <w:t xml:space="preserve"> Eintreten </w:t>
      </w:r>
      <w:r>
        <w:rPr>
          <w:rStyle w:val="Funotenanker"/>
        </w:rPr>
        <w:footnoteReference w:customMarkFollows="1" w:id="1497"/>
        <w:t>bj</w:t>
      </w:r>
      <w:r>
        <w:rPr/>
        <w:t xml:space="preserve"> sagte er zu ihnen: „Warum seid ihr so erregt </w:t>
      </w:r>
      <w:r>
        <w:rPr>
          <w:color w:val="808080"/>
        </w:rPr>
        <w:t>(lärmt)</w:t>
      </w:r>
      <w:r>
        <w:rPr/>
        <w:t xml:space="preserve"> und heult </w:t>
      </w:r>
      <w:r>
        <w:rPr>
          <w:color w:val="808080"/>
        </w:rPr>
        <w:t>(weint)</w:t>
      </w:r>
      <w:r>
        <w:rPr/>
        <w:t xml:space="preserve">? Das Kind </w:t>
      </w:r>
      <w:r>
        <w:rPr>
          <w:color w:val="808080"/>
        </w:rPr>
        <w:t>(Kindlein)</w:t>
      </w:r>
      <w:r>
        <w:rPr/>
        <w:t xml:space="preserve"> ist nicht tot, sie schläft nur!“{{field-off:bible}} </w:t>
        <w:br/>
        <w:t>[[@BibleTOBIBLE:Mk 5:40]]</w:t>
      </w:r>
      <w:r>
        <w:rPr>
          <w:b/>
        </w:rPr>
        <w:t>40</w:t>
      </w:r>
      <w:r>
        <w:rPr/>
        <w:t xml:space="preserve"> {{field-on:bible}}Da </w:t>
      </w:r>
      <w:r>
        <w:rPr>
          <w:color w:val="808080"/>
        </w:rPr>
        <w:t>(Und)</w:t>
      </w:r>
      <w:r>
        <w:rPr/>
        <w:t xml:space="preserve"> lachten sie ihn aus. Doch [Jesus] schickte </w:t>
      </w:r>
      <w:r>
        <w:rPr>
          <w:color w:val="808080"/>
        </w:rPr>
        <w:t>(trieb, warf)</w:t>
      </w:r>
      <w:r>
        <w:rPr/>
        <w:t xml:space="preserve"> alle hinaus, dann nahm er den Vater und die Mutter des Kindes </w:t>
      </w:r>
      <w:r>
        <w:rPr>
          <w:color w:val="808080"/>
        </w:rPr>
        <w:t>(Kindleins)</w:t>
      </w:r>
      <w:r>
        <w:rPr/>
        <w:t xml:space="preserve"> und </w:t>
      </w:r>
      <w:r>
        <w:rPr>
          <w:b/>
          <w:color w:val="808080"/>
        </w:rPr>
        <w:t>[</w:t>
      </w:r>
      <w:r>
        <w:rPr/>
        <w:t>alle</w:t>
      </w:r>
      <w:r>
        <w:rPr>
          <w:b/>
          <w:color w:val="808080"/>
        </w:rPr>
        <w:t>]</w:t>
      </w:r>
      <w:r>
        <w:rPr/>
        <w:t xml:space="preserve">, die bei ihm </w:t>
      </w:r>
      <w:r>
        <w:rPr>
          <w:b/>
          <w:color w:val="808080"/>
        </w:rPr>
        <w:t>[</w:t>
      </w:r>
      <w:r>
        <w:rPr/>
        <w:t>waren</w:t>
      </w:r>
      <w:r>
        <w:rPr>
          <w:b/>
          <w:color w:val="808080"/>
        </w:rPr>
        <w:t>]</w:t>
      </w:r>
      <w:r>
        <w:rPr/>
        <w:t xml:space="preserve">, mit und ging in </w:t>
      </w:r>
      <w:r>
        <w:rPr>
          <w:b/>
          <w:color w:val="808080"/>
        </w:rPr>
        <w:t>[</w:t>
      </w:r>
      <w:r>
        <w:rPr/>
        <w:t>das Zimmer</w:t>
      </w:r>
      <w:r>
        <w:rPr>
          <w:b/>
          <w:color w:val="808080"/>
        </w:rPr>
        <w:t>]</w:t>
      </w:r>
      <w:r>
        <w:rPr/>
        <w:t xml:space="preserve">, wo sich das Kind </w:t>
      </w:r>
      <w:r>
        <w:rPr>
          <w:color w:val="808080"/>
        </w:rPr>
        <w:t>(Kindlein)</w:t>
      </w:r>
      <w:r>
        <w:rPr/>
        <w:t xml:space="preserve"> befand.{{field-off:bible}} </w:t>
        <w:br/>
        <w:t>[[@BibleTOBIBLE:Mk 5:41]]</w:t>
      </w:r>
      <w:r>
        <w:rPr>
          <w:b/>
        </w:rPr>
        <w:t>41</w:t>
      </w:r>
      <w:r>
        <w:rPr/>
        <w:t xml:space="preserve"> {{field-on:bible}} </w:t>
      </w:r>
      <w:r>
        <w:rPr>
          <w:strike/>
          <w:color w:val="808080"/>
        </w:rPr>
        <w:t>{Und}</w:t>
      </w:r>
      <w:r>
        <w:rPr/>
        <w:t xml:space="preserve"> Er nahm die Hand des Kindes </w:t>
      </w:r>
      <w:r>
        <w:rPr>
          <w:color w:val="808080"/>
        </w:rPr>
        <w:t>(Kindleins)</w:t>
      </w:r>
      <w:r>
        <w:rPr/>
        <w:t xml:space="preserve"> </w:t>
      </w:r>
      <w:r>
        <w:rPr>
          <w:rStyle w:val="Funotenanker"/>
        </w:rPr>
        <w:footnoteReference w:customMarkFollows="1" w:id="1498"/>
        <w:t>bk</w:t>
      </w:r>
      <w:r>
        <w:rPr/>
        <w:t xml:space="preserve"> und sagte zu ihr: „Talita kum!“ </w:t>
      </w:r>
      <w:r>
        <w:rPr>
          <w:rStyle w:val="Funotenanker"/>
        </w:rPr>
        <w:footnoteReference w:customMarkFollows="1" w:id="1499"/>
        <w:t>bl</w:t>
      </w:r>
      <w:r>
        <w:rPr/>
        <w:t xml:space="preserve"> , das heißt übersetzt: „Mädchen, ich sage dir, steh </w:t>
      </w:r>
      <w:r>
        <w:rPr>
          <w:color w:val="808080"/>
        </w:rPr>
        <w:t>(wach)</w:t>
      </w:r>
      <w:r>
        <w:rPr/>
        <w:t xml:space="preserve"> auf!“{{field-off:bible}} </w:t>
        <w:br/>
        <w:t>[[@BibleTOBIBLE:Mk 5:42]]</w:t>
      </w:r>
      <w:r>
        <w:rPr>
          <w:b/>
        </w:rPr>
        <w:t>42</w:t>
      </w:r>
      <w:r>
        <w:rPr/>
        <w:t xml:space="preserve"> {{field-on:bible}} </w:t>
      </w:r>
      <w:r>
        <w:rPr>
          <w:strike/>
          <w:color w:val="808080"/>
        </w:rPr>
        <w:t>{Und}</w:t>
      </w:r>
      <w:r>
        <w:rPr/>
        <w:t xml:space="preserve"> Das Mädchen erhob sich auf der Stelle </w:t>
      </w:r>
      <w:r>
        <w:rPr>
          <w:color w:val="808080"/>
        </w:rPr>
        <w:t>(sofort)</w:t>
      </w:r>
      <w:r>
        <w:rPr/>
        <w:t xml:space="preserve"> und begann umherzugehen </w:t>
      </w:r>
      <w:r>
        <w:rPr>
          <w:rStyle w:val="Funotenanker"/>
        </w:rPr>
        <w:footnoteReference w:customMarkFollows="1" w:id="1500"/>
        <w:t>bm</w:t>
      </w:r>
      <w:r>
        <w:rPr/>
        <w:t xml:space="preserve">; sie war nämlich zwölf Jahre </w:t>
      </w:r>
      <w:r>
        <w:rPr>
          <w:b/>
          <w:color w:val="808080"/>
        </w:rPr>
        <w:t>[</w:t>
      </w:r>
      <w:r>
        <w:rPr/>
        <w:t>alt</w:t>
      </w:r>
      <w:r>
        <w:rPr>
          <w:b/>
          <w:color w:val="808080"/>
        </w:rPr>
        <w:t>]</w:t>
      </w:r>
      <w:r>
        <w:rPr/>
        <w:t xml:space="preserve">. </w:t>
      </w:r>
      <w:r>
        <w:rPr>
          <w:strike/>
          <w:color w:val="808080"/>
        </w:rPr>
        <w:t>{Und}</w:t>
      </w:r>
      <w:r>
        <w:rPr/>
        <w:t xml:space="preserve"> Da </w:t>
      </w:r>
      <w:r>
        <w:rPr>
          <w:color w:val="808080"/>
        </w:rPr>
        <w:t>(sofort)</w:t>
      </w:r>
      <w:r>
        <w:rPr/>
        <w:t xml:space="preserve"> waren </w:t>
      </w:r>
      <w:r>
        <w:rPr>
          <w:b/>
          <w:color w:val="808080"/>
        </w:rPr>
        <w:t>[</w:t>
      </w:r>
      <w:r>
        <w:rPr/>
        <w:t>alle vor</w:t>
      </w:r>
      <w:r>
        <w:rPr>
          <w:b/>
          <w:color w:val="808080"/>
        </w:rPr>
        <w:t>]</w:t>
      </w:r>
      <w:r>
        <w:rPr/>
        <w:t xml:space="preserve"> lauter Fassungslosigkeit </w:t>
      </w:r>
      <w:r>
        <w:rPr>
          <w:color w:val="808080"/>
        </w:rPr>
        <w:t>(Entgeisterung, Verblüffung, Entsetzen)</w:t>
      </w:r>
      <w:r>
        <w:rPr/>
        <w:t xml:space="preserve"> </w:t>
      </w:r>
      <w:r>
        <w:rPr>
          <w:b/>
          <w:color w:val="808080"/>
        </w:rPr>
        <w:t>[</w:t>
      </w:r>
      <w:r>
        <w:rPr/>
        <w:t>ganz</w:t>
      </w:r>
      <w:r>
        <w:rPr>
          <w:b/>
          <w:color w:val="808080"/>
        </w:rPr>
        <w:t>]</w:t>
      </w:r>
      <w:r>
        <w:rPr/>
        <w:t xml:space="preserve"> fassungslos </w:t>
      </w:r>
      <w:r>
        <w:rPr>
          <w:color w:val="808080"/>
        </w:rPr>
        <w:t>(außer sich, entgeistert, erstaunt)</w:t>
      </w:r>
      <w:r>
        <w:rPr/>
        <w:t xml:space="preserve"> </w:t>
      </w:r>
      <w:r>
        <w:rPr>
          <w:rStyle w:val="Funotenanker"/>
        </w:rPr>
        <w:footnoteReference w:customMarkFollows="1" w:id="1501"/>
        <w:t>bn</w:t>
      </w:r>
      <w:r>
        <w:rPr/>
        <w:t xml:space="preserve">.{{field-off:bible}} </w:t>
        <w:br/>
        <w:t>[[@BibleTOBIBLE:Mk 5:43]]</w:t>
      </w:r>
      <w:r>
        <w:rPr>
          <w:b/>
        </w:rPr>
        <w:t>43</w:t>
      </w:r>
      <w:r>
        <w:rPr/>
        <w:t xml:space="preserve"> {{field-on:bible}}Und er machte ihnen unmissverständlich </w:t>
      </w:r>
      <w:r>
        <w:rPr>
          <w:color w:val="808080"/>
        </w:rPr>
        <w:t>(mehrmals, ausdrücklich)</w:t>
      </w:r>
      <w:r>
        <w:rPr/>
        <w:t xml:space="preserve"> </w:t>
      </w:r>
      <w:r>
        <w:rPr>
          <w:rStyle w:val="Funotenanker"/>
        </w:rPr>
        <w:footnoteReference w:customMarkFollows="1" w:id="1502"/>
        <w:t>bo</w:t>
      </w:r>
      <w:r>
        <w:rPr/>
        <w:t xml:space="preserve"> klar </w:t>
      </w:r>
      <w:r>
        <w:rPr>
          <w:color w:val="808080"/>
        </w:rPr>
        <w:t>(ordnete an, schärfte ein)</w:t>
      </w:r>
      <w:r>
        <w:rPr/>
        <w:t xml:space="preserve">, dass niemand davon erfahren </w:t>
      </w:r>
      <w:r>
        <w:rPr>
          <w:b/>
          <w:color w:val="808080"/>
        </w:rPr>
        <w:t>[</w:t>
      </w:r>
      <w:r>
        <w:rPr/>
        <w:t>dürfe</w:t>
      </w:r>
      <w:r>
        <w:rPr>
          <w:b/>
          <w:color w:val="808080"/>
        </w:rPr>
        <w:t>]</w:t>
      </w:r>
      <w:r>
        <w:rPr/>
        <w:t xml:space="preserve">, zudem </w:t>
      </w:r>
      <w:r>
        <w:rPr>
          <w:color w:val="808080"/>
        </w:rPr>
        <w:t>(und)</w:t>
      </w:r>
      <w:r>
        <w:rPr/>
        <w:t xml:space="preserve"> sagte er, </w:t>
      </w:r>
      <w:r>
        <w:rPr>
          <w:b/>
          <w:color w:val="808080"/>
        </w:rPr>
        <w:t>[</w:t>
      </w:r>
      <w:r>
        <w:rPr/>
        <w:t>man solle</w:t>
      </w:r>
      <w:r>
        <w:rPr>
          <w:b/>
          <w:color w:val="808080"/>
        </w:rPr>
        <w:t>]</w:t>
      </w:r>
      <w:r>
        <w:rPr/>
        <w:t xml:space="preserve"> </w:t>
      </w:r>
      <w:r>
        <w:rPr>
          <w:rStyle w:val="Funotenanker"/>
        </w:rPr>
        <w:footnoteReference w:customMarkFollows="1" w:id="1503"/>
        <w:t>bp</w:t>
      </w:r>
      <w:r>
        <w:rPr/>
        <w:t xml:space="preserve"> ihr </w:t>
      </w:r>
      <w:r>
        <w:rPr>
          <w:b/>
          <w:color w:val="808080"/>
        </w:rPr>
        <w:t>[</w:t>
      </w:r>
      <w:r>
        <w:rPr/>
        <w:t>etwas</w:t>
      </w:r>
      <w:r>
        <w:rPr>
          <w:b/>
          <w:color w:val="808080"/>
        </w:rPr>
        <w:t>]</w:t>
      </w:r>
      <w:r>
        <w:rPr/>
        <w:t xml:space="preserve"> zu Essen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1504"/>
        <w:t>Status</w:t>
      </w:r>
      <w:r>
        <w:rPr/>
        <w:t xml:space="preserve"> Und er ging von dort weg und begab sich </w:t>
      </w:r>
      <w:r>
        <w:rPr>
          <w:color w:val="808080"/>
        </w:rPr>
        <w:t>(kam)</w:t>
      </w:r>
      <w:r>
        <w:rPr/>
        <w:t xml:space="preserve"> in seine Heimat </w:t>
      </w:r>
      <w:r>
        <w:rPr>
          <w:color w:val="808080"/>
        </w:rPr>
        <w:t>(Heimatstadt)</w:t>
      </w:r>
      <w:r>
        <w:rPr/>
        <w:t xml:space="preserve"> </w:t>
      </w:r>
      <w:r>
        <w:rPr>
          <w:rStyle w:val="Funotenanker"/>
        </w:rPr>
        <w:footnoteReference w:customMarkFollows="1" w:id="1505"/>
        <w:t>a</w:t>
      </w:r>
      <w:r>
        <w:rPr/>
        <w:t xml:space="preserve"> , wobei </w:t>
      </w:r>
      <w:r>
        <w:rPr>
          <w:color w:val="808080"/>
        </w:rPr>
        <w:t>(und)</w:t>
      </w:r>
      <w:r>
        <w:rPr/>
        <w:t xml:space="preserve"> seine Jünger ihn begleiteten </w:t>
      </w:r>
      <w:r>
        <w:rPr>
          <w:color w:val="808080"/>
        </w:rPr>
        <w:t>(ihm folgten)</w:t>
      </w:r>
      <w:r>
        <w:rPr/>
        <w:t xml:space="preserve">.{{field-off:bible}} </w:t>
        <w:br/>
        <w:t>[[@BibleTOBIBLE:Mk 6:2]]</w:t>
      </w:r>
      <w:r>
        <w:rPr>
          <w:b/>
        </w:rPr>
        <w:t>2</w:t>
      </w:r>
      <w:r>
        <w:rPr/>
        <w:t xml:space="preserve"> {{field-on:bible}}Und als </w:t>
      </w:r>
      <w:r>
        <w:rPr>
          <w:b/>
          <w:color w:val="808080"/>
        </w:rPr>
        <w:t>[</w:t>
      </w:r>
      <w:r>
        <w:rPr/>
        <w:t>der</w:t>
      </w:r>
      <w:r>
        <w:rPr>
          <w:b/>
          <w:color w:val="808080"/>
        </w:rPr>
        <w:t>]</w:t>
      </w:r>
      <w:r>
        <w:rPr/>
        <w:t xml:space="preserve"> Sabbat gekommen </w:t>
      </w:r>
      <w:r>
        <w:rPr>
          <w:color w:val="808080"/>
        </w:rPr>
        <w:t>(geworden)</w:t>
      </w:r>
      <w:r>
        <w:rPr/>
        <w:t xml:space="preserve"> war, </w:t>
      </w:r>
      <w:r>
        <w:rPr>
          <w:rStyle w:val="Funotenanker"/>
        </w:rPr>
        <w:footnoteReference w:customMarkFollows="1" w:id="1506"/>
        <w:t>b</w:t>
      </w:r>
      <w:r>
        <w:rPr/>
        <w:t xml:space="preserve"> begann er, in der Synagoge zu lehren </w:t>
      </w:r>
      <w:r>
        <w:rPr>
          <w:color w:val="808080"/>
        </w:rPr>
        <w:t>(lehrte er)</w:t>
      </w:r>
      <w:r>
        <w:rPr/>
        <w:t xml:space="preserve"> </w:t>
      </w:r>
      <w:r>
        <w:rPr>
          <w:rStyle w:val="Funotenanker"/>
        </w:rPr>
        <w:footnoteReference w:customMarkFollows="1" w:id="1507"/>
        <w:t>c</w:t>
      </w:r>
      <w:r>
        <w:rPr/>
        <w:t xml:space="preserve">, und viele, die zuhörten, waren überwältigt </w:t>
      </w:r>
      <w:r>
        <w:rPr>
          <w:color w:val="808080"/>
        </w:rPr>
        <w:t>(überrascht, erstaunt, außer sich)</w:t>
      </w:r>
      <w:r>
        <w:rPr/>
        <w:t xml:space="preserve"> und sagten </w:t>
      </w:r>
      <w:r>
        <w:rPr>
          <w:rStyle w:val="Funotenanker"/>
        </w:rPr>
        <w:footnoteReference w:customMarkFollows="1" w:id="1508"/>
        <w:t>d</w:t>
      </w:r>
      <w:r>
        <w:rPr/>
        <w:t xml:space="preserve">: „Wo </w:t>
      </w:r>
      <w:r>
        <w:rPr>
          <w:b/>
          <w:color w:val="808080"/>
        </w:rPr>
        <w:t>[</w:t>
      </w:r>
      <w:r>
        <w:rPr/>
        <w:t>hat</w:t>
      </w:r>
      <w:r>
        <w:rPr>
          <w:b/>
          <w:color w:val="808080"/>
        </w:rPr>
        <w:t>]</w:t>
      </w:r>
      <w:r>
        <w:rPr/>
        <w:t xml:space="preserve"> er das her, und was </w:t>
      </w:r>
      <w:r>
        <w:rPr>
          <w:b/>
          <w:color w:val="808080"/>
        </w:rPr>
        <w:t>[</w:t>
      </w:r>
      <w:r>
        <w:rPr/>
        <w:t>ist</w:t>
      </w:r>
      <w:r>
        <w:rPr>
          <w:b/>
          <w:color w:val="808080"/>
        </w:rPr>
        <w:t>]</w:t>
      </w:r>
      <w:r>
        <w:rPr/>
        <w:t xml:space="preserve"> die Weisheit, die ihm gegeben wurde – und </w:t>
      </w:r>
      <w:r>
        <w:rPr>
          <w:color w:val="808080"/>
        </w:rPr>
        <w:t xml:space="preserve">(und </w:t>
      </w:r>
      <w:r>
        <w:rPr>
          <w:b/>
          <w:color w:val="808080"/>
        </w:rPr>
        <w:t>[</w:t>
      </w:r>
      <w:r>
        <w:rPr>
          <w:color w:val="808080"/>
        </w:rPr>
        <w:t>wie kommt es, dass</w:t>
      </w:r>
      <w:r>
        <w:rPr>
          <w:b/>
          <w:color w:val="808080"/>
        </w:rPr>
        <w:t>]</w:t>
      </w:r>
      <w:r>
        <w:rPr>
          <w:color w:val="808080"/>
        </w:rPr>
        <w:t>)</w:t>
      </w:r>
      <w:r>
        <w:rPr/>
        <w:t xml:space="preserve"> solche Wunder </w:t>
      </w:r>
      <w:r>
        <w:rPr>
          <w:color w:val="808080"/>
        </w:rPr>
        <w:t>(Wunderkräfte)</w:t>
      </w:r>
      <w:r>
        <w:rPr/>
        <w:t xml:space="preserve">, die durch seine Hände geschehen </w:t>
      </w:r>
      <w:r>
        <w:rPr>
          <w:rStyle w:val="Funotenanker"/>
        </w:rPr>
        <w:footnoteReference w:customMarkFollows="1" w:id="1509"/>
        <w:t>e</w:t>
      </w:r>
      <w:r>
        <w:rPr/>
        <w:t xml:space="preserve">!{{field-off:bible}} </w:t>
        <w:br/>
        <w:t>[[@BibleTOBIBLE:Mk 6:3]]</w:t>
      </w:r>
      <w:r>
        <w:rPr>
          <w:b/>
        </w:rPr>
        <w:t>3</w:t>
      </w:r>
      <w:r>
        <w:rPr/>
        <w:t xml:space="preserve"> {{field-on:bible}}Ist das nicht der Zimmermann </w:t>
      </w:r>
      <w:r>
        <w:rPr>
          <w:color w:val="808080"/>
        </w:rPr>
        <w:t>(Handwerker, Baumeister)</w:t>
      </w:r>
      <w:r>
        <w:rPr/>
        <w:t xml:space="preserve">, der Sohn von Maria und der Bruder von Jakobus und Joses, </w:t>
      </w:r>
      <w:r>
        <w:rPr>
          <w:strike/>
          <w:color w:val="808080"/>
        </w:rPr>
        <w:t>{und}</w:t>
      </w:r>
      <w:r>
        <w:rPr/>
        <w:t xml:space="preserve"> Judas und Simon? Und leben </w:t>
      </w:r>
      <w:r>
        <w:rPr>
          <w:color w:val="808080"/>
        </w:rPr>
        <w:t>(sind)</w:t>
      </w:r>
      <w:r>
        <w:rPr/>
        <w:t xml:space="preserve"> seine Schwestern nicht hier bei uns?“ Und sie lehnten ihn ab </w:t>
      </w:r>
      <w:r>
        <w:rPr>
          <w:color w:val="808080"/>
        </w:rPr>
        <w:t>(ärgerten sich über, nahmen Anstoß an)</w:t>
      </w:r>
      <w:r>
        <w:rPr/>
        <w:t xml:space="preserve">.{{field-off:bible}} </w:t>
        <w:br/>
        <w:t>[[@BibleTOBIBLE:Mk 6:4]]</w:t>
      </w:r>
      <w:r>
        <w:rPr>
          <w:b/>
        </w:rPr>
        <w:t>4</w:t>
      </w:r>
      <w:r>
        <w:rPr/>
        <w:t xml:space="preserve"> {{field-on:bible}}Und Jesus sagte zu ihnen: „Ein Prophet ist nirgends </w:t>
      </w:r>
      <w:r>
        <w:rPr>
          <w:color w:val="808080"/>
        </w:rPr>
        <w:t>(nicht)</w:t>
      </w:r>
      <w:r>
        <w:rPr/>
        <w:t xml:space="preserve"> ohne Ansehen </w:t>
      </w:r>
      <w:r>
        <w:rPr>
          <w:color w:val="808080"/>
        </w:rPr>
        <w:t>(Ehre)</w:t>
      </w:r>
      <w:r>
        <w:rPr/>
        <w:t xml:space="preserve">, außer in seiner Heimat </w:t>
      </w:r>
      <w:r>
        <w:rPr>
          <w:color w:val="808080"/>
        </w:rPr>
        <w:t>(Heimatstadt)</w:t>
      </w:r>
      <w:r>
        <w:rPr/>
        <w:t xml:space="preserve">, </w:t>
      </w:r>
      <w:r>
        <w:rPr>
          <w:strike/>
          <w:color w:val="808080"/>
        </w:rPr>
        <w:t>{und}</w:t>
      </w:r>
      <w:r>
        <w:rPr/>
        <w:t xml:space="preserve"> bei seinen Verwandten und in seiner Familie </w:t>
      </w:r>
      <w:r>
        <w:rPr>
          <w:color w:val="808080"/>
        </w:rPr>
        <w:t>(Haus, Haushalt)</w:t>
      </w:r>
      <w:r>
        <w:rPr/>
        <w:t xml:space="preserve">.“{{field-off:bible}} </w:t>
        <w:br/>
        <w:t>[[@BibleTOBIBLE:Mk 6:5]]</w:t>
      </w:r>
      <w:r>
        <w:rPr>
          <w:b/>
        </w:rPr>
        <w:t>5</w:t>
      </w:r>
      <w:r>
        <w:rPr/>
        <w:t xml:space="preserve"> {{field-on:bible}}So </w:t>
      </w:r>
      <w:r>
        <w:rPr>
          <w:color w:val="808080"/>
        </w:rPr>
        <w:t>(Und)</w:t>
      </w:r>
      <w:r>
        <w:rPr/>
        <w:t xml:space="preserve"> konnte er dort kein einziges Wunder </w:t>
      </w:r>
      <w:r>
        <w:rPr>
          <w:color w:val="808080"/>
        </w:rPr>
        <w:t>(Wunderkraft)</w:t>
      </w:r>
      <w:r>
        <w:rPr/>
        <w:t xml:space="preserve"> tun, außer dass </w:t>
      </w:r>
      <w:r>
        <w:rPr>
          <w:color w:val="808080"/>
        </w:rPr>
        <w:t>(nur)</w:t>
      </w:r>
      <w:r>
        <w:rPr/>
        <w:t xml:space="preserve"> er einigen Kranken die Hände auflegte und </w:t>
      </w:r>
      <w:r>
        <w:rPr>
          <w:rStyle w:val="Funotenanker"/>
        </w:rPr>
        <w:footnoteReference w:customMarkFollows="1" w:id="1510"/>
        <w:t>f</w:t>
      </w:r>
      <w:r>
        <w:rPr/>
        <w:t xml:space="preserve"> sie heilte,{{field-off:bible}} </w:t>
        <w:br/>
        <w:t>[[@BibleTOBIBLE:Mk 6:6]]</w:t>
      </w:r>
      <w:r>
        <w:rPr>
          <w:b/>
        </w:rPr>
        <w:t>6</w:t>
      </w:r>
      <w:r>
        <w:rPr/>
        <w:t xml:space="preserve"> {{field-on:bible}}und er wunderte sich über ihren Unglauben. Und </w:t>
      </w:r>
      <w:r>
        <w:rPr>
          <w:color w:val="808080"/>
        </w:rPr>
        <w:t>(Dann)</w:t>
      </w:r>
      <w:r>
        <w:rPr/>
        <w:t xml:space="preserve"> er zog durch die Dörfer ringsum und lehrte </w:t>
      </w:r>
      <w:r>
        <w:rPr>
          <w:rStyle w:val="Funotenanker"/>
        </w:rPr>
        <w:footnoteReference w:customMarkFollows="1" w:id="1511"/>
        <w:t>g</w:t>
      </w:r>
      <w:r>
        <w:rPr/>
        <w:t xml:space="preserve">.{{field-off:bible}} </w:t>
        <w:br/>
        <w:t>[[@BibleTOBIBLE:Mk 6:7]]</w:t>
      </w:r>
      <w:r>
        <w:rPr>
          <w:b/>
        </w:rPr>
        <w:t>7</w:t>
      </w:r>
      <w:r>
        <w:rPr/>
        <w:t xml:space="preserve"> {{field-on:bible}}Und er rief die Zwölf zu sich und sandte sie paarweise </w:t>
      </w:r>
      <w:r>
        <w:rPr>
          <w:rStyle w:val="Funotenanker"/>
        </w:rPr>
        <w:footnoteReference w:customMarkFollows="1" w:id="1512"/>
        <w:t>h</w:t>
      </w:r>
      <w:r>
        <w:rPr/>
        <w:t xml:space="preserve"> aus, </w:t>
      </w:r>
      <w:r>
        <w:rPr>
          <w:rStyle w:val="Funotenanker"/>
        </w:rPr>
        <w:footnoteReference w:customMarkFollows="1" w:id="1513"/>
        <w:t>i</w:t>
      </w:r>
      <w:r>
        <w:rPr/>
        <w:t xml:space="preserve"> und er gab ihnen Macht </w:t>
      </w:r>
      <w:r>
        <w:rPr>
          <w:color w:val="808080"/>
        </w:rPr>
        <w:t>(Vollmacht)</w:t>
      </w:r>
      <w:r>
        <w:rPr/>
        <w:t xml:space="preserve"> über die unreinen Geister,{{field-off:bible}} </w:t>
        <w:br/>
        <w:t>[[@BibleTOBIBLE:Mk 6:8]]</w:t>
      </w:r>
      <w:r>
        <w:rPr>
          <w:b/>
        </w:rPr>
        <w:t>8</w:t>
      </w:r>
      <w:r>
        <w:rPr/>
        <w:t xml:space="preserve"> {{field-on:bible}}und er gab ihnen die Anweisung </w:t>
      </w:r>
      <w:r>
        <w:rPr>
          <w:color w:val="808080"/>
        </w:rPr>
        <w:t>(bestimmte)</w:t>
      </w:r>
      <w:r>
        <w:rPr/>
        <w:t xml:space="preserve">, </w:t>
      </w:r>
      <w:r>
        <w:rPr>
          <w:strike/>
          <w:color w:val="808080"/>
        </w:rPr>
        <w:t>{dass}</w:t>
      </w:r>
      <w:r>
        <w:rPr/>
        <w:t xml:space="preserve"> nichts auf den Weg mitzunehmen als nur einen Wanderstab – kein Brot, keine Tasche, kein Geld </w:t>
      </w:r>
      <w:r>
        <w:rPr>
          <w:rStyle w:val="Funotenanker"/>
        </w:rPr>
        <w:footnoteReference w:customMarkFollows="1" w:id="1514"/>
        <w:t>j</w:t>
      </w:r>
      <w:r>
        <w:rPr/>
        <w:t xml:space="preserve"> im Gürtel,{{field-off:bible}} </w:t>
        <w:br/>
        <w:t>[[@BibleTOBIBLE:Mk 6:9]]</w:t>
      </w:r>
      <w:r>
        <w:rPr>
          <w:b/>
        </w:rPr>
        <w:t>9</w:t>
      </w:r>
      <w:r>
        <w:rPr/>
        <w:t xml:space="preserve"> {{field-on:bible}}dabei jedoch </w:t>
      </w:r>
      <w:r>
        <w:rPr>
          <w:color w:val="808080"/>
        </w:rPr>
        <w:t>(sondern)</w:t>
      </w:r>
      <w:r>
        <w:rPr/>
        <w:t xml:space="preserve"> Sandalen zu tragen </w:t>
      </w:r>
      <w:r>
        <w:rPr>
          <w:rStyle w:val="Funotenanker"/>
        </w:rPr>
        <w:footnoteReference w:customMarkFollows="1" w:id="1515"/>
        <w:t>k</w:t>
      </w:r>
      <w:r>
        <w:rPr/>
        <w:t xml:space="preserve">, „und zieht keine zwei Unterhemden an!“ </w:t>
      </w:r>
      <w:r>
        <w:rPr>
          <w:rStyle w:val="Funotenanker"/>
        </w:rPr>
        <w:footnoteReference w:customMarkFollows="1" w:id="1516"/>
        <w:t>l</w:t>
      </w:r>
      <w:r>
        <w:rPr/>
        <w:t xml:space="preserve"> {{field-off:bible}} </w:t>
        <w:br/>
        <w:t>[[@BibleTOBIBLE:Mk 6:10]]</w:t>
      </w:r>
      <w:r>
        <w:rPr>
          <w:b/>
        </w:rPr>
        <w:t>10</w:t>
      </w:r>
      <w:r>
        <w:rPr/>
        <w:t xml:space="preserve"> {{field-on:bible}}Und er sagte zu ihnen: „Wo ihr in ein Haus eintretet </w:t>
      </w:r>
      <w:r>
        <w:rPr>
          <w:color w:val="808080"/>
        </w:rPr>
        <w:t>(einkehrt, hineingeht)</w:t>
      </w:r>
      <w:r>
        <w:rPr/>
        <w:t xml:space="preserve">, </w:t>
      </w:r>
      <w:r>
        <w:rPr>
          <w:b/>
          <w:color w:val="808080"/>
        </w:rPr>
        <w:t>[</w:t>
      </w:r>
      <w:r>
        <w:rPr/>
        <w:t>da</w:t>
      </w:r>
      <w:r>
        <w:rPr>
          <w:b/>
          <w:color w:val="808080"/>
        </w:rPr>
        <w:t>]</w:t>
      </w:r>
      <w:r>
        <w:rPr/>
        <w:t xml:space="preserve"> bleibt dort, bis ihr </w:t>
      </w:r>
      <w:r>
        <w:rPr>
          <w:strike/>
          <w:color w:val="808080"/>
        </w:rPr>
        <w:t>{von dort}</w:t>
      </w:r>
      <w:r>
        <w:rPr/>
        <w:t xml:space="preserve"> </w:t>
      </w:r>
      <w:r>
        <w:rPr>
          <w:b/>
          <w:color w:val="808080"/>
        </w:rPr>
        <w:t>[</w:t>
      </w:r>
      <w:r>
        <w:rPr/>
        <w:t>wieder</w:t>
      </w:r>
      <w:r>
        <w:rPr>
          <w:b/>
          <w:color w:val="808080"/>
        </w:rPr>
        <w:t>]</w:t>
      </w:r>
      <w:r>
        <w:rPr/>
        <w:t xml:space="preserve"> aufbrecht </w:t>
      </w:r>
      <w:r>
        <w:rPr>
          <w:color w:val="808080"/>
        </w:rPr>
        <w:t>(weggeht)</w:t>
      </w:r>
      <w:r>
        <w:rPr/>
        <w:t xml:space="preserve">.{{field-off:bible}} </w:t>
        <w:br/>
        <w:t>[[@BibleTOBIBLE:Mk 6:11]]</w:t>
      </w:r>
      <w:r>
        <w:rPr>
          <w:b/>
        </w:rPr>
        <w:t>11</w:t>
      </w:r>
      <w:r>
        <w:rPr/>
        <w:t xml:space="preserve"> {{field-on:bible}}Und nimmt man euch an einem Ort nicht auf und hört euch auch nicht zu, </w:t>
      </w:r>
      <w:r>
        <w:rPr>
          <w:rStyle w:val="Funotenanker"/>
        </w:rPr>
        <w:footnoteReference w:customMarkFollows="1" w:id="1517"/>
        <w:t>m</w:t>
      </w:r>
      <w:r>
        <w:rPr/>
        <w:t xml:space="preserve"> dann schüttelt beim Aufbruch </w:t>
      </w:r>
      <w:r>
        <w:rPr>
          <w:color w:val="808080"/>
        </w:rPr>
        <w:t>(geht von dort weg und)</w:t>
      </w:r>
      <w:r>
        <w:rPr/>
        <w:t xml:space="preserve"> </w:t>
      </w:r>
      <w:r>
        <w:rPr>
          <w:rStyle w:val="Funotenanker"/>
        </w:rPr>
        <w:footnoteReference w:customMarkFollows="1" w:id="1518"/>
        <w:t>n</w:t>
      </w:r>
      <w:r>
        <w:rPr/>
        <w:t xml:space="preserve"> den Staub von euren Schuhsohlen </w:t>
      </w:r>
      <w:r>
        <w:rPr>
          <w:rStyle w:val="Funotenanker"/>
        </w:rPr>
        <w:footnoteReference w:customMarkFollows="1" w:id="1519"/>
        <w:t>o</w:t>
      </w:r>
      <w:r>
        <w:rPr/>
        <w:t xml:space="preserve"> ab, als Zeugenaussage </w:t>
      </w:r>
      <w:r>
        <w:rPr>
          <w:color w:val="808080"/>
        </w:rPr>
        <w:t>(Beweis, Zeichen, Zeugnis)</w:t>
      </w:r>
      <w:r>
        <w:rPr/>
        <w:t xml:space="preserve"> </w:t>
      </w:r>
      <w:r>
        <w:rPr>
          <w:b/>
          <w:color w:val="808080"/>
        </w:rPr>
        <w:t>[</w:t>
      </w:r>
      <w:r>
        <w:rPr/>
        <w:t xml:space="preserve">gegen </w:t>
      </w:r>
      <w:r>
        <w:rPr>
          <w:color w:val="808080"/>
        </w:rPr>
        <w:t>(für)</w:t>
      </w:r>
      <w:r>
        <w:rPr>
          <w:b/>
          <w:color w:val="808080"/>
        </w:rPr>
        <w:t>]</w:t>
      </w:r>
      <w:r>
        <w:rPr/>
        <w:t xml:space="preserve"> sie!“ </w:t>
      </w:r>
      <w:r>
        <w:rPr>
          <w:rStyle w:val="Funotenanker"/>
        </w:rPr>
        <w:footnoteReference w:customMarkFollows="1" w:id="1520"/>
        <w:t>p</w:t>
      </w:r>
      <w:r>
        <w:rPr/>
        <w:t xml:space="preserve"> {{field-off:bible}} </w:t>
        <w:br/>
        <w:t>[[@BibleTOBIBLE:Mk 6:12]]</w:t>
      </w:r>
      <w:r>
        <w:rPr>
          <w:b/>
        </w:rPr>
        <w:t>12</w:t>
      </w:r>
      <w:r>
        <w:rPr/>
        <w:t xml:space="preserve"> {{field-on:bible}}Und sie machten sich auf den Weg </w:t>
      </w:r>
      <w:r>
        <w:rPr>
          <w:color w:val="808080"/>
        </w:rPr>
        <w:t>(gingen los)</w:t>
      </w:r>
      <w:r>
        <w:rPr/>
        <w:t xml:space="preserve"> </w:t>
      </w:r>
      <w:r>
        <w:rPr>
          <w:rStyle w:val="Funotenanker"/>
        </w:rPr>
        <w:footnoteReference w:customMarkFollows="1" w:id="1521"/>
        <w:t>q</w:t>
      </w:r>
      <w:r>
        <w:rPr/>
        <w:t xml:space="preserve"> und predigten </w:t>
      </w:r>
      <w:r>
        <w:rPr>
          <w:color w:val="808080"/>
        </w:rPr>
        <w:t>(verkündigten)</w:t>
      </w:r>
      <w:r>
        <w:rPr/>
        <w:t xml:space="preserve">, </w:t>
      </w:r>
      <w:r>
        <w:rPr>
          <w:strike/>
          <w:color w:val="808080"/>
        </w:rPr>
        <w:t>{dass}</w:t>
      </w:r>
      <w:r>
        <w:rPr/>
        <w:t xml:space="preserve"> </w:t>
      </w:r>
      <w:r>
        <w:rPr>
          <w:b/>
          <w:color w:val="808080"/>
        </w:rPr>
        <w:t>[</w:t>
      </w:r>
      <w:r>
        <w:rPr/>
        <w:t>die Menschen sollten</w:t>
      </w:r>
      <w:r>
        <w:rPr>
          <w:b/>
          <w:color w:val="808080"/>
        </w:rPr>
        <w:t>]</w:t>
      </w:r>
      <w:r>
        <w:rPr/>
        <w:t xml:space="preserve"> umkehren </w:t>
      </w:r>
      <w:r>
        <w:rPr>
          <w:color w:val="808080"/>
        </w:rPr>
        <w:t>(Buße tun)</w:t>
      </w:r>
      <w:r>
        <w:rPr/>
        <w:t xml:space="preserve">.{{field-off:bible}} </w:t>
        <w:br/>
        <w:t>[[@BibleTOBIBLE:Mk 6:13]]</w:t>
      </w:r>
      <w:r>
        <w:rPr>
          <w:b/>
        </w:rPr>
        <w:t>13</w:t>
      </w:r>
      <w:r>
        <w:rPr/>
        <w:t xml:space="preserve"> {{field-on:bible}}Zudem </w:t>
      </w:r>
      <w:r>
        <w:rPr>
          <w:color w:val="808080"/>
        </w:rPr>
        <w:t>(Und)</w:t>
      </w:r>
      <w:r>
        <w:rPr/>
        <w:t xml:space="preserve"> trieben sie viele Dämonen aus, und sie salbten viele Kranke </w:t>
      </w:r>
      <w:r>
        <w:rPr>
          <w:b/>
          <w:color w:val="808080"/>
        </w:rPr>
        <w:t>[</w:t>
      </w:r>
      <w:r>
        <w:rPr/>
        <w:t>mit</w:t>
      </w:r>
      <w:r>
        <w:rPr>
          <w:b/>
          <w:color w:val="808080"/>
        </w:rPr>
        <w:t>]</w:t>
      </w:r>
      <w:r>
        <w:rPr/>
        <w:t xml:space="preserve"> Öl und heilten sie.{{field-off:bible}} </w:t>
        <w:br/>
        <w:t>[[@BibleTOBIBLE:Mk 6:14]]</w:t>
      </w:r>
      <w:r>
        <w:rPr>
          <w:b/>
        </w:rPr>
        <w:t>14</w:t>
      </w:r>
      <w:r>
        <w:rPr/>
        <w:t xml:space="preserve"> {{field-on:bible}}Und König Herodes hörte </w:t>
      </w:r>
      <w:r>
        <w:rPr>
          <w:b/>
          <w:color w:val="808080"/>
        </w:rPr>
        <w:t>[</w:t>
      </w:r>
      <w:r>
        <w:rPr/>
        <w:t>von Jesus</w:t>
      </w:r>
      <w:r>
        <w:rPr>
          <w:b/>
          <w:color w:val="808080"/>
        </w:rPr>
        <w:t>]</w:t>
      </w:r>
      <w:r>
        <w:rPr/>
        <w:t xml:space="preserve"> </w:t>
      </w:r>
      <w:r>
        <w:rPr>
          <w:rStyle w:val="Funotenanker"/>
        </w:rPr>
        <w:footnoteReference w:customMarkFollows="1" w:id="1522"/>
        <w:t>r</w:t>
      </w:r>
      <w:r>
        <w:rPr/>
        <w:t xml:space="preserve">, denn sein Name </w:t>
      </w:r>
      <w:r>
        <w:rPr>
          <w:color w:val="808080"/>
        </w:rPr>
        <w:t>(Ruf, Ansehen)</w:t>
      </w:r>
      <w:r>
        <w:rPr/>
        <w:t xml:space="preserve"> war bekannt geworden, und </w:t>
      </w:r>
      <w:r>
        <w:rPr>
          <w:b/>
          <w:color w:val="808080"/>
        </w:rPr>
        <w:t>[</w:t>
      </w:r>
      <w:r>
        <w:rPr/>
        <w:t>die Leute</w:t>
      </w:r>
      <w:r>
        <w:rPr>
          <w:b/>
          <w:color w:val="808080"/>
        </w:rPr>
        <w:t>]</w:t>
      </w:r>
      <w:r>
        <w:rPr/>
        <w:t xml:space="preserve"> meinten </w:t>
      </w:r>
      <w:r>
        <w:rPr>
          <w:color w:val="808080"/>
        </w:rPr>
        <w:t>(sagten)</w:t>
      </w:r>
      <w:r>
        <w:rPr/>
        <w:t xml:space="preserve">: </w:t>
      </w:r>
      <w:r>
        <w:rPr>
          <w:rStyle w:val="Funotenanker"/>
        </w:rPr>
        <w:footnoteReference w:customMarkFollows="1" w:id="1523"/>
        <w:t>s</w:t>
      </w:r>
      <w:r>
        <w:rPr/>
        <w:t xml:space="preserve"> „Johannes der Täufer ist von </w:t>
      </w:r>
      <w:r>
        <w:rPr>
          <w:b/>
          <w:color w:val="808080"/>
        </w:rPr>
        <w:t>[</w:t>
      </w:r>
      <w:r>
        <w:rPr/>
        <w:t>den</w:t>
      </w:r>
      <w:r>
        <w:rPr>
          <w:b/>
          <w:color w:val="808080"/>
        </w:rPr>
        <w:t>]</w:t>
      </w:r>
      <w:r>
        <w:rPr/>
        <w:t xml:space="preserve"> Toten auferweckt worden. Das erklärt, warum </w:t>
      </w:r>
      <w:r>
        <w:rPr>
          <w:rStyle w:val="Funotenanker"/>
        </w:rPr>
        <w:footnoteReference w:customMarkFollows="1" w:id="1524"/>
        <w:t>t</w:t>
      </w:r>
      <w:r>
        <w:rPr/>
        <w:t xml:space="preserve"> die Wunderkräfte durch ihn </w:t>
      </w:r>
      <w:r>
        <w:rPr>
          <w:color w:val="808080"/>
        </w:rPr>
        <w:t>(in ihm)</w:t>
      </w:r>
      <w:r>
        <w:rPr/>
        <w:t xml:space="preserve"> wirken!“{{field-off:bible}} </w:t>
        <w:br/>
        <w:t>[[@BibleTOBIBLE:Mk 6:15]]</w:t>
      </w:r>
      <w:r>
        <w:rPr>
          <w:b/>
        </w:rPr>
        <w:t>15</w:t>
      </w:r>
      <w:r>
        <w:rPr/>
        <w:t xml:space="preserve"> {{field-on:bible}}Andere sagten dagegen </w:t>
      </w:r>
      <w:r>
        <w:rPr>
          <w:color w:val="808080"/>
        </w:rPr>
        <w:t>(und)</w:t>
      </w:r>
      <w:r>
        <w:rPr/>
        <w:t xml:space="preserve">: „Er ist Elija“ </w:t>
      </w:r>
      <w:r>
        <w:rPr>
          <w:rStyle w:val="Funotenanker"/>
        </w:rPr>
        <w:footnoteReference w:customMarkFollows="1" w:id="1525"/>
        <w:t>u</w:t>
      </w:r>
      <w:r>
        <w:rPr/>
        <w:t xml:space="preserve">, und wieder andere meinten </w:t>
      </w:r>
      <w:r>
        <w:rPr>
          <w:color w:val="808080"/>
        </w:rPr>
        <w:t>(sagten)</w:t>
      </w:r>
      <w:r>
        <w:rPr/>
        <w:t xml:space="preserve">: „Ein Prophet wie einer der </w:t>
      </w:r>
      <w:r>
        <w:rPr>
          <w:b/>
          <w:color w:val="808080"/>
        </w:rPr>
        <w:t>[</w:t>
      </w:r>
      <w:r>
        <w:rPr/>
        <w:t>alten</w:t>
      </w:r>
      <w:r>
        <w:rPr>
          <w:b/>
          <w:color w:val="808080"/>
        </w:rPr>
        <w:t>]</w:t>
      </w:r>
      <w:r>
        <w:rPr/>
        <w:t xml:space="preserve"> Propheten.“{{field-off:bible}} </w:t>
        <w:br/>
        <w:t>[[@BibleTOBIBLE:Mk 6:16]]</w:t>
      </w:r>
      <w:r>
        <w:rPr>
          <w:b/>
        </w:rPr>
        <w:t>16</w:t>
      </w:r>
      <w:r>
        <w:rPr/>
        <w:t xml:space="preserve"> {{field-on:bible}}Als Herodes </w:t>
      </w:r>
      <w:r>
        <w:rPr>
          <w:b/>
          <w:color w:val="808080"/>
        </w:rPr>
        <w:t>[</w:t>
      </w:r>
      <w:r>
        <w:rPr/>
        <w:t>das</w:t>
      </w:r>
      <w:r>
        <w:rPr>
          <w:b/>
          <w:color w:val="808080"/>
        </w:rPr>
        <w:t>]</w:t>
      </w:r>
      <w:r>
        <w:rPr/>
        <w:t xml:space="preserve"> hörte, </w:t>
      </w:r>
      <w:r>
        <w:rPr>
          <w:rStyle w:val="Funotenanker"/>
        </w:rPr>
        <w:footnoteReference w:customMarkFollows="1" w:id="1526"/>
        <w:t>v</w:t>
      </w:r>
      <w:r>
        <w:rPr/>
        <w:t xml:space="preserve"> glaubte </w:t>
      </w:r>
      <w:r>
        <w:rPr>
          <w:color w:val="808080"/>
        </w:rPr>
        <w:t>(sagte, rief)</w:t>
      </w:r>
      <w:r>
        <w:rPr/>
        <w:t xml:space="preserve"> er </w:t>
      </w:r>
      <w:r>
        <w:rPr>
          <w:rStyle w:val="Funotenanker"/>
        </w:rPr>
        <w:footnoteReference w:customMarkFollows="1" w:id="1527"/>
        <w:t>w</w:t>
      </w:r>
      <w:r>
        <w:rPr/>
        <w:t xml:space="preserve">: „Der, den ich enthauptet habe, Johannes, ist auferweckt worden!“{{field-off:bible}} </w:t>
        <w:br/>
        <w:t>[[@BibleTOBIBLE:Mk 6:17]]</w:t>
      </w:r>
      <w:r>
        <w:rPr>
          <w:b/>
        </w:rPr>
        <w:t>17</w:t>
      </w:r>
      <w:r>
        <w:rPr/>
        <w:t xml:space="preserve"> {{field-on:bible}}Herodes selbst hatte Johannes nämlich gefangen nehmen und ihn im Gefängnis festgehalten </w:t>
      </w:r>
      <w:r>
        <w:rPr>
          <w:color w:val="808080"/>
        </w:rPr>
        <w:t xml:space="preserve">(gefesselt ins Gefängnis </w:t>
      </w:r>
      <w:r>
        <w:rPr>
          <w:b/>
          <w:color w:val="808080"/>
        </w:rPr>
        <w:t>[</w:t>
      </w:r>
      <w:r>
        <w:rPr>
          <w:color w:val="808080"/>
        </w:rPr>
        <w:t>werfen</w:t>
      </w:r>
      <w:r>
        <w:rPr>
          <w:b/>
          <w:color w:val="808080"/>
        </w:rPr>
        <w:t>]</w:t>
      </w:r>
      <w:r>
        <w:rPr>
          <w:color w:val="808080"/>
        </w:rPr>
        <w:t>)</w:t>
      </w:r>
      <w:r>
        <w:rPr/>
        <w:t xml:space="preserve"> </w:t>
      </w:r>
      <w:r>
        <w:rPr>
          <w:rStyle w:val="Funotenanker"/>
        </w:rPr>
        <w:footnoteReference w:customMarkFollows="1" w:id="1528"/>
        <w:t>x</w:t>
      </w:r>
      <w:r>
        <w:rPr/>
        <w:t xml:space="preserve"> lassen </w:t>
      </w:r>
      <w:r>
        <w:rPr>
          <w:rStyle w:val="Funotenanker"/>
        </w:rPr>
        <w:footnoteReference w:customMarkFollows="1" w:id="1529"/>
        <w:t>y</w:t>
      </w:r>
      <w:r>
        <w:rPr/>
        <w:t xml:space="preserve">. </w:t>
      </w:r>
      <w:r>
        <w:rPr>
          <w:b/>
          <w:color w:val="808080"/>
        </w:rPr>
        <w:t>[</w:t>
      </w:r>
      <w:r>
        <w:rPr/>
        <w:t>Das tat er</w:t>
      </w:r>
      <w:r>
        <w:rPr>
          <w:b/>
          <w:color w:val="808080"/>
        </w:rPr>
        <w:t>]</w:t>
      </w:r>
      <w:r>
        <w:rPr/>
        <w:t xml:space="preserve"> </w:t>
      </w:r>
      <w:r>
        <w:rPr>
          <w:rStyle w:val="Funotenanker"/>
        </w:rPr>
        <w:footnoteReference w:customMarkFollows="1" w:id="1530"/>
        <w:t>z</w:t>
      </w:r>
      <w:r>
        <w:rPr/>
        <w:t xml:space="preserve"> wegen Herodias, der Frau seines Bruders Philippus, weil er sie geheiratet hatte.</w:t>
      </w:r>
      <w:r>
        <w:rPr>
          <w:position w:val="8"/>
          <w:sz w:val="19"/>
        </w:rPr>
        <w:t>[[ ℘ &gt;&gt; BibleTOBIBLE:Mk 10:11]]</w:t>
      </w:r>
      <w:r>
        <w:rPr/>
        <w:t xml:space="preserve"> {{field-off:bible}} </w:t>
        <w:br/>
        <w:t>[[@BibleTOBIBLE:Mk 6:18]]</w:t>
      </w:r>
      <w:r>
        <w:rPr>
          <w:b/>
        </w:rPr>
        <w:t>18</w:t>
      </w:r>
      <w:r>
        <w:rPr/>
        <w:t xml:space="preserve"> {{field-on:bible}}Johannes hatte nämlich </w:t>
      </w:r>
      <w:r>
        <w:rPr>
          <w:b/>
          <w:color w:val="808080"/>
        </w:rPr>
        <w:t>[</w:t>
      </w:r>
      <w:r>
        <w:rPr/>
        <w:t>wiederholt</w:t>
      </w:r>
      <w:r>
        <w:rPr>
          <w:b/>
          <w:color w:val="808080"/>
        </w:rPr>
        <w:t>]</w:t>
      </w:r>
      <w:r>
        <w:rPr/>
        <w:t xml:space="preserve"> zu Herodes gesagt </w:t>
      </w:r>
      <w:r>
        <w:rPr>
          <w:rStyle w:val="Funotenanker"/>
        </w:rPr>
        <w:footnoteReference w:customMarkFollows="1" w:id="1531"/>
        <w:t>aa</w:t>
      </w:r>
      <w:r>
        <w:rPr/>
        <w:t>: „Es ist dir nicht erlaubt, die Frau deines Bruders zu haben!“</w:t>
      </w:r>
      <w:r>
        <w:rPr>
          <w:position w:val="8"/>
          <w:sz w:val="19"/>
        </w:rPr>
        <w:t>[[ ℘ &gt;&gt; BibleTOBIBLE:Le 18:16]][[ ℘ &gt;&gt; BibleTOBIBLE:Le 20:21]]</w:t>
      </w:r>
      <w:r>
        <w:rPr/>
        <w:t xml:space="preserve"> {{field-off:bible}} </w:t>
        <w:br/>
        <w:t>[[@BibleTOBIBLE:Mk 6:19]]</w:t>
      </w:r>
      <w:r>
        <w:rPr>
          <w:b/>
        </w:rPr>
        <w:t>19</w:t>
      </w:r>
      <w:r>
        <w:rPr/>
        <w:t xml:space="preserve"> {{field-on:bible}}Aber Herodias nahm ihm </w:t>
      </w:r>
      <w:r>
        <w:rPr>
          <w:b/>
          <w:color w:val="808080"/>
        </w:rPr>
        <w:t>[</w:t>
      </w:r>
      <w:r>
        <w:rPr/>
        <w:t>das</w:t>
      </w:r>
      <w:r>
        <w:rPr>
          <w:b/>
          <w:color w:val="808080"/>
        </w:rPr>
        <w:t>]</w:t>
      </w:r>
      <w:r>
        <w:rPr/>
        <w:t xml:space="preserve"> übel und plante </w:t>
      </w:r>
      <w:r>
        <w:rPr>
          <w:color w:val="808080"/>
        </w:rPr>
        <w:t>(wollte)</w:t>
      </w:r>
      <w:r>
        <w:rPr/>
        <w:t xml:space="preserve"> </w:t>
      </w:r>
      <w:r>
        <w:rPr>
          <w:rStyle w:val="Funotenanker"/>
        </w:rPr>
        <w:footnoteReference w:customMarkFollows="1" w:id="1532"/>
        <w:t>ab</w:t>
      </w:r>
      <w:r>
        <w:rPr/>
        <w:t xml:space="preserve">, ihn zu töten, hatte aber </w:t>
      </w:r>
      <w:r>
        <w:rPr>
          <w:color w:val="808080"/>
        </w:rPr>
        <w:t>(und)</w:t>
      </w:r>
      <w:r>
        <w:rPr/>
        <w:t xml:space="preserve"> lange keine Gelegenheit dazu </w:t>
      </w:r>
      <w:r>
        <w:rPr>
          <w:color w:val="808080"/>
        </w:rPr>
        <w:t>(es gelang ihr nicht)</w:t>
      </w:r>
      <w:r>
        <w:rPr/>
        <w:t xml:space="preserve"> </w:t>
      </w:r>
      <w:r>
        <w:rPr>
          <w:rStyle w:val="Funotenanker"/>
        </w:rPr>
        <w:footnoteReference w:customMarkFollows="1" w:id="1533"/>
        <w:t>ac</w:t>
      </w:r>
      <w:r>
        <w:rPr/>
        <w:t xml:space="preserve">.{{field-off:bible}} </w:t>
        <w:br/>
        <w:t>[[@BibleTOBIBLE:Mk 6:20]]</w:t>
      </w:r>
      <w:r>
        <w:rPr>
          <w:b/>
        </w:rPr>
        <w:t>20</w:t>
      </w:r>
      <w:r>
        <w:rPr/>
        <w:t xml:space="preserve"> {{field-on:bible}}Denn Herodes respektierte </w:t>
      </w:r>
      <w:r>
        <w:rPr>
          <w:color w:val="808080"/>
        </w:rPr>
        <w:t>(fürchtete)</w:t>
      </w:r>
      <w:r>
        <w:rPr/>
        <w:t xml:space="preserve"> Johannes, weil er wusste, </w:t>
      </w:r>
      <w:r>
        <w:rPr>
          <w:rStyle w:val="Funotenanker"/>
        </w:rPr>
        <w:footnoteReference w:customMarkFollows="1" w:id="1534"/>
        <w:t>ad</w:t>
      </w:r>
      <w:r>
        <w:rPr/>
        <w:t xml:space="preserve"> </w:t>
      </w:r>
      <w:r>
        <w:rPr>
          <w:b/>
          <w:color w:val="808080"/>
        </w:rPr>
        <w:t>[</w:t>
      </w:r>
      <w:r>
        <w:rPr/>
        <w:t>dass</w:t>
      </w:r>
      <w:r>
        <w:rPr>
          <w:b/>
          <w:color w:val="808080"/>
        </w:rPr>
        <w:t>]</w:t>
      </w:r>
      <w:r>
        <w:rPr/>
        <w:t xml:space="preserve"> er ein gerechter und heiliger Mann </w:t>
      </w:r>
      <w:r>
        <w:rPr>
          <w:b/>
          <w:color w:val="808080"/>
        </w:rPr>
        <w:t>[</w:t>
      </w:r>
      <w:r>
        <w:rPr/>
        <w:t>war</w:t>
      </w:r>
      <w:r>
        <w:rPr>
          <w:b/>
          <w:color w:val="808080"/>
        </w:rPr>
        <w:t>]</w:t>
      </w:r>
      <w:r>
        <w:rPr/>
        <w:t xml:space="preserve">, und er beschützte ihn </w:t>
      </w:r>
      <w:r>
        <w:rPr>
          <w:color w:val="808080"/>
        </w:rPr>
        <w:t>(hielt ihn in Haft)</w:t>
      </w:r>
      <w:r>
        <w:rPr/>
        <w:t xml:space="preserve"> </w:t>
      </w:r>
      <w:r>
        <w:rPr>
          <w:rStyle w:val="Funotenanker"/>
        </w:rPr>
        <w:footnoteReference w:customMarkFollows="1" w:id="1535"/>
        <w:t>ae</w:t>
      </w:r>
      <w:r>
        <w:rPr/>
        <w:t xml:space="preserve">, und wenn er ihm zuhörte </w:t>
      </w:r>
      <w:r>
        <w:rPr>
          <w:color w:val="808080"/>
        </w:rPr>
        <w:t>(zugehört hatte)</w:t>
      </w:r>
      <w:r>
        <w:rPr/>
        <w:t xml:space="preserve">, </w:t>
      </w:r>
      <w:r>
        <w:rPr>
          <w:rStyle w:val="Funotenanker"/>
        </w:rPr>
        <w:footnoteReference w:customMarkFollows="1" w:id="1536"/>
        <w:t>af</w:t>
      </w:r>
      <w:r>
        <w:rPr/>
        <w:t xml:space="preserve"> war er immer wieder </w:t>
      </w:r>
      <w:r>
        <w:rPr>
          <w:color w:val="808080"/>
        </w:rPr>
        <w:t>(jedes Mal)</w:t>
      </w:r>
      <w:r>
        <w:rPr/>
        <w:t xml:space="preserve"> stark verunsichert </w:t>
      </w:r>
      <w:r>
        <w:rPr>
          <w:color w:val="808080"/>
        </w:rPr>
        <w:t>(ratlos, verwirrt, verlegen)</w:t>
      </w:r>
      <w:r>
        <w:rPr/>
        <w:t xml:space="preserve">, </w:t>
      </w:r>
      <w:r>
        <w:rPr>
          <w:rStyle w:val="Funotenanker"/>
        </w:rPr>
        <w:footnoteReference w:customMarkFollows="1" w:id="1537"/>
        <w:t>ag</w:t>
      </w:r>
      <w:r>
        <w:rPr/>
        <w:t xml:space="preserve"> aber </w:t>
      </w:r>
      <w:r>
        <w:rPr>
          <w:color w:val="808080"/>
        </w:rPr>
        <w:t>(und)</w:t>
      </w:r>
      <w:r>
        <w:rPr/>
        <w:t xml:space="preserve"> er hörte ihm gerne zu.{{field-off:bible}} </w:t>
        <w:br/>
        <w:t>[[@BibleTOBIBLE:Mk 6:21]]</w:t>
      </w:r>
      <w:r>
        <w:rPr>
          <w:b/>
        </w:rPr>
        <w:t>21</w:t>
      </w:r>
      <w:r>
        <w:rPr/>
        <w:t xml:space="preserve"> {{field-on:bible}}Und als ein günstiger Tag kam, </w:t>
      </w:r>
      <w:r>
        <w:rPr>
          <w:rStyle w:val="Funotenanker"/>
        </w:rPr>
        <w:footnoteReference w:customMarkFollows="1" w:id="1538"/>
        <w:t>ah</w:t>
      </w:r>
      <w:r>
        <w:rPr/>
        <w:t xml:space="preserve"> als Herodes </w:t>
      </w:r>
      <w:r>
        <w:rPr>
          <w:b/>
          <w:color w:val="808080"/>
        </w:rPr>
        <w:t>[</w:t>
      </w:r>
      <w:r>
        <w:rPr/>
        <w:t>anlässlich</w:t>
      </w:r>
      <w:r>
        <w:rPr>
          <w:b/>
          <w:color w:val="808080"/>
        </w:rPr>
        <w:t>]</w:t>
      </w:r>
      <w:r>
        <w:rPr/>
        <w:t xml:space="preserve"> seines Geburtstages </w:t>
      </w:r>
      <w:r>
        <w:rPr>
          <w:rStyle w:val="Funotenanker"/>
        </w:rPr>
        <w:footnoteReference w:customMarkFollows="1" w:id="1539"/>
        <w:t>ai</w:t>
      </w:r>
      <w:r>
        <w:rPr/>
        <w:t xml:space="preserve"> für seine Würdenträger </w:t>
      </w:r>
      <w:r>
        <w:rPr>
          <w:color w:val="808080"/>
        </w:rPr>
        <w:t>(Hofbeamten)</w:t>
      </w:r>
      <w:r>
        <w:rPr/>
        <w:t xml:space="preserve">, </w:t>
      </w:r>
      <w:r>
        <w:rPr>
          <w:strike/>
          <w:color w:val="808080"/>
        </w:rPr>
        <w:t>{und}</w:t>
      </w:r>
      <w:r>
        <w:rPr/>
        <w:t xml:space="preserve"> die Offiziere </w:t>
      </w:r>
      <w:r>
        <w:rPr>
          <w:color w:val="808080"/>
        </w:rPr>
        <w:t>(Hauptleute)</w:t>
      </w:r>
      <w:r>
        <w:rPr/>
        <w:t xml:space="preserve"> und Galiläas angesehenste Bürger </w:t>
      </w:r>
      <w:r>
        <w:rPr>
          <w:rStyle w:val="Funotenanker"/>
        </w:rPr>
        <w:footnoteReference w:customMarkFollows="1" w:id="1540"/>
        <w:t>aj</w:t>
      </w:r>
      <w:r>
        <w:rPr/>
        <w:t xml:space="preserve"> ein Festmahl veranstaltete,{{field-off:bible}} </w:t>
        <w:br/>
        <w:t>[[@BibleTOBIBLE:Mk 6:22]]</w:t>
      </w:r>
      <w:r>
        <w:rPr>
          <w:b/>
        </w:rPr>
        <w:t>22</w:t>
      </w:r>
      <w:r>
        <w:rPr/>
        <w:t xml:space="preserve"> {{field-on:bible}}und als die Tochter eben jener Herodias </w:t>
      </w:r>
      <w:r>
        <w:rPr>
          <w:color w:val="808080"/>
        </w:rPr>
        <w:t>(seine Tochter Herodias)</w:t>
      </w:r>
      <w:r>
        <w:rPr/>
        <w:t xml:space="preserve"> </w:t>
      </w:r>
      <w:r>
        <w:rPr>
          <w:rStyle w:val="Funotenanker"/>
        </w:rPr>
        <w:footnoteReference w:customMarkFollows="1" w:id="1541"/>
        <w:t>ak</w:t>
      </w:r>
      <w:r>
        <w:rPr/>
        <w:t xml:space="preserve"> hereinkam und tanzte, </w:t>
      </w:r>
      <w:r>
        <w:rPr>
          <w:rStyle w:val="Funotenanker"/>
        </w:rPr>
        <w:footnoteReference w:customMarkFollows="1" w:id="1542"/>
        <w:t>al</w:t>
      </w:r>
      <w:r>
        <w:rPr/>
        <w:t xml:space="preserve"> gefiel </w:t>
      </w:r>
      <w:r>
        <w:rPr>
          <w:b/>
          <w:color w:val="808080"/>
        </w:rPr>
        <w:t>[</w:t>
      </w:r>
      <w:r>
        <w:rPr/>
        <w:t>sie</w:t>
      </w:r>
      <w:r>
        <w:rPr>
          <w:b/>
          <w:color w:val="808080"/>
        </w:rPr>
        <w:t>]</w:t>
      </w:r>
      <w:r>
        <w:rPr/>
        <w:t xml:space="preserve"> Herodes und seinen Tischgästen </w:t>
      </w:r>
      <w:r>
        <w:rPr>
          <w:color w:val="808080"/>
        </w:rPr>
        <w:t xml:space="preserve">(denen, die mit </w:t>
      </w:r>
      <w:r>
        <w:rPr>
          <w:b/>
          <w:color w:val="808080"/>
        </w:rPr>
        <w:t>[</w:t>
      </w:r>
      <w:r>
        <w:rPr>
          <w:color w:val="808080"/>
        </w:rPr>
        <w:t>ihm</w:t>
      </w:r>
      <w:r>
        <w:rPr>
          <w:b/>
          <w:color w:val="808080"/>
        </w:rPr>
        <w:t>]</w:t>
      </w:r>
      <w:r>
        <w:rPr>
          <w:color w:val="808080"/>
        </w:rPr>
        <w:t xml:space="preserve"> aßen/</w:t>
      </w:r>
      <w:r>
        <w:rPr>
          <w:b/>
          <w:color w:val="808080"/>
        </w:rPr>
        <w:t>[</w:t>
      </w:r>
      <w:r>
        <w:rPr>
          <w:color w:val="808080"/>
        </w:rPr>
        <w:t>zu Tisch</w:t>
      </w:r>
      <w:r>
        <w:rPr>
          <w:b/>
          <w:color w:val="808080"/>
        </w:rPr>
        <w:t>]</w:t>
      </w:r>
      <w:r>
        <w:rPr>
          <w:color w:val="808080"/>
        </w:rPr>
        <w:t xml:space="preserve"> lagen)</w:t>
      </w:r>
      <w:r>
        <w:rPr/>
        <w:t xml:space="preserve"> </w:t>
      </w:r>
      <w:r>
        <w:rPr>
          <w:rStyle w:val="Funotenanker"/>
        </w:rPr>
        <w:footnoteReference w:customMarkFollows="1" w:id="1543"/>
        <w:t>am</w:t>
      </w:r>
      <w:r>
        <w:rPr/>
        <w:t xml:space="preserve">. Der König sagte zu dem Mädchen </w:t>
      </w:r>
      <w:r>
        <w:rPr>
          <w:rStyle w:val="Funotenanker"/>
        </w:rPr>
        <w:footnoteReference w:customMarkFollows="1" w:id="1544"/>
        <w:t>an</w:t>
      </w:r>
      <w:r>
        <w:rPr/>
        <w:t xml:space="preserve">: „Bitte </w:t>
      </w:r>
      <w:r>
        <w:rPr>
          <w:color w:val="808080"/>
        </w:rPr>
        <w:t>(wünsche, verlange)</w:t>
      </w:r>
      <w:r>
        <w:rPr/>
        <w:t xml:space="preserve"> mich, was auch immer du willst, und ich werde </w:t>
      </w:r>
      <w:r>
        <w:rPr>
          <w:b/>
          <w:color w:val="808080"/>
        </w:rPr>
        <w:t>[</w:t>
      </w:r>
      <w:r>
        <w:rPr/>
        <w:t>es</w:t>
      </w:r>
      <w:r>
        <w:rPr>
          <w:b/>
          <w:color w:val="808080"/>
        </w:rPr>
        <w:t>]</w:t>
      </w:r>
      <w:r>
        <w:rPr/>
        <w:t xml:space="preserve"> dir geben!“{{field-off:bible}} </w:t>
        <w:br/>
        <w:t>[[@BibleTOBIBLE:Mk 6:23]]</w:t>
      </w:r>
      <w:r>
        <w:rPr>
          <w:b/>
        </w:rPr>
        <w:t>23</w:t>
      </w:r>
      <w:r>
        <w:rPr/>
        <w:t xml:space="preserve"> {{field-on:bible}}Und er schwor ihr </w:t>
      </w:r>
      <w:r>
        <w:rPr>
          <w:color w:val="808080"/>
        </w:rPr>
        <w:t>(schwor ihr mehrmals/eindringlich)</w:t>
      </w:r>
      <w:r>
        <w:rPr/>
        <w:t xml:space="preserve"> </w:t>
      </w:r>
      <w:r>
        <w:rPr>
          <w:rStyle w:val="Funotenanker"/>
        </w:rPr>
        <w:footnoteReference w:customMarkFollows="1" w:id="1545"/>
        <w:t>ao</w:t>
      </w:r>
      <w:r>
        <w:rPr/>
        <w:t xml:space="preserve">: „Worum du mich auch bittest </w:t>
      </w:r>
      <w:r>
        <w:rPr>
          <w:color w:val="808080"/>
        </w:rPr>
        <w:t>(wünscht, verlangst)</w:t>
      </w:r>
      <w:r>
        <w:rPr/>
        <w:t xml:space="preserve">, ich werde es dir geben, bis zur Hälfte meines Reiches!“{{field-off:bible}} </w:t>
        <w:br/>
        <w:t>[[@BibleTOBIBLE:Mk 6:24]]</w:t>
      </w:r>
      <w:r>
        <w:rPr>
          <w:b/>
        </w:rPr>
        <w:t>24</w:t>
      </w:r>
      <w:r>
        <w:rPr/>
        <w:t xml:space="preserve"> {{field-on:bible}}Und sie ging hinaus und </w:t>
      </w:r>
      <w:r>
        <w:rPr>
          <w:rStyle w:val="Funotenanker"/>
        </w:rPr>
        <w:footnoteReference w:customMarkFollows="1" w:id="1546"/>
        <w:t>ap</w:t>
      </w:r>
      <w:r>
        <w:rPr/>
        <w:t xml:space="preserve"> fragte </w:t>
      </w:r>
      <w:r>
        <w:rPr>
          <w:color w:val="808080"/>
        </w:rPr>
        <w:t>(sagte zu)</w:t>
      </w:r>
      <w:r>
        <w:rPr/>
        <w:t xml:space="preserve"> ihre Mutter: „Was soll ich mir wünschen </w:t>
      </w:r>
      <w:r>
        <w:rPr>
          <w:color w:val="808080"/>
        </w:rPr>
        <w:t>(bitten, verlangen)</w:t>
      </w:r>
      <w:r>
        <w:rPr/>
        <w:t xml:space="preserve">?“, und sie sagte: „Den Kopf von Johannes dem Täufer!“{{field-off:bible}} </w:t>
        <w:br/>
        <w:t>[[@BibleTOBIBLE:Mk 6:25]]</w:t>
      </w:r>
      <w:r>
        <w:rPr>
          <w:b/>
        </w:rPr>
        <w:t>25</w:t>
      </w:r>
      <w:r>
        <w:rPr/>
        <w:t xml:space="preserve"> {{field-on:bible}}Und sofort ging sie eilig </w:t>
      </w:r>
      <w:r>
        <w:rPr>
          <w:rStyle w:val="Funotenanker"/>
        </w:rPr>
        <w:footnoteReference w:customMarkFollows="1" w:id="1547"/>
        <w:t>aq</w:t>
      </w:r>
      <w:r>
        <w:rPr/>
        <w:t xml:space="preserve"> </w:t>
      </w:r>
      <w:r>
        <w:rPr>
          <w:b/>
          <w:color w:val="808080"/>
        </w:rPr>
        <w:t>[</w:t>
      </w:r>
      <w:r>
        <w:rPr/>
        <w:t>wieder</w:t>
      </w:r>
      <w:r>
        <w:rPr>
          <w:b/>
          <w:color w:val="808080"/>
        </w:rPr>
        <w:t>]</w:t>
      </w:r>
      <w:r>
        <w:rPr/>
        <w:t xml:space="preserve"> hinein zum König und </w:t>
      </w:r>
      <w:r>
        <w:rPr>
          <w:rStyle w:val="Funotenanker"/>
        </w:rPr>
        <w:footnoteReference w:customMarkFollows="1" w:id="1548"/>
        <w:t>ar</w:t>
      </w:r>
      <w:r>
        <w:rPr/>
        <w:t xml:space="preserve"> verlangte </w:t>
      </w:r>
      <w:r>
        <w:rPr>
          <w:color w:val="808080"/>
        </w:rPr>
        <w:t xml:space="preserve">(bat </w:t>
      </w:r>
      <w:r>
        <w:rPr>
          <w:b/>
          <w:color w:val="808080"/>
        </w:rPr>
        <w:t>[</w:t>
      </w:r>
      <w:r>
        <w:rPr>
          <w:color w:val="808080"/>
        </w:rPr>
        <w:t>ihn</w:t>
      </w:r>
      <w:r>
        <w:rPr>
          <w:b/>
          <w:color w:val="808080"/>
        </w:rPr>
        <w:t>]</w:t>
      </w:r>
      <w:r>
        <w:rPr>
          <w:color w:val="808080"/>
        </w:rPr>
        <w:t>)</w:t>
      </w:r>
      <w:r>
        <w:rPr/>
        <w:t xml:space="preserve"> </w:t>
      </w:r>
      <w:r>
        <w:rPr>
          <w:strike/>
          <w:color w:val="808080"/>
        </w:rPr>
        <w:t>{sagend}</w:t>
      </w:r>
      <w:r>
        <w:rPr/>
        <w:t xml:space="preserve">: „Ich will, dass du mir umgehend den Kopf von Johannes dem Täufer auf einer Schale </w:t>
      </w:r>
      <w:r>
        <w:rPr>
          <w:color w:val="808080"/>
        </w:rPr>
        <w:t>(Teller)</w:t>
      </w:r>
      <w:r>
        <w:rPr/>
        <w:t xml:space="preserve"> gibst!“{{field-off:bible}} </w:t>
        <w:br/>
        <w:t>[[@BibleTOBIBLE:Mk 6:26]]</w:t>
      </w:r>
      <w:r>
        <w:rPr>
          <w:b/>
        </w:rPr>
        <w:t>26</w:t>
      </w:r>
      <w:r>
        <w:rPr/>
        <w:t xml:space="preserve"> {{field-on:bible}}Und der König wurde sehr traurig, </w:t>
      </w:r>
      <w:r>
        <w:rPr>
          <w:rStyle w:val="Funotenanker"/>
        </w:rPr>
        <w:footnoteReference w:customMarkFollows="1" w:id="1549"/>
        <w:t>as</w:t>
      </w:r>
      <w:r>
        <w:rPr/>
        <w:t xml:space="preserve"> aber wegen seiner Schwüre und der Gäste </w:t>
      </w:r>
      <w:r>
        <w:rPr>
          <w:color w:val="808080"/>
        </w:rPr>
        <w:t>(</w:t>
      </w:r>
      <w:r>
        <w:rPr>
          <w:b/>
          <w:color w:val="808080"/>
        </w:rPr>
        <w:t>[</w:t>
      </w:r>
      <w:r>
        <w:rPr>
          <w:color w:val="808080"/>
        </w:rPr>
        <w:t>zu Tisch</w:t>
      </w:r>
      <w:r>
        <w:rPr>
          <w:b/>
          <w:color w:val="808080"/>
        </w:rPr>
        <w:t>]</w:t>
      </w:r>
      <w:r>
        <w:rPr>
          <w:color w:val="808080"/>
        </w:rPr>
        <w:t xml:space="preserve"> Liegenden)</w:t>
      </w:r>
      <w:r>
        <w:rPr/>
        <w:t xml:space="preserve"> </w:t>
      </w:r>
      <w:r>
        <w:rPr>
          <w:rStyle w:val="Funotenanker"/>
        </w:rPr>
        <w:footnoteReference w:customMarkFollows="1" w:id="1550"/>
        <w:t>at</w:t>
      </w:r>
      <w:r>
        <w:rPr/>
        <w:t xml:space="preserve"> wollte er sie nicht abweisen.{{field-off:bible}} </w:t>
        <w:br/>
        <w:t>[[@BibleTOBIBLE:Mk 6:27]]</w:t>
      </w:r>
      <w:r>
        <w:rPr>
          <w:b/>
        </w:rPr>
        <w:t>27</w:t>
      </w:r>
      <w:r>
        <w:rPr/>
        <w:t xml:space="preserve"> {{field-on:bible}}Also </w:t>
      </w:r>
      <w:r>
        <w:rPr>
          <w:rStyle w:val="Funotenanker"/>
        </w:rPr>
        <w:footnoteReference w:customMarkFollows="1" w:id="1551"/>
        <w:t>au</w:t>
      </w:r>
      <w:r>
        <w:rPr/>
        <w:t xml:space="preserve"> schickte der König einen Henker und </w:t>
      </w:r>
      <w:r>
        <w:rPr>
          <w:rStyle w:val="Funotenanker"/>
        </w:rPr>
        <w:footnoteReference w:customMarkFollows="1" w:id="1552"/>
        <w:t>av</w:t>
      </w:r>
      <w:r>
        <w:rPr/>
        <w:t xml:space="preserve"> ordnete an, seinen Kopf herzubringen. Und er ging los und enthauptete ihn im Gefängnis,{{field-off:bible}} </w:t>
        <w:br/>
        <w:t>[[@BibleTOBIBLE:Mk 6:28]]</w:t>
      </w:r>
      <w:r>
        <w:rPr>
          <w:b/>
        </w:rPr>
        <w:t>28</w:t>
      </w:r>
      <w:r>
        <w:rPr/>
        <w:t xml:space="preserve"> {{field-on:bible}}dann </w:t>
      </w:r>
      <w:r>
        <w:rPr>
          <w:color w:val="808080"/>
        </w:rPr>
        <w:t>(und)</w:t>
      </w:r>
      <w:r>
        <w:rPr/>
        <w:t xml:space="preserve"> brachte er seinen Kopf auf einer Schale </w:t>
      </w:r>
      <w:r>
        <w:rPr>
          <w:b/>
          <w:color w:val="808080"/>
        </w:rPr>
        <w:t>[</w:t>
      </w:r>
      <w:r>
        <w:rPr/>
        <w:t>herein</w:t>
      </w:r>
      <w:r>
        <w:rPr>
          <w:b/>
          <w:color w:val="808080"/>
        </w:rPr>
        <w:t>]</w:t>
      </w:r>
      <w:r>
        <w:rPr/>
        <w:t xml:space="preserve"> und gab ihn dem Mädchen, und das Mädchen gab ihn ihrer Mutter.{{field-off:bible}} </w:t>
        <w:br/>
        <w:t>[[@BibleTOBIBLE:Mk 6:29]]</w:t>
      </w:r>
      <w:r>
        <w:rPr>
          <w:b/>
        </w:rPr>
        <w:t>29</w:t>
      </w:r>
      <w:r>
        <w:rPr/>
        <w:t xml:space="preserve"> {{field-on:bible}}Und als seine Jünger </w:t>
      </w:r>
      <w:r>
        <w:rPr>
          <w:b/>
          <w:color w:val="808080"/>
        </w:rPr>
        <w:t>[</w:t>
      </w:r>
      <w:r>
        <w:rPr/>
        <w:t>davon</w:t>
      </w:r>
      <w:r>
        <w:rPr>
          <w:b/>
          <w:color w:val="808080"/>
        </w:rPr>
        <w:t>]</w:t>
      </w:r>
      <w:r>
        <w:rPr/>
        <w:t xml:space="preserve"> erfuhren </w:t>
      </w:r>
      <w:r>
        <w:rPr>
          <w:color w:val="808080"/>
        </w:rPr>
        <w:t>(hörten)</w:t>
      </w:r>
      <w:r>
        <w:rPr/>
        <w:t xml:space="preserve">, </w:t>
      </w:r>
      <w:r>
        <w:rPr>
          <w:rStyle w:val="Funotenanker"/>
        </w:rPr>
        <w:footnoteReference w:customMarkFollows="1" w:id="1553"/>
        <w:t>aw</w:t>
      </w:r>
      <w:r>
        <w:rPr/>
        <w:t xml:space="preserve"> kamen sie, </w:t>
      </w:r>
      <w:r>
        <w:rPr>
          <w:strike/>
          <w:color w:val="808080"/>
        </w:rPr>
        <w:t>{und}</w:t>
      </w:r>
      <w:r>
        <w:rPr/>
        <w:t xml:space="preserve"> holten seinen Leichnam ab und legten ihn in ein Grab.{{field-off:bible}} </w:t>
        <w:br/>
        <w:t>[[@BibleTOBIBLE:Mk 6:30]]</w:t>
      </w:r>
      <w:r>
        <w:rPr>
          <w:b/>
        </w:rPr>
        <w:t>30</w:t>
      </w:r>
      <w:r>
        <w:rPr/>
        <w:t xml:space="preserve"> {{field-on:bible}}Und die Apostel </w:t>
      </w:r>
      <w:r>
        <w:rPr>
          <w:color w:val="808080"/>
        </w:rPr>
        <w:t xml:space="preserve">(ausgesandten </w:t>
      </w:r>
      <w:r>
        <w:rPr>
          <w:b/>
          <w:color w:val="808080"/>
        </w:rPr>
        <w:t>[</w:t>
      </w:r>
      <w:r>
        <w:rPr>
          <w:color w:val="808080"/>
        </w:rPr>
        <w:t>Jünger</w:t>
      </w:r>
      <w:r>
        <w:rPr>
          <w:b/>
          <w:color w:val="808080"/>
        </w:rPr>
        <w:t>]</w:t>
      </w:r>
      <w:r>
        <w:rPr>
          <w:color w:val="808080"/>
        </w:rPr>
        <w:t>)</w:t>
      </w:r>
      <w:r>
        <w:rPr/>
        <w:t xml:space="preserve"> </w:t>
      </w:r>
      <w:r>
        <w:rPr>
          <w:rStyle w:val="Funotenanker"/>
        </w:rPr>
        <w:footnoteReference w:customMarkFollows="1" w:id="1554"/>
        <w:t>ax</w:t>
      </w:r>
      <w:r>
        <w:rPr/>
        <w:t xml:space="preserve"> kamen bei Jesus zusammen und berichteten ihm alles, was sie getan und was sie gelehrt hatten.{{field-off:bible}} </w:t>
        <w:br/>
        <w:t>[[@BibleTOBIBLE:Mk 6:31]]</w:t>
      </w:r>
      <w:r>
        <w:rPr>
          <w:b/>
        </w:rPr>
        <w:t>31</w:t>
      </w:r>
      <w:r>
        <w:rPr/>
        <w:t xml:space="preserve"> {{field-on:bible}}Und er sagte zu ihnen: „Kommt ''ihr'' doch ganz allein </w:t>
      </w:r>
      <w:r>
        <w:rPr>
          <w:b/>
          <w:color w:val="808080"/>
        </w:rPr>
        <w:t>[</w:t>
      </w:r>
      <w:r>
        <w:rPr/>
        <w:t>mit mir</w:t>
      </w:r>
      <w:r>
        <w:rPr>
          <w:b/>
          <w:color w:val="808080"/>
        </w:rPr>
        <w:t>]</w:t>
      </w:r>
      <w:r>
        <w:rPr/>
        <w:t xml:space="preserve"> an einen abgelegenen Ort und ruht euch ein wenig aus!“ Denn es waren viele, die kamen und gingen, und sie fanden nicht einmal Zeit zum Essen.{{field-off:bible}} </w:t>
        <w:br/>
        <w:t>[[@BibleTOBIBLE:Mk 6:32]]</w:t>
      </w:r>
      <w:r>
        <w:rPr>
          <w:b/>
        </w:rPr>
        <w:t>32</w:t>
      </w:r>
      <w:r>
        <w:rPr/>
        <w:t xml:space="preserve"> {{field-on:bible}}Und sie fuhren </w:t>
      </w:r>
      <w:r>
        <w:rPr>
          <w:color w:val="808080"/>
        </w:rPr>
        <w:t>(brachen auf)</w:t>
      </w:r>
      <w:r>
        <w:rPr/>
        <w:t xml:space="preserve"> mit </w:t>
      </w:r>
      <w:r>
        <w:rPr>
          <w:color w:val="808080"/>
        </w:rPr>
        <w:t>(in)</w:t>
      </w:r>
      <w:r>
        <w:rPr/>
        <w:t xml:space="preserve"> dem Boot an einen einsamen Ort, ganz allein </w:t>
      </w:r>
      <w:r>
        <w:rPr>
          <w:rStyle w:val="Funotenanker"/>
        </w:rPr>
        <w:footnoteReference w:customMarkFollows="1" w:id="1555"/>
        <w:t>ay</w:t>
      </w:r>
      <w:r>
        <w:rPr/>
        <w:t xml:space="preserve">.{{field-off:bible}} </w:t>
        <w:br/>
        <w:t>[[@BibleTOBIBLE:Mk 6:33]]</w:t>
      </w:r>
      <w:r>
        <w:rPr>
          <w:b/>
        </w:rPr>
        <w:t>33</w:t>
      </w:r>
      <w:r>
        <w:rPr/>
        <w:t xml:space="preserve"> {{field-on:bible}}Allerdings </w:t>
      </w:r>
      <w:r>
        <w:rPr>
          <w:color w:val="808080"/>
        </w:rPr>
        <w:t>(und)</w:t>
      </w:r>
      <w:r>
        <w:rPr/>
        <w:t xml:space="preserve"> sahen </w:t>
      </w:r>
      <w:r>
        <w:rPr>
          <w:b/>
          <w:color w:val="808080"/>
        </w:rPr>
        <w:t>[</w:t>
      </w:r>
      <w:r>
        <w:rPr/>
        <w:t>die Leute</w:t>
      </w:r>
      <w:r>
        <w:rPr>
          <w:b/>
          <w:color w:val="808080"/>
        </w:rPr>
        <w:t>]</w:t>
      </w:r>
      <w:r>
        <w:rPr/>
        <w:t xml:space="preserve">, wie sie losfuhren </w:t>
      </w:r>
      <w:r>
        <w:rPr>
          <w:color w:val="808080"/>
        </w:rPr>
        <w:t>(aufbrachen)</w:t>
      </w:r>
      <w:r>
        <w:rPr/>
        <w:t xml:space="preserve">, und viele erkannten </w:t>
      </w:r>
      <w:r>
        <w:rPr>
          <w:b/>
          <w:color w:val="808080"/>
        </w:rPr>
        <w:t>[</w:t>
      </w:r>
      <w:r>
        <w:rPr/>
        <w:t xml:space="preserve">ihre Absicht </w:t>
      </w:r>
      <w:r>
        <w:rPr>
          <w:color w:val="808080"/>
        </w:rPr>
        <w:t>(sie)</w:t>
      </w:r>
      <w:r>
        <w:rPr>
          <w:b/>
          <w:color w:val="808080"/>
        </w:rPr>
        <w:t>]</w:t>
      </w:r>
      <w:r>
        <w:rPr/>
        <w:t xml:space="preserve"> </w:t>
      </w:r>
      <w:r>
        <w:rPr>
          <w:color w:val="808080"/>
        </w:rPr>
        <w:t xml:space="preserve">(erfuhren </w:t>
      </w:r>
      <w:r>
        <w:rPr>
          <w:b/>
          <w:color w:val="808080"/>
        </w:rPr>
        <w:t>[</w:t>
      </w:r>
      <w:r>
        <w:rPr>
          <w:color w:val="808080"/>
        </w:rPr>
        <w:t>davon</w:t>
      </w:r>
      <w:r>
        <w:rPr>
          <w:b/>
          <w:color w:val="808080"/>
        </w:rPr>
        <w:t>]</w:t>
      </w:r>
      <w:r>
        <w:rPr>
          <w:color w:val="808080"/>
        </w:rPr>
        <w:t>)</w:t>
      </w:r>
      <w:r>
        <w:rPr/>
        <w:t xml:space="preserve"> </w:t>
      </w:r>
      <w:r>
        <w:rPr>
          <w:rStyle w:val="Funotenanker"/>
        </w:rPr>
        <w:footnoteReference w:customMarkFollows="1" w:id="1556"/>
        <w:t>az</w:t>
      </w:r>
      <w:r>
        <w:rPr/>
        <w:t xml:space="preserve">, und zu Fuß liefen sie aus allen Städten zusammen und kamen </w:t>
      </w:r>
      <w:r>
        <w:rPr>
          <w:color w:val="808080"/>
        </w:rPr>
        <w:t>(liefen voraus)</w:t>
      </w:r>
      <w:r>
        <w:rPr/>
        <w:t xml:space="preserve"> vor ihnen an ihrem Zielort </w:t>
      </w:r>
      <w:r>
        <w:rPr>
          <w:color w:val="808080"/>
        </w:rPr>
        <w:t>(dort)</w:t>
      </w:r>
      <w:r>
        <w:rPr/>
        <w:t xml:space="preserve"> </w:t>
      </w:r>
      <w:r>
        <w:rPr>
          <w:rStyle w:val="Funotenanker"/>
        </w:rPr>
        <w:footnoteReference w:customMarkFollows="1" w:id="1557"/>
        <w:t>ba</w:t>
      </w:r>
      <w:r>
        <w:rPr/>
        <w:t xml:space="preserve"> an.{{field-off:bible}} </w:t>
        <w:br/>
        <w:t>[[@BibleTOBIBLE:Mk 6:34]]</w:t>
      </w:r>
      <w:r>
        <w:rPr>
          <w:b/>
        </w:rPr>
        <w:t>34</w:t>
      </w:r>
      <w:r>
        <w:rPr/>
        <w:t xml:space="preserve"> {{field-on:bible}}Und als er ausstieg, </w:t>
      </w:r>
      <w:r>
        <w:rPr>
          <w:rStyle w:val="Funotenanker"/>
        </w:rPr>
        <w:footnoteReference w:customMarkFollows="1" w:id="1558"/>
        <w:t>bb</w:t>
      </w:r>
      <w:r>
        <w:rPr/>
        <w:t xml:space="preserve"> sah er eine große Menschenmenge, und er empfand Mitleid mit ihnen,</w:t>
      </w:r>
      <w:r>
        <w:rPr>
          <w:position w:val="8"/>
          <w:sz w:val="19"/>
        </w:rPr>
        <w:t>[[ ℘ &gt;&gt; BibleTOBIBLE:Mk 8:2]]</w:t>
      </w:r>
      <w:r>
        <w:rPr/>
        <w:t xml:space="preserve"> weil sie wie Schafe waren, die keinen Hirten haben, </w:t>
      </w:r>
      <w:r>
        <w:rPr>
          <w:rStyle w:val="Funotenanker"/>
        </w:rPr>
        <w:footnoteReference w:customMarkFollows="1" w:id="1559"/>
        <w:t>bc</w:t>
      </w:r>
      <w:r>
        <w:rPr/>
        <w:t xml:space="preserve"> </w:t>
      </w:r>
      <w:r>
        <w:rPr>
          <w:position w:val="8"/>
          <w:sz w:val="19"/>
        </w:rPr>
        <w:t>[[ ℘ &gt;&gt; BibleTOBIBLE:Nu 27:17]][[ ℘ &gt;&gt; BibleTOBIBLE:1Ki 22:17]][[ ℘ &gt;&gt; BibleTOBIBLE:Eze 34:5]][[ ℘ &gt;&gt; BibleTOBIBLE:Zec 13:7]][[ ℘ &gt;&gt; BibleTOBIBLE:Mt 9:36]]</w:t>
      </w:r>
      <w:r>
        <w:rPr/>
        <w:t xml:space="preserve"> und er begann, sie vieles </w:t>
      </w:r>
      <w:r>
        <w:rPr>
          <w:color w:val="808080"/>
        </w:rPr>
        <w:t>(lange)</w:t>
      </w:r>
      <w:r>
        <w:rPr/>
        <w:t xml:space="preserve"> zu lehren.</w:t>
      </w:r>
      <w:r>
        <w:rPr>
          <w:position w:val="8"/>
          <w:sz w:val="19"/>
        </w:rPr>
        <w:t>[[ ℘ &gt;&gt; BibleTOBIBLE:Eze 34:23]]</w:t>
      </w:r>
      <w:r>
        <w:rPr/>
        <w:t xml:space="preserve"> {{field-off:bible}} </w:t>
        <w:br/>
        <w:t>[[@BibleTOBIBLE:Mk 6:35]]</w:t>
      </w:r>
      <w:r>
        <w:rPr>
          <w:b/>
        </w:rPr>
        <w:t>35</w:t>
      </w:r>
      <w:r>
        <w:rPr/>
        <w:t xml:space="preserve"> {{field-on:bible}}Und als </w:t>
      </w:r>
      <w:r>
        <w:rPr>
          <w:color w:val="808080"/>
        </w:rPr>
        <w:t>(weil)</w:t>
      </w:r>
      <w:r>
        <w:rPr/>
        <w:t xml:space="preserve"> die Stunde schon spät geworden war, </w:t>
      </w:r>
      <w:r>
        <w:rPr>
          <w:rStyle w:val="Funotenanker"/>
        </w:rPr>
        <w:footnoteReference w:customMarkFollows="1" w:id="1560"/>
        <w:t>bd</w:t>
      </w:r>
      <w:r>
        <w:rPr/>
        <w:t xml:space="preserve"> kamen seine Jünger zu ihm und </w:t>
      </w:r>
      <w:r>
        <w:rPr>
          <w:rStyle w:val="Funotenanker"/>
        </w:rPr>
        <w:footnoteReference w:customMarkFollows="1" w:id="1561"/>
        <w:t>be</w:t>
      </w:r>
      <w:r>
        <w:rPr/>
        <w:t xml:space="preserve"> sagten: „Diese Gegend </w:t>
      </w:r>
      <w:r>
        <w:rPr>
          <w:color w:val="808080"/>
        </w:rPr>
        <w:t>(Ort)</w:t>
      </w:r>
      <w:r>
        <w:rPr/>
        <w:t xml:space="preserve"> ist abgelegen und die Stunde ist schon spät –{{field-off:bible}} </w:t>
        <w:br/>
        <w:t>[[@BibleTOBIBLE:Mk 6:36]]</w:t>
      </w:r>
      <w:r>
        <w:rPr>
          <w:b/>
        </w:rPr>
        <w:t>36</w:t>
      </w:r>
      <w:r>
        <w:rPr/>
        <w:t xml:space="preserve"> {{field-on:bible}}verabschiede </w:t>
      </w:r>
      <w:r>
        <w:rPr>
          <w:color w:val="808080"/>
        </w:rPr>
        <w:t>(schick weg, entlasse)</w:t>
      </w:r>
      <w:r>
        <w:rPr/>
        <w:t xml:space="preserve"> </w:t>
      </w:r>
      <w:r>
        <w:rPr>
          <w:b/>
          <w:color w:val="808080"/>
        </w:rPr>
        <w:t>[</w:t>
      </w:r>
      <w:r>
        <w:rPr/>
        <w:t>die Leute</w:t>
      </w:r>
      <w:r>
        <w:rPr>
          <w:b/>
          <w:color w:val="808080"/>
        </w:rPr>
        <w:t>]</w:t>
      </w:r>
      <w:r>
        <w:rPr/>
        <w:t xml:space="preserve"> </w:t>
      </w:r>
      <w:r>
        <w:rPr>
          <w:b/>
          <w:color w:val="808080"/>
        </w:rPr>
        <w:t>[</w:t>
      </w:r>
      <w:r>
        <w:rPr/>
        <w:t>doch</w:t>
      </w:r>
      <w:r>
        <w:rPr>
          <w:b/>
          <w:color w:val="808080"/>
        </w:rPr>
        <w:t>]</w:t>
      </w:r>
      <w:r>
        <w:rPr/>
        <w:t xml:space="preserve">, damit sie zu den umliegenden Bauernhöfen </w:t>
      </w:r>
      <w:r>
        <w:rPr>
          <w:rStyle w:val="Funotenanker"/>
        </w:rPr>
        <w:footnoteReference w:customMarkFollows="1" w:id="1562"/>
        <w:t>bf</w:t>
      </w:r>
      <w:r>
        <w:rPr/>
        <w:t xml:space="preserve"> und Dörfern gehen und </w:t>
      </w:r>
      <w:r>
        <w:rPr>
          <w:rStyle w:val="Funotenanker"/>
        </w:rPr>
        <w:footnoteReference w:customMarkFollows="1" w:id="1563"/>
        <w:t>bg</w:t>
      </w:r>
      <w:r>
        <w:rPr/>
        <w:t xml:space="preserve"> sich etwas zu essen kaufen </w:t>
      </w:r>
      <w:r>
        <w:rPr>
          <w:b/>
          <w:color w:val="808080"/>
        </w:rPr>
        <w:t>[</w:t>
      </w:r>
      <w:r>
        <w:rPr/>
        <w:t>können</w:t>
      </w:r>
      <w:r>
        <w:rPr>
          <w:b/>
          <w:color w:val="808080"/>
        </w:rPr>
        <w:t>]</w:t>
      </w:r>
      <w:r>
        <w:rPr/>
        <w:t xml:space="preserve">.“{{field-off:bible}} </w:t>
        <w:br/>
        <w:t>[[@BibleTOBIBLE:Mk 6:37]]</w:t>
      </w:r>
      <w:r>
        <w:rPr>
          <w:b/>
        </w:rPr>
        <w:t>37</w:t>
      </w:r>
      <w:r>
        <w:rPr/>
        <w:t xml:space="preserve"> {{field-on:bible}}Doch </w:t>
      </w:r>
      <w:r>
        <w:rPr>
          <w:color w:val="808080"/>
        </w:rPr>
        <w:t>(Und)</w:t>
      </w:r>
      <w:r>
        <w:rPr/>
        <w:t xml:space="preserve"> er antwortete </w:t>
      </w:r>
      <w:r>
        <w:rPr>
          <w:strike/>
          <w:color w:val="808080"/>
        </w:rPr>
        <w:t>{und sagte}</w:t>
      </w:r>
      <w:r>
        <w:rPr/>
        <w:t xml:space="preserve"> </w:t>
      </w:r>
      <w:r>
        <w:rPr>
          <w:rStyle w:val="Funotenanker"/>
        </w:rPr>
        <w:footnoteReference w:customMarkFollows="1" w:id="1564"/>
        <w:t>bh</w:t>
      </w:r>
      <w:r>
        <w:rPr/>
        <w:t xml:space="preserve"> ihnen: „Gebt ihr ihnen </w:t>
      </w:r>
      <w:r>
        <w:rPr>
          <w:b/>
          <w:color w:val="808080"/>
        </w:rPr>
        <w:t>[</w:t>
      </w:r>
      <w:r>
        <w:rPr/>
        <w:t>doch</w:t>
      </w:r>
      <w:r>
        <w:rPr>
          <w:b/>
          <w:color w:val="808080"/>
        </w:rPr>
        <w:t>]</w:t>
      </w:r>
      <w:r>
        <w:rPr/>
        <w:t xml:space="preserve"> zu essen!“</w:t>
      </w:r>
      <w:r>
        <w:rPr>
          <w:position w:val="8"/>
          <w:sz w:val="19"/>
        </w:rPr>
        <w:t>[[ ℘ &gt;&gt; BibleTOBIBLE:2Ki 4:42]]</w:t>
      </w:r>
      <w:r>
        <w:rPr/>
        <w:t xml:space="preserve"> Und </w:t>
      </w:r>
      <w:r>
        <w:rPr>
          <w:color w:val="808080"/>
        </w:rPr>
        <w:t>(Da)</w:t>
      </w:r>
      <w:r>
        <w:rPr/>
        <w:t xml:space="preserve"> sie sagten zu ihm: „Sollen wir losgehen und </w:t>
      </w:r>
      <w:r>
        <w:rPr>
          <w:rStyle w:val="Funotenanker"/>
        </w:rPr>
        <w:footnoteReference w:customMarkFollows="1" w:id="1565"/>
        <w:t>bi</w:t>
      </w:r>
      <w:r>
        <w:rPr/>
        <w:t xml:space="preserve"> </w:t>
      </w:r>
      <w:r>
        <w:rPr>
          <w:b/>
          <w:color w:val="808080"/>
        </w:rPr>
        <w:t>[</w:t>
      </w:r>
      <w:r>
        <w:rPr/>
        <w:t>für</w:t>
      </w:r>
      <w:r>
        <w:rPr>
          <w:b/>
          <w:color w:val="808080"/>
        </w:rPr>
        <w:t>]</w:t>
      </w:r>
      <w:r>
        <w:rPr/>
        <w:t xml:space="preserve"> zweihundert Denare </w:t>
      </w:r>
      <w:r>
        <w:rPr>
          <w:rStyle w:val="Funotenanker"/>
        </w:rPr>
        <w:footnoteReference w:customMarkFollows="1" w:id="1566"/>
        <w:t>bj</w:t>
      </w:r>
      <w:r>
        <w:rPr/>
        <w:t xml:space="preserve"> Brote kaufen und ihnen zu essen geben?“{{field-off:bible}} </w:t>
        <w:br/>
        <w:t>[[@BibleTOBIBLE:Mk 6:38]]</w:t>
      </w:r>
      <w:r>
        <w:rPr>
          <w:b/>
        </w:rPr>
        <w:t>38</w:t>
      </w:r>
      <w:r>
        <w:rPr/>
        <w:t xml:space="preserve"> {{field-on:bible}}Und er sagte zu ihnen: „Wie viele Brote habt ihr? Geht </w:t>
      </w:r>
      <w:r>
        <w:rPr>
          <w:b/>
          <w:color w:val="808080"/>
        </w:rPr>
        <w:t>[</w:t>
      </w:r>
      <w:r>
        <w:rPr/>
        <w:t>und</w:t>
      </w:r>
      <w:r>
        <w:rPr>
          <w:b/>
          <w:color w:val="808080"/>
        </w:rPr>
        <w:t>]</w:t>
      </w:r>
      <w:r>
        <w:rPr/>
        <w:t xml:space="preserve"> schaut nach!“ Und nachdem sie </w:t>
      </w:r>
      <w:r>
        <w:rPr>
          <w:b/>
          <w:color w:val="808080"/>
        </w:rPr>
        <w:t>[</w:t>
      </w:r>
      <w:r>
        <w:rPr/>
        <w:t>es</w:t>
      </w:r>
      <w:r>
        <w:rPr>
          <w:b/>
          <w:color w:val="808080"/>
        </w:rPr>
        <w:t>]</w:t>
      </w:r>
      <w:r>
        <w:rPr/>
        <w:t xml:space="preserve"> festgestellt hatten, </w:t>
      </w:r>
      <w:r>
        <w:rPr>
          <w:rStyle w:val="Funotenanker"/>
        </w:rPr>
        <w:footnoteReference w:customMarkFollows="1" w:id="1567"/>
        <w:t>bk</w:t>
      </w:r>
      <w:r>
        <w:rPr/>
        <w:t xml:space="preserve"> sagten sie: „Fünf, und zwei Fische.“</w:t>
      </w:r>
      <w:r>
        <w:rPr>
          <w:position w:val="8"/>
          <w:sz w:val="19"/>
        </w:rPr>
        <w:t>[[ ℘ &gt;&gt; BibleTOBIBLE:Mk 8:5]]</w:t>
      </w:r>
      <w:r>
        <w:rPr/>
        <w:t xml:space="preserve"> {{field-off:bible}} </w:t>
        <w:br/>
        <w:t>[[@BibleTOBIBLE:Mk 6:39]]</w:t>
      </w:r>
      <w:r>
        <w:rPr>
          <w:b/>
        </w:rPr>
        <w:t>39</w:t>
      </w:r>
      <w:r>
        <w:rPr/>
        <w:t xml:space="preserve"> {{field-on:bible}}Daraufhin </w:t>
      </w:r>
      <w:r>
        <w:rPr>
          <w:color w:val="808080"/>
        </w:rPr>
        <w:t>(Und)</w:t>
      </w:r>
      <w:r>
        <w:rPr/>
        <w:t xml:space="preserve"> wies er sie an </w:t>
      </w:r>
      <w:r>
        <w:rPr>
          <w:color w:val="808080"/>
        </w:rPr>
        <w:t>(veranlasste er)</w:t>
      </w:r>
      <w:r>
        <w:rPr/>
        <w:t xml:space="preserve">, </w:t>
      </w:r>
      <w:r>
        <w:rPr>
          <w:b/>
          <w:color w:val="808080"/>
        </w:rPr>
        <w:t>[</w:t>
      </w:r>
      <w:r>
        <w:rPr/>
        <w:t>dafür zu sorgen, dass</w:t>
      </w:r>
      <w:r>
        <w:rPr>
          <w:b/>
          <w:color w:val="808080"/>
        </w:rPr>
        <w:t>]</w:t>
      </w:r>
      <w:r>
        <w:rPr/>
        <w:t xml:space="preserve"> sich alle in Gruppen </w:t>
      </w:r>
      <w:r>
        <w:rPr>
          <w:rStyle w:val="Funotenanker"/>
        </w:rPr>
        <w:footnoteReference w:customMarkFollows="1" w:id="1568"/>
        <w:t>bl</w:t>
      </w:r>
      <w:r>
        <w:rPr/>
        <w:t xml:space="preserve"> auf das grüne Gras setzten.{{field-off:bible}} </w:t>
        <w:br/>
        <w:t>[[@BibleTOBIBLE:Mk 6:40]]</w:t>
      </w:r>
      <w:r>
        <w:rPr>
          <w:b/>
        </w:rPr>
        <w:t>40</w:t>
      </w:r>
      <w:r>
        <w:rPr/>
        <w:t xml:space="preserve"> {{field-on:bible}}Und sie nahmen in Gruppen </w:t>
      </w:r>
      <w:r>
        <w:rPr>
          <w:rStyle w:val="Funotenanker"/>
        </w:rPr>
        <w:footnoteReference w:customMarkFollows="1" w:id="1569"/>
        <w:t>bm</w:t>
      </w:r>
      <w:r>
        <w:rPr/>
        <w:t xml:space="preserve"> von hundert und von fünfzig </w:t>
      </w:r>
      <w:r>
        <w:rPr>
          <w:b/>
          <w:color w:val="808080"/>
        </w:rPr>
        <w:t>[</w:t>
      </w:r>
      <w:r>
        <w:rPr/>
        <w:t>Personen</w:t>
      </w:r>
      <w:r>
        <w:rPr>
          <w:b/>
          <w:color w:val="808080"/>
        </w:rPr>
        <w:t>]</w:t>
      </w:r>
      <w:r>
        <w:rPr/>
        <w:t xml:space="preserve"> Platz. </w:t>
      </w:r>
      <w:r>
        <w:rPr>
          <w:rStyle w:val="Funotenanker"/>
        </w:rPr>
        <w:footnoteReference w:customMarkFollows="1" w:id="1570"/>
        <w:t>bn</w:t>
      </w:r>
      <w:r>
        <w:rPr/>
        <w:t xml:space="preserve"> {{field-off:bible}} </w:t>
        <w:br/>
        <w:t>[[@BibleTOBIBLE:Mk 6:41]]</w:t>
      </w:r>
      <w:r>
        <w:rPr>
          <w:b/>
        </w:rPr>
        <w:t>41</w:t>
      </w:r>
      <w:r>
        <w:rPr/>
        <w:t xml:space="preserve"> {{field-on:bible}}Und er nahm die fünf Brote und die zwei Fische, blickte auf </w:t>
      </w:r>
      <w:r>
        <w:rPr>
          <w:rStyle w:val="Funotenanker"/>
        </w:rPr>
        <w:footnoteReference w:customMarkFollows="1" w:id="1571"/>
        <w:t>bo</w:t>
      </w:r>
      <w:r>
        <w:rPr/>
        <w:t xml:space="preserve"> zum Himmel und segnete </w:t>
      </w:r>
      <w:r>
        <w:rPr>
          <w:b/>
          <w:color w:val="808080"/>
        </w:rPr>
        <w:t>[</w:t>
      </w:r>
      <w:r>
        <w:rPr/>
        <w:t>sie</w:t>
      </w:r>
      <w:r>
        <w:rPr>
          <w:b/>
          <w:color w:val="808080"/>
        </w:rPr>
        <w:t>]</w:t>
      </w:r>
      <w:r>
        <w:rPr/>
        <w:t xml:space="preserve">. Dann </w:t>
      </w:r>
      <w:r>
        <w:rPr>
          <w:color w:val="808080"/>
        </w:rPr>
        <w:t>(und)</w:t>
      </w:r>
      <w:r>
        <w:rPr/>
        <w:t xml:space="preserve"> brach er die Brote auseinander und gab sie seinen Jüngern, um sie </w:t>
      </w:r>
      <w:r>
        <w:rPr>
          <w:strike/>
          <w:color w:val="808080"/>
        </w:rPr>
        <w:t>{ihnen}</w:t>
      </w:r>
      <w:r>
        <w:rPr/>
        <w:t xml:space="preserve"> auszuteilen. Auch </w:t>
      </w:r>
      <w:r>
        <w:rPr>
          <w:color w:val="808080"/>
        </w:rPr>
        <w:t>(und)</w:t>
      </w:r>
      <w:r>
        <w:rPr/>
        <w:t xml:space="preserve"> die zwei Fische verteilte er an alle.</w:t>
      </w:r>
      <w:r>
        <w:rPr>
          <w:position w:val="8"/>
          <w:sz w:val="19"/>
        </w:rPr>
        <w:t>[[ ℘ &gt;&gt; BibleTOBIBLE:Mk 8:6]]</w:t>
      </w:r>
      <w:r>
        <w:rPr/>
        <w:t xml:space="preserve"> {{field-off:bible}} </w:t>
        <w:br/>
        <w:t>[[@BibleTOBIBLE:Mk 6:42]]</w:t>
      </w:r>
      <w:r>
        <w:rPr>
          <w:b/>
        </w:rPr>
        <w:t>42</w:t>
      </w:r>
      <w:r>
        <w:rPr/>
        <w:t xml:space="preserve"> {{field-on:bible}}Und alle aßen und wurden satt,</w:t>
      </w:r>
      <w:r>
        <w:rPr>
          <w:position w:val="8"/>
          <w:sz w:val="19"/>
        </w:rPr>
        <w:t>[[ ℘ &gt;&gt; BibleTOBIBLE:Mk 8:8]]</w:t>
      </w:r>
      <w:r>
        <w:rPr/>
        <w:t xml:space="preserve"> {{field-off:bible}} </w:t>
        <w:br/>
        <w:t>[[@BibleTOBIBLE:Mk 6:43]]</w:t>
      </w:r>
      <w:r>
        <w:rPr>
          <w:b/>
        </w:rPr>
        <w:t>43</w:t>
      </w:r>
      <w:r>
        <w:rPr/>
        <w:t xml:space="preserve"> {{field-on:bible}}und sie hoben zwölf große Körbe voller Brocken </w:t>
      </w:r>
      <w:r>
        <w:rPr>
          <w:rStyle w:val="Funotenanker"/>
        </w:rPr>
        <w:footnoteReference w:customMarkFollows="1" w:id="1572"/>
        <w:t>bp</w:t>
      </w:r>
      <w:r>
        <w:rPr/>
        <w:t xml:space="preserve"> auf, auch von den Fischen </w:t>
      </w:r>
      <w:r>
        <w:rPr>
          <w:rStyle w:val="Funotenanker"/>
        </w:rPr>
        <w:footnoteReference w:customMarkFollows="1" w:id="1573"/>
        <w:t>bq</w:t>
      </w:r>
      <w:r>
        <w:rPr/>
        <w:t>.</w:t>
      </w:r>
      <w:r>
        <w:rPr>
          <w:position w:val="8"/>
          <w:sz w:val="19"/>
        </w:rPr>
        <w:t>[[ ℘ &gt;&gt; BibleTOBIBLE:Mk 8:8]]</w:t>
      </w:r>
      <w:r>
        <w:rPr/>
        <w:t xml:space="preserve"> {{field-off:bible}} </w:t>
        <w:br/>
        <w:t>[[@BibleTOBIBLE:Mk 6:44]]</w:t>
      </w:r>
      <w:r>
        <w:rPr>
          <w:b/>
        </w:rPr>
        <w:t>44</w:t>
      </w:r>
      <w:r>
        <w:rPr/>
        <w:t xml:space="preserve"> {{field-on:bible}}Und diejenigen, die die Brote gegessen hatten, waren fünftausend Männer.</w:t>
      </w:r>
      <w:r>
        <w:rPr>
          <w:position w:val="8"/>
          <w:sz w:val="19"/>
        </w:rPr>
        <w:t>[[ ℘ &gt;&gt; BibleTOBIBLE:Mk 8:9]]</w:t>
      </w:r>
      <w:r>
        <w:rPr/>
        <w:t xml:space="preserve"> {{field-off:bible}} </w:t>
        <w:br/>
        <w:t>[[@BibleTOBIBLE:Mk 6:45]]</w:t>
      </w:r>
      <w:r>
        <w:rPr>
          <w:b/>
        </w:rPr>
        <w:t>45</w:t>
      </w:r>
      <w:r>
        <w:rPr/>
        <w:t xml:space="preserve"> {{field-on:bible}}Und kurze Zeit später </w:t>
      </w:r>
      <w:r>
        <w:rPr>
          <w:color w:val="808080"/>
        </w:rPr>
        <w:t>(gleich danach)</w:t>
      </w:r>
      <w:r>
        <w:rPr/>
        <w:t xml:space="preserve"> nötigte er seine Jünger, in das Boot zu steigen und an das andere </w:t>
      </w:r>
      <w:r>
        <w:rPr>
          <w:color w:val="808080"/>
        </w:rPr>
        <w:t>(gegenüberliegende)</w:t>
      </w:r>
      <w:r>
        <w:rPr/>
        <w:t xml:space="preserve"> Ufer nach </w:t>
      </w:r>
      <w:r>
        <w:rPr>
          <w:color w:val="808080"/>
        </w:rPr>
        <w:t>(Richtung)</w:t>
      </w:r>
      <w:r>
        <w:rPr/>
        <w:t xml:space="preserve"> Betsaida vorauszufahren, während er selbst die Menschenmenge verabschieden wollte </w:t>
      </w:r>
      <w:r>
        <w:rPr>
          <w:rStyle w:val="Funotenanker"/>
        </w:rPr>
        <w:footnoteReference w:customMarkFollows="1" w:id="1574"/>
        <w:t>br</w:t>
      </w:r>
      <w:r>
        <w:rPr/>
        <w:t xml:space="preserve">.{{field-off:bible}} </w:t>
        <w:br/>
        <w:t>[[@BibleTOBIBLE:Mk 6:46]]</w:t>
      </w:r>
      <w:r>
        <w:rPr>
          <w:b/>
        </w:rPr>
        <w:t>46</w:t>
      </w:r>
      <w:r>
        <w:rPr/>
        <w:t xml:space="preserve"> {{field-on:bible}}Und nachdem er sich von ihnen verabschiedet hatte, </w:t>
      </w:r>
      <w:r>
        <w:rPr>
          <w:rStyle w:val="Funotenanker"/>
        </w:rPr>
        <w:footnoteReference w:customMarkFollows="1" w:id="1575"/>
        <w:t>bs</w:t>
      </w:r>
      <w:r>
        <w:rPr/>
        <w:t xml:space="preserve"> ging er weg auf den Berg, </w:t>
      </w:r>
      <w:r>
        <w:rPr>
          <w:b/>
          <w:color w:val="808080"/>
        </w:rPr>
        <w:t>[</w:t>
      </w:r>
      <w:r>
        <w:rPr/>
        <w:t>um</w:t>
      </w:r>
      <w:r>
        <w:rPr>
          <w:b/>
          <w:color w:val="808080"/>
        </w:rPr>
        <w:t>]</w:t>
      </w:r>
      <w:r>
        <w:rPr/>
        <w:t xml:space="preserve"> zu beten.{{field-off:bible}} </w:t>
        <w:br/>
        <w:t>[[@BibleTOBIBLE:Mk 6:47]]</w:t>
      </w:r>
      <w:r>
        <w:rPr>
          <w:b/>
        </w:rPr>
        <w:t>47</w:t>
      </w:r>
      <w:r>
        <w:rPr/>
        <w:t xml:space="preserve"> {{field-on:bible}}Und als es Abend geworden war, </w:t>
      </w:r>
      <w:r>
        <w:rPr>
          <w:rStyle w:val="Funotenanker"/>
        </w:rPr>
        <w:footnoteReference w:customMarkFollows="1" w:id="1576"/>
        <w:t>bt</w:t>
      </w:r>
      <w:r>
        <w:rPr/>
        <w:t xml:space="preserve"> befand sich </w:t>
      </w:r>
      <w:r>
        <w:rPr>
          <w:color w:val="808080"/>
        </w:rPr>
        <w:t>(war)</w:t>
      </w:r>
      <w:r>
        <w:rPr/>
        <w:t xml:space="preserve"> das Boot mitten auf dem Meer </w:t>
      </w:r>
      <w:r>
        <w:rPr>
          <w:color w:val="808080"/>
        </w:rPr>
        <w:t>(See)</w:t>
      </w:r>
      <w:r>
        <w:rPr/>
        <w:t xml:space="preserve">, und er allein an Land.{{field-off:bible}} </w:t>
        <w:br/>
        <w:t>[[@BibleTOBIBLE:Mk 6:48]]</w:t>
      </w:r>
      <w:r>
        <w:rPr>
          <w:b/>
        </w:rPr>
        <w:t>48</w:t>
      </w:r>
      <w:r>
        <w:rPr/>
        <w:t xml:space="preserve"> {{field-on:bible}}Und weil </w:t>
      </w:r>
      <w:r>
        <w:rPr>
          <w:color w:val="808080"/>
        </w:rPr>
        <w:t>(als)</w:t>
      </w:r>
      <w:r>
        <w:rPr/>
        <w:t xml:space="preserve"> er sah, dass sie sich beim Vorwärtskommen </w:t>
      </w:r>
      <w:r>
        <w:rPr>
          <w:color w:val="808080"/>
        </w:rPr>
        <w:t>(Rudern)</w:t>
      </w:r>
      <w:r>
        <w:rPr/>
        <w:t xml:space="preserve"> quälten, </w:t>
      </w:r>
      <w:r>
        <w:rPr>
          <w:rStyle w:val="Funotenanker"/>
        </w:rPr>
        <w:footnoteReference w:customMarkFollows="1" w:id="1577"/>
        <w:t>bu</w:t>
      </w:r>
      <w:r>
        <w:rPr/>
        <w:t xml:space="preserve"> denn der Wind war </w:t>
      </w:r>
      <w:r>
        <w:rPr>
          <w:strike/>
          <w:color w:val="808080"/>
        </w:rPr>
        <w:t>{ihnen}</w:t>
      </w:r>
      <w:r>
        <w:rPr/>
        <w:t xml:space="preserve"> widrig </w:t>
      </w:r>
      <w:r>
        <w:rPr>
          <w:color w:val="808080"/>
        </w:rPr>
        <w:t>(</w:t>
      </w:r>
      <w:r>
        <w:rPr>
          <w:b/>
          <w:color w:val="808080"/>
        </w:rPr>
        <w:t>[</w:t>
      </w:r>
      <w:r>
        <w:rPr>
          <w:color w:val="808080"/>
        </w:rPr>
        <w:t>wehte</w:t>
      </w:r>
      <w:r>
        <w:rPr>
          <w:b/>
          <w:color w:val="808080"/>
        </w:rPr>
        <w:t>]</w:t>
      </w:r>
      <w:r>
        <w:rPr>
          <w:color w:val="808080"/>
        </w:rPr>
        <w:t xml:space="preserve"> ihnen entgegen)</w:t>
      </w:r>
      <w:r>
        <w:rPr/>
        <w:t xml:space="preserve">, da kam er um die vierte Nachtwache </w:t>
      </w:r>
      <w:r>
        <w:rPr>
          <w:rStyle w:val="Funotenanker"/>
        </w:rPr>
        <w:footnoteReference w:customMarkFollows="1" w:id="1578"/>
        <w:t>bv</w:t>
      </w:r>
      <w:r>
        <w:rPr/>
        <w:t xml:space="preserve"> in ihre Richtung, indem er auf dem Meer lief. </w:t>
      </w:r>
      <w:r>
        <w:rPr>
          <w:rStyle w:val="Funotenanker"/>
        </w:rPr>
        <w:footnoteReference w:customMarkFollows="1" w:id="1579"/>
        <w:t>bw</w:t>
      </w:r>
      <w:r>
        <w:rPr/>
        <w:t xml:space="preserve"> Dabei </w:t>
      </w:r>
      <w:r>
        <w:rPr>
          <w:color w:val="808080"/>
        </w:rPr>
        <w:t>(und)</w:t>
      </w:r>
      <w:r>
        <w:rPr/>
        <w:t xml:space="preserve"> wollte </w:t>
      </w:r>
      <w:r>
        <w:rPr>
          <w:rStyle w:val="Funotenanker"/>
        </w:rPr>
        <w:footnoteReference w:customMarkFollows="1" w:id="1580"/>
        <w:t>bx</w:t>
      </w:r>
      <w:r>
        <w:rPr/>
        <w:t xml:space="preserve"> er an ihnen vorbeigehen.{{field-off:bible}} </w:t>
        <w:br/>
        <w:t>[[@BibleTOBIBLE:Mk 6:49]]</w:t>
      </w:r>
      <w:r>
        <w:rPr>
          <w:b/>
        </w:rPr>
        <w:t>49</w:t>
      </w:r>
      <w:r>
        <w:rPr/>
        <w:t xml:space="preserve"> {{field-on:bible}}Und als sie ihn auf dem Meer </w:t>
      </w:r>
      <w:r>
        <w:rPr>
          <w:color w:val="808080"/>
        </w:rPr>
        <w:t>(See)</w:t>
      </w:r>
      <w:r>
        <w:rPr/>
        <w:t xml:space="preserve"> laufen sahen, </w:t>
      </w:r>
      <w:r>
        <w:rPr>
          <w:rStyle w:val="Funotenanker"/>
        </w:rPr>
        <w:footnoteReference w:customMarkFollows="1" w:id="1581"/>
        <w:t>by</w:t>
      </w:r>
      <w:r>
        <w:rPr/>
        <w:t xml:space="preserve"> meinten sie, dass es ein Gespenst sei, und schrien auf </w:t>
      </w:r>
      <w:r>
        <w:rPr>
          <w:color w:val="808080"/>
        </w:rPr>
        <w:t>(fingen an zu schreien)</w:t>
      </w:r>
      <w:r>
        <w:rPr/>
        <w:t xml:space="preserve"> </w:t>
      </w:r>
      <w:r>
        <w:rPr>
          <w:rStyle w:val="Funotenanker"/>
        </w:rPr>
        <w:footnoteReference w:customMarkFollows="1" w:id="1582"/>
        <w:t>bz</w:t>
      </w:r>
      <w:r>
        <w:rPr/>
        <w:t xml:space="preserve">.{{field-off:bible}} </w:t>
        <w:br/>
        <w:t>[[@BibleTOBIBLE:Mk 6:50]]</w:t>
      </w:r>
      <w:r>
        <w:rPr>
          <w:b/>
        </w:rPr>
        <w:t>50</w:t>
      </w:r>
      <w:r>
        <w:rPr/>
        <w:t xml:space="preserve"> {{field-on:bible}}Denn alle sahen ihn und erschraken </w:t>
      </w:r>
      <w:r>
        <w:rPr>
          <w:rStyle w:val="Funotenanker"/>
        </w:rPr>
        <w:footnoteReference w:customMarkFollows="1" w:id="1583"/>
        <w:t>ca</w:t>
      </w:r>
      <w:r>
        <w:rPr/>
        <w:t xml:space="preserve">. Doch er begann sofort mit ihnen zu reden </w:t>
      </w:r>
      <w:r>
        <w:rPr>
          <w:rStyle w:val="Funotenanker"/>
        </w:rPr>
        <w:footnoteReference w:customMarkFollows="1" w:id="1584"/>
        <w:t>cb</w:t>
      </w:r>
      <w:r>
        <w:rPr/>
        <w:t xml:space="preserve">. </w:t>
      </w:r>
      <w:r>
        <w:rPr>
          <w:strike/>
          <w:color w:val="808080"/>
        </w:rPr>
        <w:t>{und}</w:t>
      </w:r>
      <w:r>
        <w:rPr/>
        <w:t xml:space="preserve"> Er sagte zu ihnen: „Keine Angst! </w:t>
      </w:r>
      <w:r>
        <w:rPr>
          <w:color w:val="808080"/>
        </w:rPr>
        <w:t>(Beruhigt euch!, Habt Vertrauen!)</w:t>
      </w:r>
      <w:r>
        <w:rPr/>
        <w:t xml:space="preserve"> </w:t>
      </w:r>
      <w:r>
        <w:rPr>
          <w:rStyle w:val="Funotenanker"/>
        </w:rPr>
        <w:footnoteReference w:customMarkFollows="1" w:id="1585"/>
        <w:t>cc</w:t>
      </w:r>
      <w:r>
        <w:rPr/>
        <w:t xml:space="preserve"> Ich bin </w:t>
      </w:r>
      <w:r>
        <w:rPr>
          <w:b/>
          <w:color w:val="808080"/>
        </w:rPr>
        <w:t>[</w:t>
      </w:r>
      <w:r>
        <w:rPr/>
        <w:t>es</w:t>
      </w:r>
      <w:r>
        <w:rPr>
          <w:b/>
          <w:color w:val="808080"/>
        </w:rPr>
        <w:t>]</w:t>
      </w:r>
      <w:r>
        <w:rPr/>
        <w:t xml:space="preserve">, fürchtet euch nicht!“{{field-off:bible}} </w:t>
        <w:br/>
        <w:t>[[@BibleTOBIBLE:Mk 6:51]]</w:t>
      </w:r>
      <w:r>
        <w:rPr>
          <w:b/>
        </w:rPr>
        <w:t>51</w:t>
      </w:r>
      <w:r>
        <w:rPr/>
        <w:t xml:space="preserve"> {{field-on:bible}}Und er stieg zu ihnen ins Boot, und der Wind legte sich/flaute ab. Da </w:t>
      </w:r>
      <w:r>
        <w:rPr>
          <w:color w:val="808080"/>
        </w:rPr>
        <w:t>(Und)</w:t>
      </w:r>
      <w:r>
        <w:rPr/>
        <w:t xml:space="preserve"> innerlich selbst waren sie ganz </w:t>
      </w:r>
      <w:r>
        <w:rPr>
          <w:color w:val="808080"/>
        </w:rPr>
        <w:t>(ganz außerordentlich)</w:t>
      </w:r>
      <w:r>
        <w:rPr/>
        <w:t xml:space="preserve"> fassungslos </w:t>
      </w:r>
      <w:r>
        <w:rPr>
          <w:color w:val="808080"/>
        </w:rPr>
        <w:t>(überwältigt, entgeistert, erschüttert, außer sich)</w:t>
      </w:r>
      <w:r>
        <w:rPr/>
        <w:t xml:space="preserve"> </w:t>
      </w:r>
      <w:r>
        <w:rPr>
          <w:rStyle w:val="Funotenanker"/>
        </w:rPr>
        <w:footnoteReference w:customMarkFollows="1" w:id="1586"/>
        <w:t>cd</w:t>
      </w:r>
      <w:r>
        <w:rPr/>
        <w:t xml:space="preserve">.{{field-off:bible}} </w:t>
        <w:br/>
        <w:t>[[@BibleTOBIBLE:Mk 6:52]]</w:t>
      </w:r>
      <w:r>
        <w:rPr>
          <w:b/>
        </w:rPr>
        <w:t>52</w:t>
      </w:r>
      <w:r>
        <w:rPr/>
        <w:t xml:space="preserve"> {{field-on:bible}}Sie verstanden </w:t>
      </w:r>
      <w:r>
        <w:rPr>
          <w:color w:val="808080"/>
        </w:rPr>
        <w:t>(hatten verstanden)</w:t>
      </w:r>
      <w:r>
        <w:rPr/>
        <w:t xml:space="preserve"> nämlich nicht, was es mit den Broten auf sich hatte </w:t>
      </w:r>
      <w:r>
        <w:rPr>
          <w:rStyle w:val="Funotenanker"/>
        </w:rPr>
        <w:footnoteReference w:customMarkFollows="1" w:id="1587"/>
        <w:t>ce</w:t>
      </w:r>
      <w:r>
        <w:rPr/>
        <w:t xml:space="preserve">, sondern ihr Herz war verstockt </w:t>
      </w:r>
      <w:r>
        <w:rPr>
          <w:color w:val="808080"/>
        </w:rPr>
        <w:t>(verhärtet)</w:t>
      </w:r>
      <w:r>
        <w:rPr/>
        <w:t xml:space="preserve"> </w:t>
      </w:r>
      <w:r>
        <w:rPr>
          <w:rStyle w:val="Funotenanker"/>
        </w:rPr>
        <w:footnoteReference w:customMarkFollows="1" w:id="1588"/>
        <w:t>cf</w:t>
      </w:r>
      <w:r>
        <w:rPr/>
        <w:t xml:space="preserve">.{{field-off:bible}} </w:t>
        <w:br/>
        <w:t>[[@BibleTOBIBLE:Mk 6:53]]</w:t>
      </w:r>
      <w:r>
        <w:rPr>
          <w:b/>
        </w:rPr>
        <w:t>53</w:t>
      </w:r>
      <w:r>
        <w:rPr/>
        <w:t xml:space="preserve"> {{field-on:bible}}Und nachdem sie übergesetzt hatten, </w:t>
      </w:r>
      <w:r>
        <w:rPr>
          <w:rStyle w:val="Funotenanker"/>
        </w:rPr>
        <w:footnoteReference w:customMarkFollows="1" w:id="1589"/>
        <w:t>cg</w:t>
      </w:r>
      <w:r>
        <w:rPr/>
        <w:t xml:space="preserve"> gingen sie in Gennesaret an Land und landeten </w:t>
      </w:r>
      <w:r>
        <w:rPr>
          <w:color w:val="808080"/>
        </w:rPr>
        <w:t xml:space="preserve">(legten an, ankerten, liefen in den Hafen, zogen </w:t>
      </w:r>
      <w:r>
        <w:rPr>
          <w:b/>
          <w:color w:val="808080"/>
        </w:rPr>
        <w:t>[</w:t>
      </w:r>
      <w:r>
        <w:rPr>
          <w:color w:val="808080"/>
        </w:rPr>
        <w:t>das Boot</w:t>
      </w:r>
      <w:r>
        <w:rPr>
          <w:b/>
          <w:color w:val="808080"/>
        </w:rPr>
        <w:t>]</w:t>
      </w:r>
      <w:r>
        <w:rPr>
          <w:color w:val="808080"/>
        </w:rPr>
        <w:t xml:space="preserve"> an Land)</w:t>
      </w:r>
      <w:r>
        <w:rPr/>
        <w:t xml:space="preserve"> </w:t>
      </w:r>
      <w:r>
        <w:rPr>
          <w:rStyle w:val="Funotenanker"/>
        </w:rPr>
        <w:footnoteReference w:customMarkFollows="1" w:id="1590"/>
        <w:t>ch</w:t>
      </w:r>
      <w:r>
        <w:rPr/>
        <w:t xml:space="preserve">.{{field-off:bible}} </w:t>
        <w:br/>
        <w:t>[[@BibleTOBIBLE:Mk 6:54]]</w:t>
      </w:r>
      <w:r>
        <w:rPr>
          <w:b/>
        </w:rPr>
        <w:t>54</w:t>
      </w:r>
      <w:r>
        <w:rPr/>
        <w:t xml:space="preserve"> {{field-on:bible}}Und als sie aus dem Boot stiegen, erkannten </w:t>
      </w:r>
      <w:r>
        <w:rPr>
          <w:b/>
          <w:color w:val="808080"/>
        </w:rPr>
        <w:t>[</w:t>
      </w:r>
      <w:r>
        <w:rPr/>
        <w:t>die Leute</w:t>
      </w:r>
      <w:r>
        <w:rPr>
          <w:b/>
          <w:color w:val="808080"/>
        </w:rPr>
        <w:t>]</w:t>
      </w:r>
      <w:r>
        <w:rPr/>
        <w:t xml:space="preserve"> ihn sofort und </w:t>
      </w:r>
      <w:r>
        <w:rPr>
          <w:rStyle w:val="Funotenanker"/>
        </w:rPr>
        <w:footnoteReference w:customMarkFollows="1" w:id="1591"/>
        <w:t>ci</w:t>
      </w:r>
      <w:r>
        <w:rPr/>
        <w:t xml:space="preserve"> {{field-off:bible}} </w:t>
        <w:br/>
        <w:t>[[@BibleTOBIBLE:Mk 6:55]]</w:t>
      </w:r>
      <w:r>
        <w:rPr>
          <w:b/>
        </w:rPr>
        <w:t>55</w:t>
      </w:r>
      <w:r>
        <w:rPr/>
        <w:t xml:space="preserve"> {{field-on:bible}}eilten </w:t>
      </w:r>
      <w:r>
        <w:rPr>
          <w:color w:val="808080"/>
        </w:rPr>
        <w:t>(liefen)</w:t>
      </w:r>
      <w:r>
        <w:rPr/>
        <w:t xml:space="preserve"> durch die </w:t>
      </w:r>
      <w:r>
        <w:rPr>
          <w:rStyle w:val="Funotenanker"/>
        </w:rPr>
        <w:footnoteReference w:customMarkFollows="1" w:id="1592"/>
        <w:t>cj</w:t>
      </w:r>
      <w:r>
        <w:rPr/>
        <w:t xml:space="preserve"> gesamte Gegend, und sie trugen </w:t>
      </w:r>
      <w:r>
        <w:rPr>
          <w:color w:val="808080"/>
        </w:rPr>
        <w:t>(fingen an zu tragen)</w:t>
      </w:r>
      <w:r>
        <w:rPr/>
        <w:t xml:space="preserve"> </w:t>
      </w:r>
      <w:r>
        <w:rPr>
          <w:rStyle w:val="Funotenanker"/>
        </w:rPr>
        <w:footnoteReference w:customMarkFollows="1" w:id="1593"/>
        <w:t>ck</w:t>
      </w:r>
      <w:r>
        <w:rPr/>
        <w:t xml:space="preserve"> diejenigen, denen es schlecht ging </w:t>
      </w:r>
      <w:r>
        <w:rPr>
          <w:color w:val="808080"/>
        </w:rPr>
        <w:t>(die Kranken)</w:t>
      </w:r>
      <w:r>
        <w:rPr/>
        <w:t xml:space="preserve"> </w:t>
      </w:r>
      <w:r>
        <w:rPr>
          <w:rStyle w:val="Funotenanker"/>
        </w:rPr>
        <w:footnoteReference w:customMarkFollows="1" w:id="1594"/>
        <w:t>cl</w:t>
      </w:r>
      <w:r>
        <w:rPr/>
        <w:t xml:space="preserve"> auf </w:t>
      </w:r>
      <w:r>
        <w:rPr>
          <w:b/>
          <w:color w:val="808080"/>
        </w:rPr>
        <w:t>[</w:t>
      </w:r>
      <w:r>
        <w:rPr/>
        <w:t>ihren</w:t>
      </w:r>
      <w:r>
        <w:rPr>
          <w:b/>
          <w:color w:val="808080"/>
        </w:rPr>
        <w:t>]</w:t>
      </w:r>
      <w:r>
        <w:rPr/>
        <w:t xml:space="preserve"> Matten </w:t>
      </w:r>
      <w:r>
        <w:rPr>
          <w:b/>
          <w:color w:val="808080"/>
        </w:rPr>
        <w:t>[</w:t>
      </w:r>
      <w:r>
        <w:rPr/>
        <w:t>immer</w:t>
      </w:r>
      <w:r>
        <w:rPr>
          <w:b/>
          <w:color w:val="808080"/>
        </w:rPr>
        <w:t>]</w:t>
      </w:r>
      <w:r>
        <w:rPr/>
        <w:t xml:space="preserve"> dorthin, wo sie hörten, dass er war.{{field-off:bible}} </w:t>
        <w:br/>
        <w:t>[[@BibleTOBIBLE:Mk 6:56]]</w:t>
      </w:r>
      <w:r>
        <w:rPr>
          <w:b/>
        </w:rPr>
        <w:t>56</w:t>
      </w:r>
      <w:r>
        <w:rPr/>
        <w:t xml:space="preserve"> {{field-on:bible}}Und wo er auch hinging, in Dörfer, </w:t>
      </w:r>
      <w:r>
        <w:rPr>
          <w:strike/>
          <w:color w:val="808080"/>
        </w:rPr>
        <w:t>{oder}</w:t>
      </w:r>
      <w:r>
        <w:rPr/>
        <w:t xml:space="preserve"> in Städte oder in Bauernhöfe , legten sie die Kranken auf die Marktplätze und baten ihn darum, </w:t>
      </w:r>
      <w:r>
        <w:rPr>
          <w:strike/>
          <w:color w:val="808080"/>
        </w:rPr>
        <w:t>{dass}</w:t>
      </w:r>
      <w:r>
        <w:rPr/>
        <w:t xml:space="preserve"> auch nur die Quaste </w:t>
      </w:r>
      <w:r>
        <w:rPr>
          <w:color w:val="808080"/>
        </w:rPr>
        <w:t>(den Saum)</w:t>
      </w:r>
      <w:r>
        <w:rPr/>
        <w:t xml:space="preserve"> </w:t>
      </w:r>
      <w:r>
        <w:rPr>
          <w:rStyle w:val="Funotenanker"/>
        </w:rPr>
        <w:footnoteReference w:customMarkFollows="1" w:id="1595"/>
        <w:t>cm</w:t>
      </w:r>
      <w:r>
        <w:rPr/>
        <w:t xml:space="preserve"> seines Gewandes berühren </w:t>
      </w:r>
      <w:r>
        <w:rPr>
          <w:b/>
          <w:color w:val="808080"/>
        </w:rPr>
        <w:t>[</w:t>
      </w:r>
      <w:r>
        <w:rPr/>
        <w:t>zu dürfen</w:t>
      </w:r>
      <w:r>
        <w:rPr>
          <w:b/>
          <w:color w:val="808080"/>
        </w:rPr>
        <w:t>]</w:t>
      </w:r>
      <w:r>
        <w:rPr/>
        <w:t xml:space="preserve">. Und alle, die ihn berührten, wurden geheilt.{{field-off:bible}} </w:t>
      </w:r>
    </w:p>
    <w:p>
      <w:pPr>
        <w:pStyle w:val="Berschrift3"/>
        <w:rPr/>
      </w:pPr>
      <w:r>
        <w:rPr/>
        <w:t>[[@BibleTOBIBLE:Mk 7]]Kapitel 7</w:t>
      </w:r>
    </w:p>
    <w:p>
      <w:pPr>
        <w:pStyle w:val="Textkrper"/>
        <w:rPr/>
      </w:pPr>
      <w:r>
        <w:rPr/>
        <w:br/>
        <w:t>[[@BibleTOBIBLE:Mk 7:1]]</w:t>
      </w:r>
      <w:r>
        <w:rPr>
          <w:b/>
        </w:rPr>
        <w:t>1</w:t>
      </w:r>
      <w:r>
        <w:rPr/>
        <w:t xml:space="preserve"> {{field-on:bible}} </w:t>
      </w:r>
      <w:r>
        <w:rPr>
          <w:rStyle w:val="Funotenanker"/>
        </w:rPr>
        <w:footnoteReference w:customMarkFollows="1" w:id="1596"/>
        <w:t>Status</w:t>
      </w:r>
      <w:r>
        <w:rPr/>
        <w:t xml:space="preserve"> Und die Pharisäer und einige der Schriftgelehrten </w:t>
      </w:r>
      <w:r>
        <w:rPr>
          <w:color w:val="808080"/>
        </w:rPr>
        <w:t>(Schreiber)</w:t>
      </w:r>
      <w:r>
        <w:rPr/>
        <w:t xml:space="preserve">, die aus Jerusalem gekommen waren, </w:t>
      </w:r>
      <w:r>
        <w:rPr>
          <w:rStyle w:val="Funotenanker"/>
        </w:rPr>
        <w:footnoteReference w:customMarkFollows="1" w:id="1597"/>
        <w:t>a</w:t>
      </w:r>
      <w:r>
        <w:rPr/>
        <w:t xml:space="preserve"> versammelten sich bei ihm.{{field-off:bible}} </w:t>
        <w:br/>
        <w:t>[[@BibleTOBIBLE:Mk 7:2]]</w:t>
      </w:r>
      <w:r>
        <w:rPr>
          <w:b/>
        </w:rPr>
        <w:t>2</w:t>
      </w:r>
      <w:r>
        <w:rPr/>
        <w:t xml:space="preserve"> {{field-on:bible}}Und weil </w:t>
      </w:r>
      <w:r>
        <w:rPr>
          <w:color w:val="808080"/>
        </w:rPr>
        <w:t>(als)</w:t>
      </w:r>
      <w:r>
        <w:rPr/>
        <w:t xml:space="preserve"> sie gesehen hatten </w:t>
      </w:r>
      <w:r>
        <w:rPr>
          <w:color w:val="808080"/>
        </w:rPr>
        <w:t>(sahen)</w:t>
      </w:r>
      <w:r>
        <w:rPr/>
        <w:t xml:space="preserve">, </w:t>
      </w:r>
      <w:r>
        <w:rPr>
          <w:rStyle w:val="Funotenanker"/>
        </w:rPr>
        <w:footnoteReference w:customMarkFollows="1" w:id="1598"/>
        <w:t>b</w:t>
      </w:r>
      <w:r>
        <w:rPr/>
        <w:t xml:space="preserve"> dass manche von seinen Jüngern </w:t>
      </w:r>
      <w:r>
        <w:rPr>
          <w:b/>
          <w:color w:val="808080"/>
        </w:rPr>
        <w:t>[</w:t>
      </w:r>
      <w:r>
        <w:rPr/>
        <w:t>mit</w:t>
      </w:r>
      <w:r>
        <w:rPr>
          <w:b/>
          <w:color w:val="808080"/>
        </w:rPr>
        <w:t>]</w:t>
      </w:r>
      <w:r>
        <w:rPr/>
        <w:t xml:space="preserve"> unreinen, das heißt: </w:t>
      </w:r>
      <w:r>
        <w:rPr>
          <w:b/>
          <w:color w:val="808080"/>
        </w:rPr>
        <w:t>[</w:t>
      </w:r>
      <w:r>
        <w:rPr/>
        <w:t>mit</w:t>
      </w:r>
      <w:r>
        <w:rPr>
          <w:b/>
          <w:color w:val="808080"/>
        </w:rPr>
        <w:t>]</w:t>
      </w:r>
      <w:r>
        <w:rPr/>
        <w:t xml:space="preserve"> ungewaschenen Händen </w:t>
      </w:r>
      <w:r>
        <w:rPr>
          <w:rStyle w:val="Funotenanker"/>
        </w:rPr>
        <w:footnoteReference w:customMarkFollows="1" w:id="1599"/>
        <w:t>c</w:t>
      </w:r>
      <w:r>
        <w:rPr/>
        <w:t xml:space="preserve"> die Brote </w:t>
      </w:r>
      <w:r>
        <w:rPr>
          <w:color w:val="808080"/>
        </w:rPr>
        <w:t>(ihr Essen)</w:t>
      </w:r>
      <w:r>
        <w:rPr/>
        <w:t xml:space="preserve"> aßen </w:t>
      </w:r>
      <w:r>
        <w:rPr>
          <w:rStyle w:val="Funotenanker"/>
        </w:rPr>
        <w:footnoteReference w:customMarkFollows="1" w:id="1600"/>
        <w:t>d</w:t>
      </w:r>
      <w:r>
        <w:rPr/>
        <w:t xml:space="preserve"> – </w:t>
      </w:r>
      <w:r>
        <w:rPr>
          <w:rStyle w:val="Funotenanker"/>
        </w:rPr>
        <w:footnoteReference w:customMarkFollows="1" w:id="1601"/>
        <w:t>e</w:t>
      </w:r>
      <w:r>
        <w:rPr/>
        <w:t xml:space="preserve"> {{field-off:bible}} </w:t>
        <w:br/>
        <w:t>[[@BibleTOBIBLE:Mk 7:3]]</w:t>
      </w:r>
      <w:r>
        <w:rPr>
          <w:b/>
        </w:rPr>
        <w:t>3</w:t>
      </w:r>
      <w:r>
        <w:rPr/>
        <w:t xml:space="preserve"> {{field-on:bible}}die Pharisäer und die Juden überhaupt </w:t>
      </w:r>
      <w:r>
        <w:rPr>
          <w:color w:val="808080"/>
        </w:rPr>
        <w:t>(alle)</w:t>
      </w:r>
      <w:r>
        <w:rPr/>
        <w:t xml:space="preserve"> essen nämlich nicht, wenn sie sich nicht sorgfältig </w:t>
      </w:r>
      <w:r>
        <w:rPr>
          <w:color w:val="808080"/>
        </w:rPr>
        <w:t>(mit einer Handvoll Wasser, in der vorgeschriebenen Weise; mit der Faust)</w:t>
      </w:r>
      <w:r>
        <w:rPr/>
        <w:t xml:space="preserve"> </w:t>
      </w:r>
      <w:r>
        <w:rPr>
          <w:rStyle w:val="Funotenanker"/>
        </w:rPr>
        <w:footnoteReference w:customMarkFollows="1" w:id="1602"/>
        <w:t>f</w:t>
      </w:r>
      <w:r>
        <w:rPr/>
        <w:t xml:space="preserve"> die Hände gewaschen haben, um </w:t>
      </w:r>
      <w:r>
        <w:rPr>
          <w:color w:val="808080"/>
        </w:rPr>
        <w:t>(Damit, weil)</w:t>
      </w:r>
      <w:r>
        <w:rPr/>
        <w:t xml:space="preserve"> an der Überlieferung der Ältesten </w:t>
      </w:r>
      <w:r>
        <w:rPr>
          <w:color w:val="808080"/>
        </w:rPr>
        <w:t>(Vorfahren)</w:t>
      </w:r>
      <w:r>
        <w:rPr/>
        <w:t xml:space="preserve"> </w:t>
      </w:r>
      <w:r>
        <w:rPr>
          <w:rStyle w:val="Funotenanker"/>
        </w:rPr>
        <w:footnoteReference w:customMarkFollows="1" w:id="1603"/>
        <w:t>g</w:t>
      </w:r>
      <w:r>
        <w:rPr/>
        <w:t xml:space="preserve"> festzuhalten, </w:t>
      </w:r>
      <w:r>
        <w:rPr>
          <w:rStyle w:val="Funotenanker"/>
        </w:rPr>
        <w:footnoteReference w:customMarkFollows="1" w:id="1604"/>
        <w:t>h</w:t>
      </w:r>
      <w:r>
        <w:rPr/>
        <w:t xml:space="preserve"> {{field-off:bible}} </w:t>
        <w:br/>
        <w:t>[[@BibleTOBIBLE:Mk 7:4]]</w:t>
      </w:r>
      <w:r>
        <w:rPr>
          <w:b/>
        </w:rPr>
        <w:t>4</w:t>
      </w:r>
      <w:r>
        <w:rPr/>
        <w:t xml:space="preserve"> {{field-on:bible}}und </w:t>
      </w:r>
      <w:r>
        <w:rPr>
          <w:b/>
          <w:color w:val="808080"/>
        </w:rPr>
        <w:t>[</w:t>
      </w:r>
      <w:r>
        <w:rPr/>
        <w:t>nach der Rückkehr</w:t>
      </w:r>
      <w:r>
        <w:rPr>
          <w:b/>
          <w:color w:val="808080"/>
        </w:rPr>
        <w:t>]</w:t>
      </w:r>
      <w:r>
        <w:rPr/>
        <w:t xml:space="preserve"> vom Markt </w:t>
      </w:r>
      <w:r>
        <w:rPr>
          <w:rStyle w:val="Funotenanker"/>
        </w:rPr>
        <w:footnoteReference w:customMarkFollows="1" w:id="1605"/>
        <w:t>i</w:t>
      </w:r>
      <w:r>
        <w:rPr/>
        <w:t xml:space="preserve"> essen sie nicht, bis </w:t>
      </w:r>
      <w:r>
        <w:rPr>
          <w:color w:val="808080"/>
        </w:rPr>
        <w:t>(wenn)</w:t>
      </w:r>
      <w:r>
        <w:rPr/>
        <w:t xml:space="preserve"> sie nicht gebadet </w:t>
      </w:r>
      <w:r>
        <w:rPr>
          <w:color w:val="808080"/>
        </w:rPr>
        <w:t>(einer Reinigung unterzogen, gewaschen)</w:t>
      </w:r>
      <w:r>
        <w:rPr/>
        <w:t xml:space="preserve"> haben; und es gibt viele andere </w:t>
      </w:r>
      <w:r>
        <w:rPr>
          <w:b/>
          <w:color w:val="808080"/>
        </w:rPr>
        <w:t>[</w:t>
      </w:r>
      <w:r>
        <w:rPr/>
        <w:t>Regeln</w:t>
      </w:r>
      <w:r>
        <w:rPr>
          <w:b/>
          <w:color w:val="808080"/>
        </w:rPr>
        <w:t>]</w:t>
      </w:r>
      <w:r>
        <w:rPr/>
        <w:t xml:space="preserve">, die sie zu halten übernommen haben, </w:t>
      </w:r>
      <w:r>
        <w:rPr>
          <w:b/>
          <w:color w:val="808080"/>
        </w:rPr>
        <w:t>[</w:t>
      </w:r>
      <w:r>
        <w:rPr/>
        <w:t>zum Beispiel</w:t>
      </w:r>
      <w:r>
        <w:rPr>
          <w:b/>
          <w:color w:val="808080"/>
        </w:rPr>
        <w:t>]</w:t>
      </w:r>
      <w:r>
        <w:rPr/>
        <w:t xml:space="preserve"> das Abspülen von Bechern, </w:t>
      </w:r>
      <w:r>
        <w:rPr>
          <w:strike/>
          <w:color w:val="808080"/>
        </w:rPr>
        <w:t>{und}</w:t>
      </w:r>
      <w:r>
        <w:rPr/>
        <w:t xml:space="preserve"> Krügen und Kupfergefäßen und Sitzpolstern </w:t>
      </w:r>
      <w:r>
        <w:rPr>
          <w:color w:val="808080"/>
        </w:rPr>
        <w:t>(Betten)</w:t>
      </w:r>
      <w:r>
        <w:rPr/>
        <w:t xml:space="preserve"> </w:t>
      </w:r>
      <w:r>
        <w:rPr>
          <w:rStyle w:val="Funotenanker"/>
        </w:rPr>
        <w:footnoteReference w:customMarkFollows="1" w:id="1606"/>
        <w:t>j</w:t>
      </w:r>
      <w:r>
        <w:rPr/>
        <w:t xml:space="preserve"> –{{field-off:bible}} </w:t>
        <w:br/>
        <w:t>[[@BibleTOBIBLE:Mk 7:5]]</w:t>
      </w:r>
      <w:r>
        <w:rPr>
          <w:b/>
        </w:rPr>
        <w:t>5</w:t>
      </w:r>
      <w:r>
        <w:rPr/>
        <w:t xml:space="preserve"> {{field-on:bible}}da </w:t>
      </w:r>
      <w:r>
        <w:rPr>
          <w:color w:val="808080"/>
        </w:rPr>
        <w:t>(und)</w:t>
      </w:r>
      <w:r>
        <w:rPr/>
        <w:t xml:space="preserve"> </w:t>
      </w:r>
      <w:r>
        <w:rPr>
          <w:rStyle w:val="Funotenanker"/>
        </w:rPr>
        <w:footnoteReference w:customMarkFollows="1" w:id="1607"/>
        <w:t>k</w:t>
      </w:r>
      <w:r>
        <w:rPr/>
        <w:t xml:space="preserve"> erkundigten </w:t>
      </w:r>
      <w:r>
        <w:rPr>
          <w:color w:val="808080"/>
        </w:rPr>
        <w:t>(fragten)</w:t>
      </w:r>
      <w:r>
        <w:rPr/>
        <w:t xml:space="preserve"> die Pharisäer und die Schriftgelehrten sich bei ihm: „Weshalb leben </w:t>
      </w:r>
      <w:r>
        <w:rPr>
          <w:color w:val="808080"/>
        </w:rPr>
        <w:t>(folgen)</w:t>
      </w:r>
      <w:r>
        <w:rPr/>
        <w:t xml:space="preserve"> deine Jünger nicht nach der Überlieferung der Ältesten, sondern essen das Brot </w:t>
      </w:r>
      <w:r>
        <w:rPr>
          <w:color w:val="808080"/>
        </w:rPr>
        <w:t>(Essen)</w:t>
      </w:r>
      <w:r>
        <w:rPr/>
        <w:t xml:space="preserve"> </w:t>
      </w:r>
      <w:r>
        <w:rPr>
          <w:b/>
          <w:color w:val="808080"/>
        </w:rPr>
        <w:t>[</w:t>
      </w:r>
      <w:r>
        <w:rPr/>
        <w:t>mit</w:t>
      </w:r>
      <w:r>
        <w:rPr>
          <w:b/>
          <w:color w:val="808080"/>
        </w:rPr>
        <w:t>]</w:t>
      </w:r>
      <w:r>
        <w:rPr/>
        <w:t xml:space="preserve"> unreinen Händen </w:t>
      </w:r>
      <w:r>
        <w:rPr>
          <w:rStyle w:val="Funotenanker"/>
        </w:rPr>
        <w:footnoteReference w:customMarkFollows="1" w:id="1608"/>
        <w:t>l</w:t>
      </w:r>
      <w:r>
        <w:rPr/>
        <w:t xml:space="preserve">?“{{field-off:bible}} </w:t>
        <w:br/>
        <w:t>[[@BibleTOBIBLE:Mk 7:6]]</w:t>
      </w:r>
      <w:r>
        <w:rPr>
          <w:b/>
        </w:rPr>
        <w:t>6</w:t>
      </w:r>
      <w:r>
        <w:rPr/>
        <w:t xml:space="preserve"> {{field-on:bible}}Aber er sagte zu ihnen: „Richtig </w:t>
      </w:r>
      <w:r>
        <w:rPr>
          <w:color w:val="808080"/>
        </w:rPr>
        <w:t>(Treffend, Zurecht)</w:t>
      </w:r>
      <w:r>
        <w:rPr/>
        <w:t xml:space="preserve"> hat Jesaja über euch Heuchler </w:t>
      </w:r>
      <w:r>
        <w:rPr>
          <w:color w:val="808080"/>
        </w:rPr>
        <w:t>(Scheinheilige)</w:t>
      </w:r>
      <w:r>
        <w:rPr/>
        <w:t xml:space="preserve"> geweissagt, wie geschrieben steht: </w:t>
        <w:br/>
        <w:t xml:space="preserve">»Dieses Volk ehrt mich </w:t>
      </w:r>
      <w:r>
        <w:rPr>
          <w:b/>
          <w:color w:val="808080"/>
        </w:rPr>
        <w:t>[</w:t>
      </w:r>
      <w:r>
        <w:rPr/>
        <w:t>mit</w:t>
      </w:r>
      <w:r>
        <w:rPr>
          <w:b/>
          <w:color w:val="808080"/>
        </w:rPr>
        <w:t>]</w:t>
      </w:r>
      <w:r>
        <w:rPr/>
        <w:t xml:space="preserve"> den Lippen,</w:t>
      </w:r>
      <w:r>
        <w:rPr>
          <w:rStyle w:val="Funotenanker"/>
        </w:rPr>
        <w:footnoteReference w:customMarkFollows="1" w:id="1609"/>
        <w:t>m</w:t>
      </w:r>
      <w:r>
        <w:rPr/>
        <w:t xml:space="preserve"> </w:t>
        <w:br/>
        <w:t>aber ihr Herz ist weit von mir entfernt.</w:t>
        <w:br/>
        <w:t xml:space="preserve">{{field-off:bible}} </w:t>
        <w:br/>
        <w:t>[[@BibleTOBIBLE:Mk 7:7]]</w:t>
      </w:r>
      <w:r>
        <w:rPr>
          <w:b/>
        </w:rPr>
        <w:t>7</w:t>
      </w:r>
      <w:r>
        <w:rPr/>
        <w:t xml:space="preserve"> {{field-on:bible}} </w:t>
        <w:br/>
        <w:t xml:space="preserve">Und sie beten </w:t>
      </w:r>
      <w:r>
        <w:rPr>
          <w:color w:val="808080"/>
        </w:rPr>
        <w:t>(verehren)</w:t>
      </w:r>
      <w:r>
        <w:rPr/>
        <w:t xml:space="preserve"> mich vergeblich an,</w:t>
        <w:br/>
        <w:t xml:space="preserve">weil sie </w:t>
      </w:r>
      <w:r>
        <w:rPr>
          <w:b/>
          <w:color w:val="808080"/>
        </w:rPr>
        <w:t>[</w:t>
      </w:r>
      <w:r>
        <w:rPr/>
        <w:t>als verbindliche</w:t>
      </w:r>
      <w:r>
        <w:rPr>
          <w:b/>
          <w:color w:val="808080"/>
        </w:rPr>
        <w:t>]</w:t>
      </w:r>
      <w:r>
        <w:rPr/>
        <w:t xml:space="preserve"> Lehren Gebote von Menschen lehren</w:t>
      </w:r>
      <w:r>
        <w:rPr>
          <w:rStyle w:val="Funotenanker"/>
        </w:rPr>
        <w:footnoteReference w:customMarkFollows="1" w:id="1610"/>
        <w:t>n</w:t>
      </w:r>
      <w:r>
        <w:rPr/>
        <w:t>.«</w:t>
      </w:r>
      <w:r>
        <w:rPr>
          <w:position w:val="8"/>
          <w:sz w:val="19"/>
        </w:rPr>
        <w:t>[[ ℘ &gt;&gt; BibleTOBIBLE:Is 29:13]][[ ℘ &gt;&gt; BibleTOBIBLE:Col 2:22]]</w:t>
      </w:r>
      <w:r>
        <w:rPr/>
        <w:t xml:space="preserve"> </w:t>
        <w:br/>
        <w:t xml:space="preserve">{{field-off:bible}} </w:t>
        <w:br/>
        <w:t>[[@BibleTOBIBLE:Mk 7:8]]</w:t>
      </w:r>
      <w:r>
        <w:rPr>
          <w:b/>
        </w:rPr>
        <w:t>8</w:t>
      </w:r>
      <w:r>
        <w:rPr/>
        <w:t xml:space="preserve"> {{field-on:bible}}Während ihr Gottes Willen </w:t>
      </w:r>
      <w:r>
        <w:rPr>
          <w:color w:val="808080"/>
        </w:rPr>
        <w:t>(Gesetz, Gebot)</w:t>
      </w:r>
      <w:r>
        <w:rPr/>
        <w:t xml:space="preserve"> </w:t>
      </w:r>
      <w:r>
        <w:rPr>
          <w:rStyle w:val="Funotenanker"/>
        </w:rPr>
        <w:footnoteReference w:customMarkFollows="1" w:id="1611"/>
        <w:t>o</w:t>
      </w:r>
      <w:r>
        <w:rPr/>
        <w:t xml:space="preserve"> außer Acht lasst, </w:t>
      </w:r>
      <w:r>
        <w:rPr>
          <w:rStyle w:val="Funotenanker"/>
        </w:rPr>
        <w:footnoteReference w:customMarkFollows="1" w:id="1612"/>
        <w:t>p</w:t>
      </w:r>
      <w:r>
        <w:rPr/>
        <w:t xml:space="preserve"> haltet ihr euch </w:t>
      </w:r>
      <w:r>
        <w:rPr>
          <w:b/>
          <w:color w:val="808080"/>
        </w:rPr>
        <w:t>[</w:t>
      </w:r>
      <w:r>
        <w:rPr/>
        <w:t xml:space="preserve">stattdessen </w:t>
      </w:r>
      <w:r>
        <w:rPr>
          <w:color w:val="808080"/>
        </w:rPr>
        <w:t>(gleichzeitig)</w:t>
      </w:r>
      <w:r>
        <w:rPr>
          <w:b/>
          <w:color w:val="808080"/>
        </w:rPr>
        <w:t>]</w:t>
      </w:r>
      <w:r>
        <w:rPr/>
        <w:t xml:space="preserve"> an die Überlieferung der Menschen!“{{field-off:bible}} </w:t>
        <w:br/>
        <w:t>[[@BibleTOBIBLE:Mk 7:9]]</w:t>
      </w:r>
      <w:r>
        <w:rPr>
          <w:b/>
        </w:rPr>
        <w:t>9</w:t>
      </w:r>
      <w:r>
        <w:rPr/>
        <w:t xml:space="preserve"> {{field-on:bible}}Und er fuhr fort </w:t>
      </w:r>
      <w:r>
        <w:rPr>
          <w:color w:val="808080"/>
        </w:rPr>
        <w:t>(sagte)</w:t>
      </w:r>
      <w:r>
        <w:rPr/>
        <w:t xml:space="preserve"> </w:t>
      </w:r>
      <w:r>
        <w:rPr>
          <w:rStyle w:val="Funotenanker"/>
        </w:rPr>
        <w:footnoteReference w:customMarkFollows="1" w:id="1613"/>
        <w:t>q</w:t>
      </w:r>
      <w:r>
        <w:rPr/>
        <w:t xml:space="preserve"> </w:t>
      </w:r>
      <w:r>
        <w:rPr>
          <w:strike/>
          <w:color w:val="808080"/>
        </w:rPr>
        <w:t>{zu ihnen}</w:t>
      </w:r>
      <w:r>
        <w:rPr/>
        <w:t xml:space="preserve">: „Geschickt </w:t>
      </w:r>
      <w:r>
        <w:rPr>
          <w:color w:val="808080"/>
        </w:rPr>
        <w:t>(meisterhaft, trefflich)</w:t>
      </w:r>
      <w:r>
        <w:rPr/>
        <w:t xml:space="preserve"> setzt </w:t>
      </w:r>
      <w:r>
        <w:rPr>
          <w:color w:val="808080"/>
        </w:rPr>
        <w:t>(hebt auf)</w:t>
      </w:r>
      <w:r>
        <w:rPr/>
        <w:t xml:space="preserve"> ihr Gottes Gebot </w:t>
      </w:r>
      <w:r>
        <w:rPr>
          <w:color w:val="808080"/>
        </w:rPr>
        <w:t>(Gesetz, Willen)</w:t>
      </w:r>
      <w:r>
        <w:rPr/>
        <w:t xml:space="preserve"> außer Kraft, um eure Überlieferung aufrechtzuerhalten </w:t>
      </w:r>
      <w:r>
        <w:rPr>
          <w:color w:val="808080"/>
        </w:rPr>
        <w:t>(zur Geltung zu bringen)</w:t>
      </w:r>
      <w:r>
        <w:rPr/>
        <w:t xml:space="preserve">.{{field-off:bible}} </w:t>
        <w:br/>
        <w:t>[[@BibleTOBIBLE:Mk 7:10]]</w:t>
      </w:r>
      <w:r>
        <w:rPr>
          <w:b/>
        </w:rPr>
        <w:t>10</w:t>
      </w:r>
      <w:r>
        <w:rPr/>
        <w:t xml:space="preserve"> {{field-on:bible}}Mose hat doch </w:t>
      </w:r>
      <w:r>
        <w:rPr>
          <w:color w:val="808080"/>
        </w:rPr>
        <w:t>(ja)</w:t>
      </w:r>
      <w:r>
        <w:rPr/>
        <w:t xml:space="preserve"> gesagt: »Ehre deinen Vater und deine Mutter!«,</w:t>
      </w:r>
      <w:r>
        <w:rPr>
          <w:position w:val="8"/>
          <w:sz w:val="19"/>
        </w:rPr>
        <w:t>[[ ℘ &gt;&gt; BibleTOBIBLE:Ex 20:12]][[ ℘ &gt;&gt; BibleTOBIBLE:Dt 5:16]]</w:t>
      </w:r>
      <w:r>
        <w:rPr/>
        <w:t xml:space="preserve"> und: »Wer Vater oder Mutter verflucht </w:t>
      </w:r>
      <w:r>
        <w:rPr>
          <w:color w:val="808080"/>
        </w:rPr>
        <w:t>(schmäht, schlechtmacht, herabsetzt)</w:t>
      </w:r>
      <w:r>
        <w:rPr/>
        <w:t xml:space="preserve">, muss sterben </w:t>
      </w:r>
      <w:r>
        <w:rPr>
          <w:rStyle w:val="Funotenanker"/>
        </w:rPr>
        <w:footnoteReference w:customMarkFollows="1" w:id="1614"/>
        <w:t>r</w:t>
      </w:r>
      <w:r>
        <w:rPr/>
        <w:t>.«</w:t>
      </w:r>
      <w:r>
        <w:rPr>
          <w:position w:val="8"/>
          <w:sz w:val="19"/>
        </w:rPr>
        <w:t>[[ ℘ &gt;&gt; BibleTOBIBLE:Ex 21:12]][[ ℘ &gt;&gt; BibleTOBIBLE:Le 20:9]]</w:t>
      </w:r>
      <w:r>
        <w:rPr/>
        <w:t xml:space="preserve"> {{field-off:bible}} </w:t>
        <w:br/>
        <w:t>[[@BibleTOBIBLE:Mk 7:11]]</w:t>
      </w:r>
      <w:r>
        <w:rPr>
          <w:b/>
        </w:rPr>
        <w:t>11</w:t>
      </w:r>
      <w:r>
        <w:rPr/>
        <w:t xml:space="preserve"> {{field-on:bible}}''Ihr'' jedoch sagt: »Wenn ein Mann </w:t>
      </w:r>
      <w:r>
        <w:rPr>
          <w:color w:val="808080"/>
        </w:rPr>
        <w:t>(Mensch)</w:t>
      </w:r>
      <w:r>
        <w:rPr/>
        <w:t xml:space="preserve"> zu </w:t>
      </w:r>
      <w:r>
        <w:rPr>
          <w:b/>
          <w:color w:val="808080"/>
        </w:rPr>
        <w:t>[</w:t>
      </w:r>
      <w:r>
        <w:rPr/>
        <w:t>seinem</w:t>
      </w:r>
      <w:r>
        <w:rPr>
          <w:b/>
          <w:color w:val="808080"/>
        </w:rPr>
        <w:t>]</w:t>
      </w:r>
      <w:r>
        <w:rPr/>
        <w:t xml:space="preserve"> Vater oder </w:t>
      </w:r>
      <w:r>
        <w:rPr>
          <w:b/>
          <w:color w:val="808080"/>
        </w:rPr>
        <w:t>[</w:t>
      </w:r>
      <w:r>
        <w:rPr/>
        <w:t>seiner</w:t>
      </w:r>
      <w:r>
        <w:rPr>
          <w:b/>
          <w:color w:val="808080"/>
        </w:rPr>
        <w:t>]</w:t>
      </w:r>
      <w:r>
        <w:rPr/>
        <w:t xml:space="preserve"> Mutter sagt: Alles von mir, was dich unterstützen </w:t>
      </w:r>
      <w:r>
        <w:rPr>
          <w:color w:val="808080"/>
        </w:rPr>
        <w:t>(helfen, nützen)</w:t>
      </w:r>
      <w:r>
        <w:rPr/>
        <w:t xml:space="preserve"> würde, </w:t>
      </w:r>
      <w:r>
        <w:rPr>
          <w:b/>
          <w:color w:val="808080"/>
        </w:rPr>
        <w:t>[</w:t>
      </w:r>
      <w:r>
        <w:rPr/>
        <w:t>ist</w:t>
      </w:r>
      <w:r>
        <w:rPr>
          <w:b/>
          <w:color w:val="808080"/>
        </w:rPr>
        <w:t>]</w:t>
      </w:r>
      <w:r>
        <w:rPr/>
        <w:t xml:space="preserve"> Korban!« </w:t>
      </w:r>
      <w:r>
        <w:rPr>
          <w:rStyle w:val="Funotenanker"/>
        </w:rPr>
        <w:footnoteReference w:customMarkFollows="1" w:id="1615"/>
        <w:t>s</w:t>
      </w:r>
      <w:r>
        <w:rPr/>
        <w:t xml:space="preserve">, das heißt »Opfergabe </w:t>
      </w:r>
      <w:r>
        <w:rPr>
          <w:color w:val="808080"/>
        </w:rPr>
        <w:t>(Geschenk)</w:t>
      </w:r>
      <w:r>
        <w:rPr/>
        <w:t>«,</w:t>
      </w:r>
      <w:r>
        <w:rPr>
          <w:rStyle w:val="Funotenanker"/>
        </w:rPr>
        <w:footnoteReference w:customMarkFollows="1" w:id="1616"/>
        <w:t>t</w:t>
      </w:r>
      <w:r>
        <w:rPr/>
        <w:t xml:space="preserve"> {{field-off:bible}} </w:t>
        <w:br/>
        <w:t>[[@BibleTOBIBLE:Mk 7:12]]</w:t>
      </w:r>
      <w:r>
        <w:rPr>
          <w:b/>
        </w:rPr>
        <w:t>12</w:t>
      </w:r>
      <w:r>
        <w:rPr/>
        <w:t xml:space="preserve"> {{field-on:bible}}dann erlaubt </w:t>
      </w:r>
      <w:r>
        <w:rPr>
          <w:color w:val="808080"/>
        </w:rPr>
        <w:t>(lasst ihr zu, dass … nicht mehr; lasst)</w:t>
      </w:r>
      <w:r>
        <w:rPr/>
        <w:t xml:space="preserve"> </w:t>
      </w:r>
      <w:r>
        <w:rPr>
          <w:rStyle w:val="Funotenanker"/>
        </w:rPr>
        <w:footnoteReference w:customMarkFollows="1" w:id="1617"/>
        <w:t>u</w:t>
      </w:r>
      <w:r>
        <w:rPr/>
        <w:t xml:space="preserve"> ihr ihm nicht mehr, etwas </w:t>
      </w:r>
      <w:r>
        <w:rPr>
          <w:rStyle w:val="Funotenanker"/>
        </w:rPr>
        <w:footnoteReference w:customMarkFollows="1" w:id="1618"/>
        <w:t>v</w:t>
      </w:r>
      <w:r>
        <w:rPr/>
        <w:t xml:space="preserve"> </w:t>
      </w:r>
      <w:r>
        <w:rPr>
          <w:b/>
          <w:color w:val="808080"/>
        </w:rPr>
        <w:t>[</w:t>
      </w:r>
      <w:r>
        <w:rPr/>
        <w:t>für seinen</w:t>
      </w:r>
      <w:r>
        <w:rPr>
          <w:b/>
          <w:color w:val="808080"/>
        </w:rPr>
        <w:t>]</w:t>
      </w:r>
      <w:r>
        <w:rPr/>
        <w:t xml:space="preserve"> Vater oder </w:t>
      </w:r>
      <w:r>
        <w:rPr>
          <w:b/>
          <w:color w:val="808080"/>
        </w:rPr>
        <w:t>[</w:t>
      </w:r>
      <w:r>
        <w:rPr/>
        <w:t>seine</w:t>
      </w:r>
      <w:r>
        <w:rPr>
          <w:b/>
          <w:color w:val="808080"/>
        </w:rPr>
        <w:t>]</w:t>
      </w:r>
      <w:r>
        <w:rPr/>
        <w:t xml:space="preserve"> Mutter </w:t>
      </w:r>
      <w:r>
        <w:rPr>
          <w:rStyle w:val="Funotenanker"/>
        </w:rPr>
        <w:footnoteReference w:customMarkFollows="1" w:id="1619"/>
        <w:t>w</w:t>
      </w:r>
      <w:r>
        <w:rPr/>
        <w:t xml:space="preserve"> tun.{{field-off:bible}} </w:t>
        <w:br/>
        <w:t>[[@BibleTOBIBLE:Mk 7:13]]</w:t>
      </w:r>
      <w:r>
        <w:rPr>
          <w:b/>
        </w:rPr>
        <w:t>13</w:t>
      </w:r>
      <w:r>
        <w:rPr/>
        <w:t xml:space="preserve"> {{field-on:bible}}So </w:t>
      </w:r>
      <w:r>
        <w:rPr>
          <w:color w:val="808080"/>
        </w:rPr>
        <w:t>(indem)</w:t>
      </w:r>
      <w:r>
        <w:rPr/>
        <w:t xml:space="preserve"> hebt </w:t>
      </w:r>
      <w:r>
        <w:rPr>
          <w:color w:val="808080"/>
        </w:rPr>
        <w:t>(macht nichtig)</w:t>
      </w:r>
      <w:r>
        <w:rPr/>
        <w:t xml:space="preserve"> ihr Gottes Wort </w:t>
      </w:r>
      <w:r>
        <w:rPr>
          <w:color w:val="808080"/>
        </w:rPr>
        <w:t>(Aussage)</w:t>
      </w:r>
      <w:r>
        <w:rPr/>
        <w:t xml:space="preserve"> </w:t>
      </w:r>
      <w:r>
        <w:rPr>
          <w:rStyle w:val="Funotenanker"/>
        </w:rPr>
        <w:footnoteReference w:customMarkFollows="1" w:id="1620"/>
        <w:t>x</w:t>
      </w:r>
      <w:r>
        <w:rPr/>
        <w:t xml:space="preserve"> auf </w:t>
      </w:r>
      <w:r>
        <w:rPr>
          <w:rStyle w:val="Funotenanker"/>
        </w:rPr>
        <w:footnoteReference w:customMarkFollows="1" w:id="1621"/>
        <w:t>y</w:t>
      </w:r>
      <w:r>
        <w:rPr/>
        <w:t xml:space="preserve"> durch eure Überlieferung, die ihr weitergegeben </w:t>
      </w:r>
      <w:r>
        <w:rPr>
          <w:color w:val="808080"/>
        </w:rPr>
        <w:t>(überliefert)</w:t>
      </w:r>
      <w:r>
        <w:rPr/>
        <w:t xml:space="preserve"> habt, und ihr tut viele vergleichbare </w:t>
      </w:r>
      <w:r>
        <w:rPr>
          <w:color w:val="808080"/>
        </w:rPr>
        <w:t>(ähnliche)</w:t>
      </w:r>
      <w:r>
        <w:rPr/>
        <w:t xml:space="preserve"> solche </w:t>
      </w:r>
      <w:r>
        <w:rPr>
          <w:b/>
          <w:color w:val="808080"/>
        </w:rPr>
        <w:t>[</w:t>
      </w:r>
      <w:r>
        <w:rPr/>
        <w:t>Dinge</w:t>
      </w:r>
      <w:r>
        <w:rPr>
          <w:b/>
          <w:color w:val="808080"/>
        </w:rPr>
        <w:t>]</w:t>
      </w:r>
      <w:r>
        <w:rPr/>
        <w:t xml:space="preserve"> </w:t>
      </w:r>
      <w:r>
        <w:rPr>
          <w:color w:val="808080"/>
        </w:rPr>
        <w:t xml:space="preserve">(vergleichbare solche </w:t>
      </w:r>
      <w:r>
        <w:rPr>
          <w:b/>
          <w:color w:val="808080"/>
        </w:rPr>
        <w:t>[</w:t>
      </w:r>
      <w:r>
        <w:rPr>
          <w:color w:val="808080"/>
        </w:rPr>
        <w:t>Dinge</w:t>
      </w:r>
      <w:r>
        <w:rPr>
          <w:b/>
          <w:color w:val="808080"/>
        </w:rPr>
        <w:t>]</w:t>
      </w:r>
      <w:r>
        <w:rPr>
          <w:color w:val="808080"/>
        </w:rPr>
        <w:t xml:space="preserve"> tut ihr häufig)</w:t>
      </w:r>
      <w:r>
        <w:rPr/>
        <w:t xml:space="preserve">.“{{field-off:bible}} </w:t>
        <w:br/>
        <w:t>[[@BibleTOBIBLE:Mk 7:14]]</w:t>
      </w:r>
      <w:r>
        <w:rPr>
          <w:b/>
        </w:rPr>
        <w:t>14</w:t>
      </w:r>
      <w:r>
        <w:rPr/>
        <w:t xml:space="preserve"> {{field-on:bible}}Und </w:t>
      </w:r>
      <w:r>
        <w:rPr>
          <w:color w:val="808080"/>
        </w:rPr>
        <w:t>(Dann)</w:t>
      </w:r>
      <w:r>
        <w:rPr/>
        <w:t xml:space="preserve"> er rief die Menschenmenge wieder </w:t>
      </w:r>
      <w:r>
        <w:rPr>
          <w:color w:val="808080"/>
        </w:rPr>
        <w:t>(noch einmal)</w:t>
      </w:r>
      <w:r>
        <w:rPr/>
        <w:t xml:space="preserve"> zu sich und </w:t>
      </w:r>
      <w:r>
        <w:rPr>
          <w:rStyle w:val="Funotenanker"/>
        </w:rPr>
        <w:footnoteReference w:customMarkFollows="1" w:id="1622"/>
        <w:t>z</w:t>
      </w:r>
      <w:r>
        <w:rPr/>
        <w:t xml:space="preserve"> sprach nun </w:t>
      </w:r>
      <w:r>
        <w:rPr>
          <w:rStyle w:val="Funotenanker"/>
        </w:rPr>
        <w:footnoteReference w:customMarkFollows="1" w:id="1623"/>
        <w:t>aa</w:t>
      </w:r>
      <w:r>
        <w:rPr/>
        <w:t xml:space="preserve"> zu ihnen: „Hört mir alle zu und versteht </w:t>
      </w:r>
      <w:r>
        <w:rPr>
          <w:rStyle w:val="Funotenanker"/>
        </w:rPr>
        <w:footnoteReference w:customMarkFollows="1" w:id="1624"/>
        <w:t>ab</w:t>
      </w:r>
      <w:r>
        <w:rPr/>
        <w:t xml:space="preserve">!{{field-off:bible}} </w:t>
        <w:br/>
        <w:t>[[@BibleTOBIBLE:Mk 7:15]]</w:t>
      </w:r>
      <w:r>
        <w:rPr>
          <w:b/>
        </w:rPr>
        <w:t>15</w:t>
      </w:r>
      <w:r>
        <w:rPr/>
        <w:t xml:space="preserve"> {{field-on:bible}}Nichts, was </w:t>
      </w:r>
      <w:r>
        <w:rPr>
          <w:color w:val="808080"/>
        </w:rPr>
        <w:t>(wenn, indem)</w:t>
      </w:r>
      <w:r>
        <w:rPr/>
        <w:t xml:space="preserve"> von außerhalb des Menschen in ihn hineingelangt, kann ihn verunreinigen </w:t>
      </w:r>
      <w:r>
        <w:rPr>
          <w:color w:val="808080"/>
        </w:rPr>
        <w:t>(Es gibt nichts, was … hineingelangt, das … kann)</w:t>
      </w:r>
      <w:r>
        <w:rPr/>
        <w:t xml:space="preserve">. </w:t>
      </w:r>
      <w:r>
        <w:rPr>
          <w:rStyle w:val="Funotenanker"/>
        </w:rPr>
        <w:footnoteReference w:customMarkFollows="1" w:id="1625"/>
        <w:t>ac</w:t>
      </w:r>
      <w:r>
        <w:rPr/>
        <w:t xml:space="preserve"> Es ist vielmehr, was aus dem Menschen herauskommt, das den Menschen verunreinigt </w:t>
      </w:r>
      <w:r>
        <w:rPr>
          <w:rStyle w:val="Funotenanker"/>
        </w:rPr>
        <w:footnoteReference w:customMarkFollows="1" w:id="1626"/>
        <w:t>ad</w:t>
      </w:r>
      <w:r>
        <w:rPr/>
        <w:t xml:space="preserve">.{{field-off:bible}} </w:t>
        <w:br/>
        <w:t>[[@BibleTOBIBLE:Mk 7:16]]</w:t>
      </w:r>
      <w:r>
        <w:rPr>
          <w:b/>
        </w:rPr>
        <w:t>16</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 “ </w:t>
      </w:r>
      <w:r>
        <w:rPr>
          <w:rStyle w:val="Funotenanker"/>
        </w:rPr>
        <w:footnoteReference w:customMarkFollows="1" w:id="1627"/>
        <w:t>ae</w:t>
      </w:r>
      <w:r>
        <w:rPr/>
        <w:t xml:space="preserve"> {{field-off:bible}} </w:t>
        <w:br/>
        <w:t>[[@BibleTOBIBLE:Mk 7:17]]</w:t>
      </w:r>
      <w:r>
        <w:rPr>
          <w:b/>
        </w:rPr>
        <w:t>17</w:t>
      </w:r>
      <w:r>
        <w:rPr/>
        <w:t xml:space="preserve"> {{field-on:bible}}Und als er ein Haus betrat, abseits der Menschenmenge, erkundigten sich seine Jünger bei ihm nach dem Gleichnis.{{field-off:bible}} </w:t>
        <w:br/>
        <w:t>[[@BibleTOBIBLE:Mk 7:18]]</w:t>
      </w:r>
      <w:r>
        <w:rPr>
          <w:b/>
        </w:rPr>
        <w:t>18</w:t>
      </w:r>
      <w:r>
        <w:rPr/>
        <w:t xml:space="preserve"> {{field-on:bible}}Und er sagte </w:t>
      </w:r>
      <w:r>
        <w:rPr>
          <w:rStyle w:val="Funotenanker"/>
        </w:rPr>
        <w:footnoteReference w:customMarkFollows="1" w:id="1628"/>
        <w:t>af</w:t>
      </w:r>
      <w:r>
        <w:rPr/>
        <w:t xml:space="preserve"> zu ihnen: „Seid auch ihr so schwer von Begriff </w:t>
      </w:r>
      <w:r>
        <w:rPr>
          <w:color w:val="808080"/>
        </w:rPr>
        <w:t>(unverständig)</w:t>
      </w:r>
      <w:r>
        <w:rPr/>
        <w:t xml:space="preserve">? Versteht </w:t>
      </w:r>
      <w:r>
        <w:rPr>
          <w:color w:val="808080"/>
        </w:rPr>
        <w:t>(Merkt)</w:t>
      </w:r>
      <w:r>
        <w:rPr/>
        <w:t xml:space="preserve"> ihr nicht, dass alles, was von außen in den Menschen gelangt, ihn nicht verunreinigen kann,{{field-off:bible}} </w:t>
        <w:br/>
        <w:t>[[@BibleTOBIBLE:Mk 7:19]]</w:t>
      </w:r>
      <w:r>
        <w:rPr>
          <w:b/>
        </w:rPr>
        <w:t>19</w:t>
      </w:r>
      <w:r>
        <w:rPr/>
        <w:t xml:space="preserve"> {{field-on:bible}}weil es nicht in sein Herz gelangt, sondern in seinen Magen </w:t>
      </w:r>
      <w:r>
        <w:rPr>
          <w:color w:val="808080"/>
        </w:rPr>
        <w:t>(Bauch)</w:t>
      </w:r>
      <w:r>
        <w:rPr/>
        <w:t xml:space="preserve">, und </w:t>
      </w:r>
      <w:r>
        <w:rPr>
          <w:b/>
          <w:color w:val="808080"/>
        </w:rPr>
        <w:t>[</w:t>
      </w:r>
      <w:r>
        <w:rPr/>
        <w:t>dann</w:t>
      </w:r>
      <w:r>
        <w:rPr>
          <w:b/>
          <w:color w:val="808080"/>
        </w:rPr>
        <w:t>]</w:t>
      </w:r>
      <w:r>
        <w:rPr/>
        <w:t xml:space="preserve"> in den Abtritt </w:t>
      </w:r>
      <w:r>
        <w:rPr>
          <w:color w:val="808080"/>
        </w:rPr>
        <w:t>(Senkgrube, Latrine)</w:t>
      </w:r>
      <w:r>
        <w:rPr/>
        <w:t xml:space="preserve"> </w:t>
      </w:r>
      <w:r>
        <w:rPr>
          <w:rStyle w:val="Funotenanker"/>
        </w:rPr>
        <w:footnoteReference w:customMarkFollows="1" w:id="1629"/>
        <w:t>ag</w:t>
      </w:r>
      <w:r>
        <w:rPr/>
        <w:t xml:space="preserve"> ausgeschieden wird </w:t>
      </w:r>
      <w:r>
        <w:rPr>
          <w:color w:val="808080"/>
        </w:rPr>
        <w:t>(hinausgelangt)</w:t>
      </w:r>
      <w:r>
        <w:rPr/>
        <w:t xml:space="preserve">?“ So erklärte [Jesus] alle Speisen für rein. </w:t>
      </w:r>
      <w:r>
        <w:rPr>
          <w:rStyle w:val="Funotenanker"/>
        </w:rPr>
        <w:footnoteReference w:customMarkFollows="1" w:id="1630"/>
        <w:t>ah</w:t>
      </w:r>
      <w:r>
        <w:rPr/>
        <w:t xml:space="preserve"> {{field-off:bible}} </w:t>
        <w:br/>
        <w:t>[[@BibleTOBIBLE:Mk 7:20]]</w:t>
      </w:r>
      <w:r>
        <w:rPr>
          <w:b/>
        </w:rPr>
        <w:t>20</w:t>
      </w:r>
      <w:r>
        <w:rPr/>
        <w:t xml:space="preserve"> {{field-on:bible}} </w:t>
      </w:r>
      <w:r>
        <w:rPr>
          <w:strike/>
          <w:color w:val="808080"/>
        </w:rPr>
        <w:t>{und}</w:t>
      </w:r>
      <w:r>
        <w:rPr/>
        <w:t xml:space="preserve"> Er fuhr fort </w:t>
      </w:r>
      <w:r>
        <w:rPr>
          <w:color w:val="808080"/>
        </w:rPr>
        <w:t>(sagte)</w:t>
      </w:r>
      <w:r>
        <w:rPr/>
        <w:t xml:space="preserve"> : „Was aus dem Menschen herauskommt, </w:t>
      </w:r>
      <w:r>
        <w:rPr>
          <w:rStyle w:val="Funotenanker"/>
        </w:rPr>
        <w:footnoteReference w:customMarkFollows="1" w:id="1631"/>
        <w:t>ai</w:t>
      </w:r>
      <w:r>
        <w:rPr/>
        <w:t xml:space="preserve"> ''das'' verunreinigt den Menschen.{{field-off:bible}} </w:t>
        <w:br/>
        <w:t>[[@BibleTOBIBLE:Mk 7:21]]</w:t>
      </w:r>
      <w:r>
        <w:rPr>
          <w:b/>
        </w:rPr>
        <w:t>21</w:t>
      </w:r>
      <w:r>
        <w:rPr/>
        <w:t xml:space="preserve"> {{field-on:bible}}Denn von innen her, aus dem Herzen der Menschen, kommen die üblen Vorsätze </w:t>
      </w:r>
      <w:r>
        <w:rPr>
          <w:color w:val="808080"/>
        </w:rPr>
        <w:t>(Gedanken, Absichten)</w:t>
      </w:r>
      <w:r>
        <w:rPr/>
        <w:t xml:space="preserve">: sexuelle Eskapaden </w:t>
      </w:r>
      <w:r>
        <w:rPr>
          <w:color w:val="808080"/>
        </w:rPr>
        <w:t>(Unzüchtigkeiten)</w:t>
      </w:r>
      <w:r>
        <w:rPr/>
        <w:t xml:space="preserve">, </w:t>
      </w:r>
      <w:r>
        <w:rPr>
          <w:rStyle w:val="Funotenanker"/>
        </w:rPr>
        <w:footnoteReference w:customMarkFollows="1" w:id="1632"/>
        <w:t>aj</w:t>
      </w:r>
      <w:r>
        <w:rPr/>
        <w:t xml:space="preserve"> Diebstähle, Morde,{{field-off:bible}} </w:t>
        <w:br/>
        <w:t>[[@BibleTOBIBLE:Mk 7:22]]</w:t>
      </w:r>
      <w:r>
        <w:rPr>
          <w:b/>
        </w:rPr>
        <w:t>22</w:t>
      </w:r>
      <w:r>
        <w:rPr/>
        <w:t xml:space="preserve"> {{field-on:bible}}Seitensprünge </w:t>
      </w:r>
      <w:r>
        <w:rPr>
          <w:color w:val="808080"/>
        </w:rPr>
        <w:t>(Ehebrüche)</w:t>
      </w:r>
      <w:r>
        <w:rPr/>
        <w:t xml:space="preserve">, Begehrlichkeiten </w:t>
      </w:r>
      <w:r>
        <w:rPr>
          <w:color w:val="808080"/>
        </w:rPr>
        <w:t>(Gelüste, Machthunger)</w:t>
      </w:r>
      <w:r>
        <w:rPr/>
        <w:t xml:space="preserve"> </w:t>
      </w:r>
      <w:r>
        <w:rPr>
          <w:rStyle w:val="Funotenanker"/>
        </w:rPr>
        <w:footnoteReference w:customMarkFollows="1" w:id="1633"/>
        <w:t>ak</w:t>
      </w:r>
      <w:r>
        <w:rPr/>
        <w:t xml:space="preserve">, Bosheiten, Arglist </w:t>
      </w:r>
      <w:r>
        <w:rPr>
          <w:color w:val="808080"/>
        </w:rPr>
        <w:t>(Hinterlist)</w:t>
      </w:r>
      <w:r>
        <w:rPr/>
        <w:t xml:space="preserve">, Zügellosigkeit </w:t>
      </w:r>
      <w:r>
        <w:rPr>
          <w:color w:val="808080"/>
        </w:rPr>
        <w:t>(Ausschweifung)</w:t>
      </w:r>
      <w:r>
        <w:rPr/>
        <w:t xml:space="preserve">, ein böses Auge </w:t>
      </w:r>
      <w:r>
        <w:rPr>
          <w:rStyle w:val="Funotenanker"/>
        </w:rPr>
        <w:footnoteReference w:customMarkFollows="1" w:id="1634"/>
        <w:t>al</w:t>
      </w:r>
      <w:r>
        <w:rPr/>
        <w:t xml:space="preserve">, Verleumdung </w:t>
      </w:r>
      <w:r>
        <w:rPr>
          <w:color w:val="808080"/>
        </w:rPr>
        <w:t>(Gotteslästerung, Beleidigung)</w:t>
      </w:r>
      <w:r>
        <w:rPr/>
        <w:t xml:space="preserve">, Überheblichkeit </w:t>
      </w:r>
      <w:r>
        <w:rPr>
          <w:b/>
          <w:color w:val="808080"/>
        </w:rPr>
        <w:t>[</w:t>
      </w:r>
      <w:r>
        <w:rPr/>
        <w:t>und</w:t>
      </w:r>
      <w:r>
        <w:rPr>
          <w:b/>
          <w:color w:val="808080"/>
        </w:rPr>
        <w:t>]</w:t>
      </w:r>
      <w:r>
        <w:rPr/>
        <w:t xml:space="preserve"> Unvernunft –{{field-off:bible}} </w:t>
        <w:br/>
        <w:t>[[@BibleTOBIBLE:Mk 7:23]]</w:t>
      </w:r>
      <w:r>
        <w:rPr>
          <w:b/>
        </w:rPr>
        <w:t>23</w:t>
      </w:r>
      <w:r>
        <w:rPr/>
        <w:t xml:space="preserve"> {{field-on:bible}}all diese bösen </w:t>
      </w:r>
      <w:r>
        <w:rPr>
          <w:color w:val="808080"/>
        </w:rPr>
        <w:t>(schlechten)</w:t>
      </w:r>
      <w:r>
        <w:rPr/>
        <w:t xml:space="preserve"> </w:t>
      </w:r>
      <w:r>
        <w:rPr>
          <w:b/>
          <w:color w:val="808080"/>
        </w:rPr>
        <w:t>[</w:t>
      </w:r>
      <w:r>
        <w:rPr/>
        <w:t>Auswüchse</w:t>
      </w:r>
      <w:r>
        <w:rPr>
          <w:b/>
          <w:color w:val="808080"/>
        </w:rPr>
        <w:t>]</w:t>
      </w:r>
      <w:r>
        <w:rPr/>
        <w:t xml:space="preserve"> </w:t>
      </w:r>
      <w:r>
        <w:rPr>
          <w:color w:val="808080"/>
        </w:rPr>
        <w:t>(All dieses Böse)</w:t>
      </w:r>
      <w:r>
        <w:rPr/>
        <w:t xml:space="preserve"> kommen von innen her und verunreinigen den Menschen.“{{field-off:bible}} </w:t>
        <w:br/>
        <w:t>[[@BibleTOBIBLE:Mk 7:24]]</w:t>
      </w:r>
      <w:r>
        <w:rPr>
          <w:b/>
        </w:rPr>
        <w:t>24</w:t>
      </w:r>
      <w:r>
        <w:rPr/>
        <w:t xml:space="preserve"> {{field-on:bible}}Und von dort brach </w:t>
      </w:r>
      <w:r>
        <w:rPr>
          <w:color w:val="808080"/>
        </w:rPr>
        <w:t>(stand)</w:t>
      </w:r>
      <w:r>
        <w:rPr/>
        <w:t xml:space="preserve"> er auf und ging weg in das Gebiet von Tyrus </w:t>
      </w:r>
      <w:r>
        <w:rPr>
          <w:rStyle w:val="Funotenanker"/>
        </w:rPr>
        <w:footnoteReference w:customMarkFollows="1" w:id="1635"/>
        <w:t>am</w:t>
      </w:r>
      <w:r>
        <w:rPr/>
        <w:t xml:space="preserve">. Und er begab sich in ein Haus und </w:t>
      </w:r>
      <w:r>
        <w:rPr>
          <w:rStyle w:val="Funotenanker"/>
        </w:rPr>
        <w:footnoteReference w:customMarkFollows="1" w:id="1636"/>
        <w:t>an</w:t>
      </w:r>
      <w:r>
        <w:rPr/>
        <w:t xml:space="preserve"> wollte, dass niemand </w:t>
      </w:r>
      <w:r>
        <w:rPr>
          <w:b/>
          <w:color w:val="808080"/>
        </w:rPr>
        <w:t>[</w:t>
      </w:r>
      <w:r>
        <w:rPr/>
        <w:t>davon</w:t>
      </w:r>
      <w:r>
        <w:rPr>
          <w:b/>
          <w:color w:val="808080"/>
        </w:rPr>
        <w:t>]</w:t>
      </w:r>
      <w:r>
        <w:rPr/>
        <w:t xml:space="preserve"> erfuhr, und er schaffte es nicht, </w:t>
      </w:r>
      <w:r>
        <w:rPr>
          <w:b/>
          <w:color w:val="808080"/>
        </w:rPr>
        <w:t>[</w:t>
      </w:r>
      <w:r>
        <w:rPr/>
        <w:t>seine Anwesenheit</w:t>
      </w:r>
      <w:r>
        <w:rPr>
          <w:b/>
          <w:color w:val="808080"/>
        </w:rPr>
        <w:t>]</w:t>
      </w:r>
      <w:r>
        <w:rPr/>
        <w:t xml:space="preserve"> verborgen zu halten.{{field-off:bible}} </w:t>
        <w:br/>
        <w:t>[[@BibleTOBIBLE:Mk 7:25]]</w:t>
      </w:r>
      <w:r>
        <w:rPr>
          <w:b/>
        </w:rPr>
        <w:t>25</w:t>
      </w:r>
      <w:r>
        <w:rPr/>
        <w:t xml:space="preserve"> {{field-on:bible}}Stattdessen kam gleich, als sie von ihm hörte, eine Frau zu ihm, deren kleine Tochter von einem unreinen Geist besessen war </w:t>
      </w:r>
      <w:r>
        <w:rPr>
          <w:rStyle w:val="Funotenanker"/>
        </w:rPr>
        <w:footnoteReference w:customMarkFollows="1" w:id="1637"/>
        <w:t>ao</w:t>
      </w:r>
      <w:r>
        <w:rPr/>
        <w:t xml:space="preserve">, und </w:t>
      </w:r>
      <w:r>
        <w:rPr>
          <w:rStyle w:val="Funotenanker"/>
        </w:rPr>
        <w:footnoteReference w:customMarkFollows="1" w:id="1638"/>
        <w:t>ap</w:t>
      </w:r>
      <w:r>
        <w:rPr/>
        <w:t xml:space="preserve"> warf sich vor seine Füße.{{field-off:bible}} </w:t>
        <w:br/>
        <w:t>[[@BibleTOBIBLE:Mk 7:26]]</w:t>
      </w:r>
      <w:r>
        <w:rPr>
          <w:b/>
        </w:rPr>
        <w:t>26</w:t>
      </w:r>
      <w:r>
        <w:rPr/>
        <w:t xml:space="preserve"> {{field-on:bible}} </w:t>
      </w:r>
      <w:r>
        <w:rPr>
          <w:strike/>
          <w:color w:val="808080"/>
        </w:rPr>
        <w:t>{aber}</w:t>
      </w:r>
      <w:r>
        <w:rPr/>
        <w:t xml:space="preserve"> – Die Frau war Nichtjüdin </w:t>
      </w:r>
      <w:r>
        <w:rPr>
          <w:color w:val="808080"/>
        </w:rPr>
        <w:t>(Griechin)</w:t>
      </w:r>
      <w:r>
        <w:rPr/>
        <w:t xml:space="preserve">, der Herkunft </w:t>
      </w:r>
      <w:r>
        <w:rPr>
          <w:b/>
          <w:color w:val="808080"/>
        </w:rPr>
        <w:t>[</w:t>
      </w:r>
      <w:r>
        <w:rPr/>
        <w:t>nach</w:t>
      </w:r>
      <w:r>
        <w:rPr>
          <w:b/>
          <w:color w:val="808080"/>
        </w:rPr>
        <w:t>]</w:t>
      </w:r>
      <w:r>
        <w:rPr/>
        <w:t xml:space="preserve"> eine Syrophönizierin. </w:t>
      </w:r>
      <w:r>
        <w:rPr>
          <w:rStyle w:val="Funotenanker"/>
        </w:rPr>
        <w:footnoteReference w:customMarkFollows="1" w:id="1639"/>
        <w:t>aq</w:t>
      </w:r>
      <w:r>
        <w:rPr/>
        <w:t xml:space="preserve"> – Und sie bat ihn hartnäckig </w:t>
      </w:r>
      <w:r>
        <w:rPr>
          <w:color w:val="808080"/>
        </w:rPr>
        <w:t>(immer wieder)</w:t>
      </w:r>
      <w:r>
        <w:rPr/>
        <w:t xml:space="preserve"> </w:t>
      </w:r>
      <w:r>
        <w:rPr>
          <w:rStyle w:val="Funotenanker"/>
        </w:rPr>
        <w:footnoteReference w:customMarkFollows="1" w:id="1640"/>
        <w:t>ar</w:t>
      </w:r>
      <w:r>
        <w:rPr/>
        <w:t xml:space="preserve"> darum, den Dämon aus ihrer Tochter auszutreiben.{{field-off:bible}} </w:t>
        <w:br/>
        <w:t>[[@BibleTOBIBLE:Mk 7:27]]</w:t>
      </w:r>
      <w:r>
        <w:rPr>
          <w:b/>
        </w:rPr>
        <w:t>27</w:t>
      </w:r>
      <w:r>
        <w:rPr/>
        <w:t xml:space="preserve"> {{field-on:bible}}Aber </w:t>
      </w:r>
      <w:r>
        <w:rPr>
          <w:color w:val="808080"/>
        </w:rPr>
        <w:t>(Und)</w:t>
      </w:r>
      <w:r>
        <w:rPr/>
        <w:t xml:space="preserve"> er sagte zu ihr: „Lass zunächst die Kinder satt werden, denn es ist nicht richtig, den Kindern das Brot wegzunehmen und es den Hunden hinzuwerfen.“{{field-off:bible}} </w:t>
        <w:br/>
        <w:t>[[@BibleTOBIBLE:Mk 7:28]]</w:t>
      </w:r>
      <w:r>
        <w:rPr>
          <w:b/>
        </w:rPr>
        <w:t>28</w:t>
      </w:r>
      <w:r>
        <w:rPr/>
        <w:t xml:space="preserve"> {{field-on:bible}}Doch sie entgegnete </w:t>
      </w:r>
      <w:r>
        <w:rPr>
          <w:strike/>
          <w:color w:val="808080"/>
        </w:rPr>
        <w:t>{und sagte zu ihm}</w:t>
      </w:r>
      <w:r>
        <w:rPr/>
        <w:t xml:space="preserve">: „Ja, Herr </w:t>
      </w:r>
      <w:r>
        <w:rPr>
          <w:color w:val="808080"/>
        </w:rPr>
        <w:t>(Herr)</w:t>
      </w:r>
      <w:r>
        <w:rPr/>
        <w:t xml:space="preserve">, auch die Hunde unter dem Tisch fressen die Krümel </w:t>
      </w:r>
      <w:r>
        <w:rPr>
          <w:rStyle w:val="Funotenanker"/>
        </w:rPr>
        <w:footnoteReference w:customMarkFollows="1" w:id="1641"/>
        <w:t>as</w:t>
      </w:r>
      <w:r>
        <w:rPr/>
        <w:t xml:space="preserve"> </w:t>
      </w:r>
      <w:r>
        <w:rPr>
          <w:color w:val="808080"/>
        </w:rPr>
        <w:t>(Reste)</w:t>
      </w:r>
      <w:r>
        <w:rPr/>
        <w:t xml:space="preserve"> der Kinder.“{{field-off:bible}} </w:t>
        <w:br/>
        <w:t>[[@BibleTOBIBLE:Mk 7:29]]</w:t>
      </w:r>
      <w:r>
        <w:rPr>
          <w:b/>
        </w:rPr>
        <w:t>29</w:t>
      </w:r>
      <w:r>
        <w:rPr/>
        <w:t xml:space="preserve"> {{field-on:bible}}Und er sagte zu ihr: „Weil du das gesagt hast </w:t>
      </w:r>
      <w:r>
        <w:rPr>
          <w:rStyle w:val="Funotenanker"/>
        </w:rPr>
        <w:footnoteReference w:customMarkFollows="1" w:id="1642"/>
        <w:t>at</w:t>
      </w:r>
      <w:r>
        <w:rPr/>
        <w:t xml:space="preserve">, geh </w:t>
      </w:r>
      <w:r>
        <w:rPr>
          <w:rStyle w:val="Funotenanker"/>
        </w:rPr>
        <w:footnoteReference w:customMarkFollows="1" w:id="1643"/>
        <w:t>au</w:t>
      </w:r>
      <w:r>
        <w:rPr/>
        <w:t xml:space="preserve">! Der Dämon hat deine Tochter verlassen.“{{field-off:bible}} </w:t>
        <w:br/>
        <w:t>[[@BibleTOBIBLE:Mk 7:30]]</w:t>
      </w:r>
      <w:r>
        <w:rPr>
          <w:b/>
        </w:rPr>
        <w:t>30</w:t>
      </w:r>
      <w:r>
        <w:rPr/>
        <w:t xml:space="preserve"> {{field-on:bible}}Und sie ging zurück in ihr Haus und </w:t>
      </w:r>
      <w:r>
        <w:rPr>
          <w:rStyle w:val="Funotenanker"/>
        </w:rPr>
        <w:footnoteReference w:customMarkFollows="1" w:id="1644"/>
        <w:t>av</w:t>
      </w:r>
      <w:r>
        <w:rPr/>
        <w:t xml:space="preserve"> stellte fest, dass das Kind im Bett lag und der Dämon weg </w:t>
      </w:r>
      <w:r>
        <w:rPr>
          <w:color w:val="808080"/>
        </w:rPr>
        <w:t>(ausgefahren)</w:t>
      </w:r>
      <w:r>
        <w:rPr/>
        <w:t xml:space="preserve"> war.{{field-off:bible}} </w:t>
        <w:br/>
        <w:t>[[@BibleTOBIBLE:Mk 7:31]]</w:t>
      </w:r>
      <w:r>
        <w:rPr>
          <w:b/>
        </w:rPr>
        <w:t>31</w:t>
      </w:r>
      <w:r>
        <w:rPr/>
        <w:t xml:space="preserve"> {{field-on:bible}}Und </w:t>
      </w:r>
      <w:r>
        <w:rPr>
          <w:color w:val="808080"/>
        </w:rPr>
        <w:t>(Später)</w:t>
      </w:r>
      <w:r>
        <w:rPr/>
        <w:t xml:space="preserve"> er verließ das Gebiet von Tyrus wieder und </w:t>
      </w:r>
      <w:r>
        <w:rPr>
          <w:rStyle w:val="Funotenanker"/>
        </w:rPr>
        <w:footnoteReference w:customMarkFollows="1" w:id="1645"/>
        <w:t>aw</w:t>
      </w:r>
      <w:r>
        <w:rPr/>
        <w:t xml:space="preserve"> reiste </w:t>
      </w:r>
      <w:r>
        <w:rPr>
          <w:color w:val="808080"/>
        </w:rPr>
        <w:t>(kam)</w:t>
      </w:r>
      <w:r>
        <w:rPr/>
        <w:t xml:space="preserve"> durch Sidon ans Meer </w:t>
      </w:r>
      <w:r>
        <w:rPr>
          <w:color w:val="808080"/>
        </w:rPr>
        <w:t>(See)</w:t>
      </w:r>
      <w:r>
        <w:rPr/>
        <w:t xml:space="preserve"> von Galiläa, mitten durch </w:t>
      </w:r>
      <w:r>
        <w:rPr>
          <w:color w:val="808080"/>
        </w:rPr>
        <w:t>(in)</w:t>
      </w:r>
      <w:r>
        <w:rPr/>
        <w:t xml:space="preserve"> das Gebiet der Dekapolis </w:t>
      </w:r>
      <w:r>
        <w:rPr>
          <w:color w:val="808080"/>
        </w:rPr>
        <w:t>(Zehnstädtegebiet)</w:t>
      </w:r>
      <w:r>
        <w:rPr/>
        <w:t xml:space="preserve"> </w:t>
      </w:r>
      <w:r>
        <w:rPr>
          <w:rStyle w:val="Funotenanker"/>
        </w:rPr>
        <w:footnoteReference w:customMarkFollows="1" w:id="1646"/>
        <w:t>ax</w:t>
      </w:r>
      <w:r>
        <w:rPr/>
        <w:t xml:space="preserve">.{{field-off:bible}} </w:t>
        <w:br/>
        <w:t>[[@BibleTOBIBLE:Mk 7:32]]</w:t>
      </w:r>
      <w:r>
        <w:rPr>
          <w:b/>
        </w:rPr>
        <w:t>32</w:t>
      </w:r>
      <w:r>
        <w:rPr/>
        <w:t xml:space="preserve"> {{field-on:bible}}Und </w:t>
      </w:r>
      <w:r>
        <w:rPr>
          <w:b/>
          <w:color w:val="808080"/>
        </w:rPr>
        <w:t>[</w:t>
      </w:r>
      <w:r>
        <w:rPr/>
        <w:t>die Leute</w:t>
      </w:r>
      <w:r>
        <w:rPr>
          <w:b/>
          <w:color w:val="808080"/>
        </w:rPr>
        <w:t>]</w:t>
      </w:r>
      <w:r>
        <w:rPr/>
        <w:t xml:space="preserve"> brachten einen Taubstummen </w:t>
      </w:r>
      <w:r>
        <w:rPr>
          <w:rStyle w:val="Funotenanker"/>
        </w:rPr>
        <w:footnoteReference w:customMarkFollows="1" w:id="1647"/>
        <w:t>ay</w:t>
      </w:r>
      <w:r>
        <w:rPr/>
        <w:t xml:space="preserve"> zu ihm und baten </w:t>
      </w:r>
      <w:r>
        <w:rPr>
          <w:color w:val="808080"/>
        </w:rPr>
        <w:t>(forderten auf)</w:t>
      </w:r>
      <w:r>
        <w:rPr/>
        <w:t xml:space="preserve"> ihn, ihm die Hand aufzulegen </w:t>
      </w:r>
      <w:r>
        <w:rPr>
          <w:rStyle w:val="Funotenanker"/>
        </w:rPr>
        <w:footnoteReference w:customMarkFollows="1" w:id="1648"/>
        <w:t>az</w:t>
      </w:r>
      <w:r>
        <w:rPr/>
        <w:t>.</w:t>
      </w:r>
      <w:r>
        <w:rPr>
          <w:position w:val="8"/>
          <w:sz w:val="19"/>
        </w:rPr>
        <w:t>[[ ℘ &gt;&gt; BibleTOBIBLE:Is 35:6]][[ ℘ &gt;&gt; BibleTOBIBLE:Mk 8:22]]</w:t>
      </w:r>
      <w:r>
        <w:rPr/>
        <w:t xml:space="preserve"> {{field-off:bible}} </w:t>
        <w:br/>
        <w:t>[[@BibleTOBIBLE:Mk 7:33]]</w:t>
      </w:r>
      <w:r>
        <w:rPr>
          <w:b/>
        </w:rPr>
        <w:t>33</w:t>
      </w:r>
      <w:r>
        <w:rPr/>
        <w:t xml:space="preserve"> {{field-on:bible}}Und er nahm ihn beiseite, abseits der Menschenmenge, </w:t>
      </w:r>
      <w:r>
        <w:rPr>
          <w:b/>
          <w:color w:val="808080"/>
        </w:rPr>
        <w:t>[</w:t>
      </w:r>
      <w:r>
        <w:rPr/>
        <w:t>wo sie</w:t>
      </w:r>
      <w:r>
        <w:rPr>
          <w:b/>
          <w:color w:val="808080"/>
        </w:rPr>
        <w:t>]</w:t>
      </w:r>
      <w:r>
        <w:rPr/>
        <w:t xml:space="preserve"> unter sich </w:t>
      </w:r>
      <w:r>
        <w:rPr>
          <w:b/>
          <w:color w:val="808080"/>
        </w:rPr>
        <w:t>[</w:t>
      </w:r>
      <w:r>
        <w:rPr/>
        <w:t>waren</w:t>
      </w:r>
      <w:r>
        <w:rPr>
          <w:b/>
          <w:color w:val="808080"/>
        </w:rPr>
        <w:t>]</w:t>
      </w:r>
      <w:r>
        <w:rPr/>
        <w:t xml:space="preserve">, und steckte ihm seine Finger in die Ohren. Dann </w:t>
      </w:r>
      <w:r>
        <w:rPr>
          <w:color w:val="808080"/>
        </w:rPr>
        <w:t>(und)</w:t>
      </w:r>
      <w:r>
        <w:rPr/>
        <w:t xml:space="preserve"> spuckte er und </w:t>
      </w:r>
      <w:r>
        <w:rPr>
          <w:rStyle w:val="Funotenanker"/>
        </w:rPr>
        <w:footnoteReference w:customMarkFollows="1" w:id="1649"/>
        <w:t>ba</w:t>
      </w:r>
      <w:r>
        <w:rPr/>
        <w:t xml:space="preserve"> berührte seine Zunge.</w:t>
      </w:r>
      <w:r>
        <w:rPr>
          <w:position w:val="8"/>
          <w:sz w:val="19"/>
        </w:rPr>
        <w:t>[[ ℘ &gt;&gt; BibleTOBIBLE:Mk 8:23]]</w:t>
      </w:r>
      <w:r>
        <w:rPr/>
        <w:t xml:space="preserve"> {{field-off:bible}} </w:t>
        <w:br/>
        <w:t>[[@BibleTOBIBLE:Mk 7:34]]</w:t>
      </w:r>
      <w:r>
        <w:rPr>
          <w:b/>
        </w:rPr>
        <w:t>34</w:t>
      </w:r>
      <w:r>
        <w:rPr/>
        <w:t xml:space="preserve"> {{field-on:bible}}Schließlich </w:t>
      </w:r>
      <w:r>
        <w:rPr>
          <w:color w:val="808080"/>
        </w:rPr>
        <w:t>(und)</w:t>
      </w:r>
      <w:r>
        <w:rPr/>
        <w:t xml:space="preserve"> blickte er zum Himmel auf und </w:t>
      </w:r>
      <w:r>
        <w:rPr>
          <w:rStyle w:val="Funotenanker"/>
        </w:rPr>
        <w:footnoteReference w:customMarkFollows="1" w:id="1650"/>
        <w:t>bb</w:t>
      </w:r>
      <w:r>
        <w:rPr/>
        <w:t xml:space="preserve"> seufzte </w:t>
      </w:r>
      <w:r>
        <w:rPr>
          <w:color w:val="808080"/>
        </w:rPr>
        <w:t>(stöhnte)</w:t>
      </w:r>
      <w:r>
        <w:rPr/>
        <w:t xml:space="preserve">, dann </w:t>
      </w:r>
      <w:r>
        <w:rPr>
          <w:color w:val="808080"/>
        </w:rPr>
        <w:t>(und)</w:t>
      </w:r>
      <w:r>
        <w:rPr/>
        <w:t xml:space="preserve"> sagte er zu ihm: „Effata!“ </w:t>
      </w:r>
      <w:r>
        <w:rPr>
          <w:rStyle w:val="Funotenanker"/>
        </w:rPr>
        <w:footnoteReference w:customMarkFollows="1" w:id="1651"/>
        <w:t>bc</w:t>
      </w:r>
      <w:r>
        <w:rPr/>
        <w:t xml:space="preserve">, das heißt: „Öffne dich!“{{field-off:bible}} </w:t>
        <w:br/>
        <w:t>[[@BibleTOBIBLE:Mk 7:35]]</w:t>
      </w:r>
      <w:r>
        <w:rPr>
          <w:b/>
        </w:rPr>
        <w:t>35</w:t>
      </w:r>
      <w:r>
        <w:rPr/>
        <w:t xml:space="preserve"> {{field-on:bible}}Und sofort öffneten sich seine Ohren </w:t>
      </w:r>
      <w:r>
        <w:rPr>
          <w:color w:val="808080"/>
        </w:rPr>
        <w:t>(Hörgänge)</w:t>
      </w:r>
      <w:r>
        <w:rPr/>
        <w:t xml:space="preserve">, und die Hemmung </w:t>
      </w:r>
      <w:r>
        <w:rPr>
          <w:color w:val="808080"/>
        </w:rPr>
        <w:t>(Fessel)</w:t>
      </w:r>
      <w:r>
        <w:rPr/>
        <w:t xml:space="preserve"> </w:t>
      </w:r>
      <w:r>
        <w:rPr>
          <w:rStyle w:val="Funotenanker"/>
        </w:rPr>
        <w:footnoteReference w:customMarkFollows="1" w:id="1652"/>
        <w:t>bd</w:t>
      </w:r>
      <w:r>
        <w:rPr/>
        <w:t xml:space="preserve"> seiner Zunge löste sich, und er konnte richtig sprechen </w:t>
      </w:r>
      <w:r>
        <w:rPr>
          <w:rStyle w:val="Funotenanker"/>
        </w:rPr>
        <w:footnoteReference w:customMarkFollows="1" w:id="1653"/>
        <w:t>be</w:t>
      </w:r>
      <w:r>
        <w:rPr/>
        <w:t>.</w:t>
      </w:r>
      <w:r>
        <w:rPr>
          <w:position w:val="8"/>
          <w:sz w:val="19"/>
        </w:rPr>
        <w:t>[[ ℘ &gt;&gt; BibleTOBIBLE:Mk 8:25]]</w:t>
      </w:r>
      <w:r>
        <w:rPr/>
        <w:t xml:space="preserve"> {{field-off:bible}} </w:t>
        <w:br/>
        <w:t>[[@BibleTOBIBLE:Mk 7:36]]</w:t>
      </w:r>
      <w:r>
        <w:rPr>
          <w:b/>
        </w:rPr>
        <w:t>36</w:t>
      </w:r>
      <w:r>
        <w:rPr/>
        <w:t xml:space="preserve"> {{field-on:bible}}Und er schärfte </w:t>
      </w:r>
      <w:r>
        <w:rPr>
          <w:b/>
          <w:color w:val="808080"/>
        </w:rPr>
        <w:t>[</w:t>
      </w:r>
      <w:r>
        <w:rPr/>
        <w:t>den Leuten</w:t>
      </w:r>
      <w:r>
        <w:rPr>
          <w:b/>
          <w:color w:val="808080"/>
        </w:rPr>
        <w:t>]</w:t>
      </w:r>
      <w:r>
        <w:rPr/>
        <w:t xml:space="preserve"> ein </w:t>
      </w:r>
      <w:r>
        <w:rPr>
          <w:color w:val="808080"/>
        </w:rPr>
        <w:t>(ordnete an, verbot)</w:t>
      </w:r>
      <w:r>
        <w:rPr/>
        <w:t xml:space="preserve">, mit niemandem zu sprechen. Aber je mehr er es ihnen einschärfte </w:t>
      </w:r>
      <w:r>
        <w:rPr>
          <w:color w:val="808080"/>
        </w:rPr>
        <w:t>(verbot, darauf bestand)</w:t>
      </w:r>
      <w:r>
        <w:rPr/>
        <w:t xml:space="preserve">, desto mehr machten </w:t>
      </w:r>
      <w:r>
        <w:rPr>
          <w:color w:val="808080"/>
        </w:rPr>
        <w:t>(predigten, verkündeten)</w:t>
      </w:r>
      <w:r>
        <w:rPr/>
        <w:t xml:space="preserve"> sie </w:t>
      </w:r>
      <w:r>
        <w:rPr>
          <w:b/>
          <w:color w:val="808080"/>
        </w:rPr>
        <w:t>[</w:t>
      </w:r>
      <w:r>
        <w:rPr/>
        <w:t>es</w:t>
      </w:r>
      <w:r>
        <w:rPr>
          <w:b/>
          <w:color w:val="808080"/>
        </w:rPr>
        <w:t>]</w:t>
      </w:r>
      <w:r>
        <w:rPr/>
        <w:t xml:space="preserve"> bekannt.{{field-off:bible}} </w:t>
        <w:br/>
        <w:t>[[@BibleTOBIBLE:Mk 7:37]]</w:t>
      </w:r>
      <w:r>
        <w:rPr>
          <w:b/>
        </w:rPr>
        <w:t>37</w:t>
      </w:r>
      <w:r>
        <w:rPr/>
        <w:t xml:space="preserve"> {{field-on:bible}}Und sie waren zutiefst </w:t>
      </w:r>
      <w:r>
        <w:rPr>
          <w:color w:val="808080"/>
        </w:rPr>
        <w:t>(maßlos)</w:t>
      </w:r>
      <w:r>
        <w:rPr/>
        <w:t xml:space="preserve"> erstaunt </w:t>
      </w:r>
      <w:r>
        <w:rPr>
          <w:color w:val="808080"/>
        </w:rPr>
        <w:t>(überwältigt, beeindruckt)</w:t>
      </w:r>
      <w:r>
        <w:rPr/>
        <w:t xml:space="preserve"> und sagten </w:t>
      </w:r>
      <w:r>
        <w:rPr>
          <w:rStyle w:val="Funotenanker"/>
        </w:rPr>
        <w:footnoteReference w:customMarkFollows="1" w:id="1654"/>
        <w:t>bf</w:t>
      </w:r>
      <w:r>
        <w:rPr/>
        <w:t xml:space="preserve">: „Er hat alles gut gemacht, und er befähigt </w:t>
      </w:r>
      <w:r>
        <w:rPr>
          <w:color w:val="808080"/>
        </w:rPr>
        <w:t xml:space="preserve">(macht, </w:t>
      </w:r>
      <w:r>
        <w:rPr>
          <w:b/>
          <w:color w:val="808080"/>
        </w:rPr>
        <w:t>[</w:t>
      </w:r>
      <w:r>
        <w:rPr>
          <w:color w:val="808080"/>
        </w:rPr>
        <w:t>dass</w:t>
      </w:r>
      <w:r>
        <w:rPr>
          <w:b/>
          <w:color w:val="808080"/>
        </w:rPr>
        <w:t>]</w:t>
      </w:r>
      <w:r>
        <w:rPr>
          <w:color w:val="808080"/>
        </w:rPr>
        <w:t>)</w:t>
      </w:r>
      <w:r>
        <w:rPr/>
        <w:t xml:space="preserve"> die Tauben zu hören und die Stummen zu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655"/>
        <w:t>Status</w:t>
      </w:r>
      <w:r>
        <w:rPr/>
        <w:t xml:space="preserve"> Als in jenen Tagen wieder einmal eine große Menschenmenge </w:t>
      </w:r>
      <w:r>
        <w:rPr>
          <w:b/>
          <w:color w:val="808080"/>
        </w:rPr>
        <w:t>[</w:t>
      </w:r>
      <w:r>
        <w:rPr/>
        <w:t>bei Jesus</w:t>
      </w:r>
      <w:r>
        <w:rPr>
          <w:b/>
          <w:color w:val="808080"/>
        </w:rPr>
        <w:t>]</w:t>
      </w:r>
      <w:r>
        <w:rPr/>
        <w:t xml:space="preserve"> war und </w:t>
      </w:r>
      <w:r>
        <w:rPr>
          <w:b/>
          <w:color w:val="808080"/>
        </w:rPr>
        <w:t>[</w:t>
      </w:r>
      <w:r>
        <w:rPr/>
        <w:t>sie</w:t>
      </w:r>
      <w:r>
        <w:rPr>
          <w:b/>
          <w:color w:val="808080"/>
        </w:rPr>
        <w:t>]</w:t>
      </w:r>
      <w:r>
        <w:rPr/>
        <w:t xml:space="preserve"> nichts zu essen hatten, da rief er die Jünger zu sich und </w:t>
      </w:r>
      <w:r>
        <w:rPr>
          <w:rStyle w:val="Funotenanker"/>
        </w:rPr>
        <w:footnoteReference w:customMarkFollows="1" w:id="1656"/>
        <w:t>a</w:t>
      </w:r>
      <w:r>
        <w:rPr/>
        <w:t xml:space="preserve"> sagte zu ihnen:{{field-off:bible}} </w:t>
        <w:br/>
        <w:t>[[@BibleTOBIBLE:Mk 8:2]]</w:t>
      </w:r>
      <w:r>
        <w:rPr>
          <w:b/>
        </w:rPr>
        <w:t>2</w:t>
      </w:r>
      <w:r>
        <w:rPr/>
        <w:t xml:space="preserve"> {{field-on:bible}}„Ich bedauere </w:t>
      </w:r>
      <w:r>
        <w:rPr>
          <w:color w:val="808080"/>
        </w:rPr>
        <w:t>(habe Mitleid mit)</w:t>
      </w:r>
      <w:r>
        <w:rPr/>
        <w:t xml:space="preserve"> die Menschenmenge </w:t>
      </w:r>
      <w:r>
        <w:rPr>
          <w:color w:val="808080"/>
        </w:rPr>
        <w:t>(den Leuten)</w:t>
      </w:r>
      <w:r>
        <w:rPr/>
        <w:t xml:space="preserve">, weil sie schon drei Tage lang bei mir sind und nichts zu essen haben.{{field-off:bible}} </w:t>
        <w:br/>
        <w:t>[[@BibleTOBIBLE:Mk 8:3]]</w:t>
      </w:r>
      <w:r>
        <w:rPr>
          <w:b/>
        </w:rPr>
        <w:t>3</w:t>
      </w:r>
      <w:r>
        <w:rPr/>
        <w:t xml:space="preserve"> {{field-on:bible}}Und wenn ich sie ohne zu essen </w:t>
      </w:r>
      <w:r>
        <w:rPr>
          <w:color w:val="808080"/>
        </w:rPr>
        <w:t>(hungrig)</w:t>
      </w:r>
      <w:r>
        <w:rPr/>
        <w:t xml:space="preserve"> nach Hause gehen lasse </w:t>
      </w:r>
      <w:r>
        <w:rPr>
          <w:color w:val="808080"/>
        </w:rPr>
        <w:t>(schicke)</w:t>
      </w:r>
      <w:r>
        <w:rPr/>
        <w:t xml:space="preserve">, dann werden sie unterwegs zusammenbrechen </w:t>
      </w:r>
      <w:r>
        <w:rPr>
          <w:color w:val="808080"/>
        </w:rPr>
        <w:t>(sehr schwach werden)</w:t>
      </w:r>
      <w:r>
        <w:rPr/>
        <w:t xml:space="preserve">. Und manche von ihnen sind von weit her </w:t>
      </w:r>
      <w:r>
        <w:rPr>
          <w:color w:val="808080"/>
        </w:rPr>
        <w:t>(von so weit her)</w:t>
      </w:r>
      <w:r>
        <w:rPr/>
        <w:t xml:space="preserve"> </w:t>
      </w:r>
      <w:r>
        <w:rPr>
          <w:rStyle w:val="Funotenanker"/>
        </w:rPr>
        <w:footnoteReference w:customMarkFollows="1" w:id="1657"/>
        <w:t>b</w:t>
      </w:r>
      <w:r>
        <w:rPr/>
        <w:t xml:space="preserve"> gekommen.“{{field-off:bible}} </w:t>
        <w:br/>
        <w:t>[[@BibleTOBIBLE:Mk 8:4]]</w:t>
      </w:r>
      <w:r>
        <w:rPr>
          <w:b/>
        </w:rPr>
        <w:t>4</w:t>
      </w:r>
      <w:r>
        <w:rPr/>
        <w:t xml:space="preserve"> {{field-on:bible}}Und seine Jünger antworteten ihm: „Woher </w:t>
      </w:r>
      <w:r>
        <w:rPr>
          <w:rStyle w:val="Funotenanker"/>
        </w:rPr>
        <w:footnoteReference w:customMarkFollows="1" w:id="1658"/>
        <w:t>c</w:t>
      </w:r>
      <w:r>
        <w:rPr/>
        <w:t xml:space="preserve"> soll man </w:t>
      </w:r>
      <w:r>
        <w:rPr>
          <w:b/>
          <w:color w:val="808080"/>
        </w:rPr>
        <w:t>[</w:t>
      </w:r>
      <w:r>
        <w:rPr/>
        <w:t>all</w:t>
      </w:r>
      <w:r>
        <w:rPr>
          <w:b/>
          <w:color w:val="808080"/>
        </w:rPr>
        <w:t>]</w:t>
      </w:r>
      <w:r>
        <w:rPr/>
        <w:t xml:space="preserve"> diese </w:t>
      </w:r>
      <w:r>
        <w:rPr>
          <w:b/>
          <w:color w:val="808080"/>
        </w:rPr>
        <w:t>[</w:t>
      </w:r>
      <w:r>
        <w:rPr/>
        <w:t>Leute</w:t>
      </w:r>
      <w:r>
        <w:rPr>
          <w:b/>
          <w:color w:val="808080"/>
        </w:rPr>
        <w:t>]</w:t>
      </w:r>
      <w:r>
        <w:rPr/>
        <w:t xml:space="preserve"> ''hier'' in </w:t>
      </w:r>
      <w:r>
        <w:rPr>
          <w:b/>
          <w:color w:val="808080"/>
        </w:rPr>
        <w:t>[</w:t>
      </w:r>
      <w:r>
        <w:rPr/>
        <w:t>dieser</w:t>
      </w:r>
      <w:r>
        <w:rPr>
          <w:b/>
          <w:color w:val="808080"/>
        </w:rPr>
        <w:t>]</w:t>
      </w:r>
      <w:r>
        <w:rPr/>
        <w:t xml:space="preserve"> Einöde </w:t>
      </w:r>
      <w:r>
        <w:rPr>
          <w:color w:val="808080"/>
        </w:rPr>
        <w:t>(unbewohnten Gegend)</w:t>
      </w:r>
      <w:r>
        <w:rPr/>
        <w:t xml:space="preserve"> mit Broten </w:t>
      </w:r>
      <w:r>
        <w:rPr>
          <w:color w:val="808080"/>
        </w:rPr>
        <w:t>(Nahrung)</w:t>
      </w:r>
      <w:r>
        <w:rPr/>
        <w:t xml:space="preserve"> satt machen können?“{{field-off:bible}} </w:t>
        <w:br/>
        <w:t>[[@BibleTOBIBLE:Mk 8:5]]</w:t>
      </w:r>
      <w:r>
        <w:rPr>
          <w:b/>
        </w:rPr>
        <w:t>5</w:t>
      </w:r>
      <w:r>
        <w:rPr/>
        <w:t xml:space="preserve"> {{field-on:bible}}Und er fragte sie: „Wie viele Brote habt ihr?“ Sie </w:t>
      </w:r>
      <w:r>
        <w:rPr>
          <w:strike/>
          <w:color w:val="808080"/>
        </w:rPr>
        <w:t>{aber}</w:t>
      </w:r>
      <w:r>
        <w:rPr/>
        <w:t xml:space="preserve"> sagten: „Sieben.“</w:t>
      </w:r>
      <w:r>
        <w:rPr>
          <w:position w:val="8"/>
          <w:sz w:val="19"/>
        </w:rPr>
        <w:t>[[ ℘ &gt;&gt; BibleTOBIBLE:Mk 6:38]]</w:t>
      </w:r>
      <w:r>
        <w:rPr/>
        <w:t xml:space="preserve"> {{field-off:bible}} </w:t>
        <w:br/>
        <w:t>[[@BibleTOBIBLE:Mk 8:6]]</w:t>
      </w:r>
      <w:r>
        <w:rPr>
          <w:b/>
        </w:rPr>
        <w:t>6</w:t>
      </w:r>
      <w:r>
        <w:rPr/>
        <w:t xml:space="preserve"> {{field-on:bible}}Daraufhin </w:t>
      </w:r>
      <w:r>
        <w:rPr>
          <w:color w:val="808080"/>
        </w:rPr>
        <w:t>(Und)</w:t>
      </w:r>
      <w:r>
        <w:rPr/>
        <w:t xml:space="preserve"> gab er der Menschenmenge die Anweisung, auf dem Boden Platz zu nehmen; und nachdem er die sieben Brote genommen </w:t>
      </w:r>
      <w:r>
        <w:rPr>
          <w:color w:val="808080"/>
        </w:rPr>
        <w:t>(erhalten)</w:t>
      </w:r>
      <w:r>
        <w:rPr/>
        <w:t xml:space="preserve"> und ein Dankgebet gesprochen hatte, </w:t>
      </w:r>
      <w:r>
        <w:rPr>
          <w:rStyle w:val="Funotenanker"/>
        </w:rPr>
        <w:footnoteReference w:customMarkFollows="1" w:id="1659"/>
        <w:t>d</w:t>
      </w:r>
      <w:r>
        <w:rPr/>
        <w:t xml:space="preserve"> brach er sie durch und gab sie seinen Jüngern, um sie auszuteilen, und sie teilten sie an die Menschenmenge </w:t>
      </w:r>
      <w:r>
        <w:rPr>
          <w:color w:val="808080"/>
        </w:rPr>
        <w:t>(Leute)</w:t>
      </w:r>
      <w:r>
        <w:rPr/>
        <w:t xml:space="preserve"> aus.</w:t>
      </w:r>
      <w:r>
        <w:rPr>
          <w:position w:val="8"/>
          <w:sz w:val="19"/>
        </w:rPr>
        <w:t>[[ ℘ &gt;&gt; BibleTOBIBLE:Mk 6:41]]</w:t>
      </w:r>
      <w:r>
        <w:rPr/>
        <w:t xml:space="preserve"> {{field-off:bible}} </w:t>
        <w:br/>
        <w:t>[[@BibleTOBIBLE:Mk 8:7]]</w:t>
      </w:r>
      <w:r>
        <w:rPr>
          <w:b/>
        </w:rPr>
        <w:t>7</w:t>
      </w:r>
      <w:r>
        <w:rPr/>
        <w:t xml:space="preserve"> {{field-on:bible}}Und sie hatten ein paar Fische </w:t>
      </w:r>
      <w:r>
        <w:rPr>
          <w:color w:val="808080"/>
        </w:rPr>
        <w:t>(kleine Fische)</w:t>
      </w:r>
      <w:r>
        <w:rPr/>
        <w:t xml:space="preserve"> </w:t>
      </w:r>
      <w:r>
        <w:rPr>
          <w:rStyle w:val="Funotenanker"/>
        </w:rPr>
        <w:footnoteReference w:customMarkFollows="1" w:id="1660"/>
        <w:t>e</w:t>
      </w:r>
      <w:r>
        <w:rPr/>
        <w:t xml:space="preserve"> dabei; und er segnete sie und ließ auch sie verteilen.</w:t>
      </w:r>
      <w:r>
        <w:rPr>
          <w:position w:val="8"/>
          <w:sz w:val="19"/>
        </w:rPr>
        <w:t>[[ ℘ &gt;&gt; BibleTOBIBLE:Mk 6:41]]</w:t>
      </w:r>
      <w:r>
        <w:rPr/>
        <w:t xml:space="preserve"> {{field-off:bible}} </w:t>
        <w:br/>
        <w:t>[[@BibleTOBIBLE:Mk 8:8]]</w:t>
      </w:r>
      <w:r>
        <w:rPr>
          <w:b/>
        </w:rPr>
        <w:t>8</w:t>
      </w:r>
      <w:r>
        <w:rPr/>
        <w:t xml:space="preserve"> {{field-on:bible}}Und </w:t>
      </w:r>
      <w:r>
        <w:rPr>
          <w:b/>
          <w:color w:val="808080"/>
        </w:rPr>
        <w:t>[</w:t>
      </w:r>
      <w:r>
        <w:rPr/>
        <w:t>die Menschen</w:t>
      </w:r>
      <w:r>
        <w:rPr>
          <w:b/>
          <w:color w:val="808080"/>
        </w:rPr>
        <w:t>]</w:t>
      </w:r>
      <w:r>
        <w:rPr/>
        <w:t xml:space="preserve"> aßen und wurden satt, und sie hoben die übrig gebliebenen Brocken </w:t>
      </w:r>
      <w:r>
        <w:rPr>
          <w:rStyle w:val="Funotenanker"/>
        </w:rPr>
        <w:footnoteReference w:customMarkFollows="1" w:id="1661"/>
        <w:t>f</w:t>
      </w:r>
      <w:r>
        <w:rPr/>
        <w:t xml:space="preserve"> auf, sieben Körbe.</w:t>
      </w:r>
      <w:r>
        <w:rPr>
          <w:position w:val="8"/>
          <w:sz w:val="19"/>
        </w:rPr>
        <w:t>[[ ℘ &gt;&gt; BibleTOBIBLE:Mk 6:42]]</w:t>
      </w:r>
      <w:r>
        <w:rPr/>
        <w:t xml:space="preserve"> {{field-off:bible}} </w:t>
        <w:br/>
        <w:t>[[@BibleTOBIBLE:Mk 8:9]]</w:t>
      </w:r>
      <w:r>
        <w:rPr>
          <w:b/>
        </w:rPr>
        <w:t>9</w:t>
      </w:r>
      <w:r>
        <w:rPr/>
        <w:t xml:space="preserve"> {{field-on:bible}}Es waren </w:t>
      </w:r>
      <w:r>
        <w:rPr>
          <w:strike/>
          <w:color w:val="808080"/>
        </w:rPr>
        <w:t>{aber}</w:t>
      </w:r>
      <w:r>
        <w:rPr/>
        <w:t xml:space="preserve"> etwa viertausend </w:t>
      </w:r>
      <w:r>
        <w:rPr>
          <w:b/>
          <w:color w:val="808080"/>
        </w:rPr>
        <w:t>[</w:t>
      </w:r>
      <w:r>
        <w:rPr/>
        <w:t>Menschen</w:t>
      </w:r>
      <w:r>
        <w:rPr>
          <w:b/>
          <w:color w:val="808080"/>
        </w:rPr>
        <w:t>]</w:t>
      </w:r>
      <w:r>
        <w:rPr/>
        <w:t xml:space="preserve">. Danach </w:t>
      </w:r>
      <w:r>
        <w:rPr>
          <w:color w:val="808080"/>
        </w:rPr>
        <w:t>(Und)</w:t>
      </w:r>
      <w:r>
        <w:rPr/>
        <w:t xml:space="preserve"> verabschiedete </w:t>
      </w:r>
      <w:r>
        <w:rPr>
          <w:color w:val="808080"/>
        </w:rPr>
        <w:t>(ließ gehen, schickte weg)</w:t>
      </w:r>
      <w:r>
        <w:rPr/>
        <w:t xml:space="preserve"> er sie,</w:t>
      </w:r>
      <w:r>
        <w:rPr>
          <w:position w:val="8"/>
          <w:sz w:val="19"/>
        </w:rPr>
        <w:t>[[ ℘ &gt;&gt; BibleTOBIBLE:Mk 6:44]]</w:t>
      </w:r>
      <w:r>
        <w:rPr/>
        <w:t xml:space="preserve"> {{field-off:bible}} </w:t>
        <w:br/>
        <w:t>[[@BibleTOBIBLE:Mk 8:10]]</w:t>
      </w:r>
      <w:r>
        <w:rPr>
          <w:b/>
        </w:rPr>
        <w:t>10</w:t>
      </w:r>
      <w:r>
        <w:rPr/>
        <w:t xml:space="preserve"> {{field-on:bible}}und gleich darauf stieg er mit seinen Jüngern in das Boot und </w:t>
      </w:r>
      <w:r>
        <w:rPr>
          <w:rStyle w:val="Funotenanker"/>
        </w:rPr>
        <w:footnoteReference w:customMarkFollows="1" w:id="1662"/>
        <w:t>g</w:t>
      </w:r>
      <w:r>
        <w:rPr/>
        <w:t xml:space="preserve"> gelangte </w:t>
      </w:r>
      <w:r>
        <w:rPr>
          <w:color w:val="808080"/>
        </w:rPr>
        <w:t>(kam)</w:t>
      </w:r>
      <w:r>
        <w:rPr/>
        <w:t xml:space="preserve"> in das Gebiet von Dalmanuta </w:t>
      </w:r>
      <w:r>
        <w:rPr>
          <w:rStyle w:val="Funotenanker"/>
        </w:rPr>
        <w:footnoteReference w:customMarkFollows="1" w:id="1663"/>
        <w:t>h</w:t>
      </w:r>
      <w:r>
        <w:rPr/>
        <w:t xml:space="preserve">.{{field-off:bible}} </w:t>
        <w:br/>
        <w:t>[[@BibleTOBIBLE:Mk 8:11]]</w:t>
      </w:r>
      <w:r>
        <w:rPr>
          <w:b/>
        </w:rPr>
        <w:t>11</w:t>
      </w:r>
      <w:r>
        <w:rPr/>
        <w:t xml:space="preserve"> {{field-on:bible}}Da </w:t>
      </w:r>
      <w:r>
        <w:rPr>
          <w:color w:val="808080"/>
        </w:rPr>
        <w:t>(Und)</w:t>
      </w:r>
      <w:r>
        <w:rPr/>
        <w:t xml:space="preserve"> kamen die Pharisäer zusammen </w:t>
      </w:r>
      <w:r>
        <w:rPr>
          <w:color w:val="808080"/>
        </w:rPr>
        <w:t>(heraus)</w:t>
      </w:r>
      <w:r>
        <w:rPr/>
        <w:t xml:space="preserve"> </w:t>
      </w:r>
      <w:r>
        <w:rPr>
          <w:rStyle w:val="Funotenanker"/>
        </w:rPr>
        <w:footnoteReference w:customMarkFollows="1" w:id="1664"/>
        <w:t>i</w:t>
      </w:r>
      <w:r>
        <w:rPr/>
        <w:t xml:space="preserve"> und begannen mit ihm zu streiten, wobei sie von ihm ein Zeichen vom Himmel verlangten, </w:t>
      </w:r>
      <w:r>
        <w:rPr>
          <w:rStyle w:val="Funotenanker"/>
        </w:rPr>
        <w:footnoteReference w:customMarkFollows="1" w:id="1665"/>
        <w:t>j</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666"/>
        <w:t>k</w:t>
      </w:r>
      <w:r>
        <w:rPr/>
        <w:t xml:space="preserve"> {{field-off:bible}} </w:t>
        <w:br/>
        <w:t>[[@BibleTOBIBLE:Mk 8:12]]</w:t>
      </w:r>
      <w:r>
        <w:rPr>
          <w:b/>
        </w:rPr>
        <w:t>12</w:t>
      </w:r>
      <w:r>
        <w:rPr/>
        <w:t xml:space="preserve"> {{field-on:bible}}Und er stöhnte </w:t>
      </w:r>
      <w:r>
        <w:rPr>
          <w:color w:val="808080"/>
        </w:rPr>
        <w:t>(seufzte tief)</w:t>
      </w:r>
      <w:r>
        <w:rPr/>
        <w:t xml:space="preserve"> aus dem Innersten </w:t>
      </w:r>
      <w:r>
        <w:rPr>
          <w:color w:val="808080"/>
        </w:rPr>
        <w:t>(innerlich)</w:t>
      </w:r>
      <w:r>
        <w:rPr/>
        <w:t xml:space="preserve"> </w:t>
      </w:r>
      <w:r>
        <w:rPr>
          <w:rStyle w:val="Funotenanker"/>
        </w:rPr>
        <w:footnoteReference w:customMarkFollows="1" w:id="1667"/>
        <w:t>l</w:t>
      </w:r>
      <w:r>
        <w:rPr/>
        <w:t xml:space="preserve"> auf und </w:t>
      </w:r>
      <w:r>
        <w:rPr>
          <w:rStyle w:val="Funotenanker"/>
        </w:rPr>
        <w:footnoteReference w:customMarkFollows="1" w:id="1668"/>
        <w:t>m</w:t>
      </w:r>
      <w:r>
        <w:rPr/>
        <w:t xml:space="preserve"> sagte: „Wie!? </w:t>
      </w:r>
      <w:r>
        <w:rPr>
          <w:rStyle w:val="Funotenanker"/>
        </w:rPr>
        <w:footnoteReference w:customMarkFollows="1" w:id="1669"/>
        <w:t>n</w:t>
      </w:r>
      <w:r>
        <w:rPr/>
        <w:t xml:space="preserve"> Diese Generation </w:t>
      </w:r>
      <w:r>
        <w:rPr>
          <w:color w:val="808080"/>
        </w:rPr>
        <w:t>(Dieses Pack)</w:t>
      </w:r>
      <w:r>
        <w:rPr/>
        <w:t xml:space="preserve"> </w:t>
      </w:r>
      <w:r>
        <w:rPr>
          <w:rStyle w:val="Funotenanker"/>
        </w:rPr>
        <w:footnoteReference w:customMarkFollows="1" w:id="1670"/>
        <w:t>o</w:t>
      </w:r>
      <w:r>
        <w:rPr/>
        <w:t xml:space="preserve"> verlangt ein Zeichen? </w:t>
      </w:r>
      <w:r>
        <w:rPr>
          <w:color w:val="808080"/>
        </w:rPr>
        <w:t>(Warum verlangt diese Generation ein Zeichen?)</w:t>
      </w:r>
      <w:r>
        <w:rPr/>
        <w:t xml:space="preserve"> Amen </w:t>
      </w:r>
      <w:r>
        <w:rPr>
          <w:color w:val="808080"/>
        </w:rPr>
        <w:t>(Ja, Wahrlich)</w:t>
      </w:r>
      <w:r>
        <w:rPr/>
        <w:t xml:space="preserve">, ich sage euch: Wenn dieser Generation </w:t>
      </w:r>
      <w:r>
        <w:rPr>
          <w:color w:val="808080"/>
        </w:rPr>
        <w:t>(diesem Pack)</w:t>
      </w:r>
      <w:r>
        <w:rPr/>
        <w:t xml:space="preserve"> ein Zeichen gegeben werden wird... </w:t>
      </w:r>
      <w:r>
        <w:rPr>
          <w:color w:val="808080"/>
        </w:rPr>
        <w:t>(Nie und nimmer wird dieser Generation ein Zeichen gegeben werden)</w:t>
      </w:r>
      <w:r>
        <w:rPr/>
        <w:t xml:space="preserve">!“{{field-off:bible}} </w:t>
        <w:br/>
        <w:t>[[@BibleTOBIBLE:Mk 8:13]]</w:t>
      </w:r>
      <w:r>
        <w:rPr>
          <w:b/>
        </w:rPr>
        <w:t>13</w:t>
      </w:r>
      <w:r>
        <w:rPr/>
        <w:t xml:space="preserve"> {{field-on:bible}}Und er ließ sie </w:t>
      </w:r>
      <w:r>
        <w:rPr>
          <w:b/>
          <w:color w:val="808080"/>
        </w:rPr>
        <w:t>[</w:t>
      </w:r>
      <w:r>
        <w:rPr/>
        <w:t>stehen</w:t>
      </w:r>
      <w:r>
        <w:rPr>
          <w:b/>
          <w:color w:val="808080"/>
        </w:rPr>
        <w:t>]</w:t>
      </w:r>
      <w:r>
        <w:rPr/>
        <w:t xml:space="preserve"> </w:t>
      </w:r>
      <w:r>
        <w:rPr>
          <w:color w:val="808080"/>
        </w:rPr>
        <w:t>(verließ sie)</w:t>
      </w:r>
      <w:r>
        <w:rPr/>
        <w:t xml:space="preserve">, </w:t>
      </w:r>
      <w:r>
        <w:rPr>
          <w:rStyle w:val="Funotenanker"/>
        </w:rPr>
        <w:footnoteReference w:customMarkFollows="1" w:id="1671"/>
        <w:t>p</w:t>
      </w:r>
      <w:r>
        <w:rPr/>
        <w:t xml:space="preserve"> stieg wieder ein und fuhr zum anderen Ufer.{{field-off:bible}} </w:t>
        <w:br/>
        <w:t>[[@BibleTOBIBLE:Mk 8:14]]</w:t>
      </w:r>
      <w:r>
        <w:rPr>
          <w:b/>
        </w:rPr>
        <w:t>14</w:t>
      </w:r>
      <w:r>
        <w:rPr/>
        <w:t xml:space="preserve"> {{field-on:bible}} </w:t>
      </w:r>
      <w:r>
        <w:rPr>
          <w:strike/>
          <w:color w:val="808080"/>
        </w:rPr>
        <w:t>{Und}</w:t>
      </w:r>
      <w:r>
        <w:rPr/>
        <w:t xml:space="preserve"> Sie </w:t>
      </w:r>
      <w:r>
        <w:rPr>
          <w:rStyle w:val="Funotenanker"/>
        </w:rPr>
        <w:footnoteReference w:customMarkFollows="1" w:id="1672"/>
        <w:t>q</w:t>
      </w:r>
      <w:r>
        <w:rPr/>
        <w:t xml:space="preserve"> hatten vergessen </w:t>
      </w:r>
      <w:r>
        <w:rPr>
          <w:color w:val="808080"/>
        </w:rPr>
        <w:t>(vergaßen)</w:t>
      </w:r>
      <w:r>
        <w:rPr/>
        <w:t xml:space="preserve">, </w:t>
      </w:r>
      <w:r>
        <w:rPr>
          <w:rStyle w:val="Funotenanker"/>
        </w:rPr>
        <w:footnoteReference w:customMarkFollows="1" w:id="1673"/>
        <w:t>r</w:t>
      </w:r>
      <w:r>
        <w:rPr/>
        <w:t xml:space="preserve"> Brote mitzunehmen, sodass </w:t>
      </w:r>
      <w:r>
        <w:rPr>
          <w:color w:val="808080"/>
        </w:rPr>
        <w:t>(und)</w:t>
      </w:r>
      <w:r>
        <w:rPr/>
        <w:t xml:space="preserve"> sie bis auf eines kein Brot im Boot dabei hatten.{{field-off:bible}} </w:t>
        <w:br/>
        <w:t>[[@BibleTOBIBLE:Mk 8:15]]</w:t>
      </w:r>
      <w:r>
        <w:rPr>
          <w:b/>
        </w:rPr>
        <w:t>15</w:t>
      </w:r>
      <w:r>
        <w:rPr/>
        <w:t xml:space="preserve"> {{field-on:bible}}Und er schärfte ihnen ein </w:t>
      </w:r>
      <w:r>
        <w:rPr>
          <w:color w:val="808080"/>
        </w:rPr>
        <w:t>(warnte sie)</w:t>
      </w:r>
      <w:r>
        <w:rPr/>
        <w:t xml:space="preserve"> </w:t>
      </w:r>
      <w:r>
        <w:rPr>
          <w:strike/>
          <w:color w:val="808080"/>
        </w:rPr>
        <w:t>{sagend}</w:t>
      </w:r>
      <w:r>
        <w:rPr/>
        <w:t xml:space="preserve">: </w:t>
      </w:r>
      <w:r>
        <w:rPr>
          <w:rStyle w:val="Funotenanker"/>
        </w:rPr>
        <w:footnoteReference w:customMarkFollows="1" w:id="1674"/>
        <w:t>s</w:t>
      </w:r>
      <w:r>
        <w:rPr/>
        <w:t xml:space="preserve"> „Passt auf </w:t>
      </w:r>
      <w:r>
        <w:rPr>
          <w:color w:val="808080"/>
        </w:rPr>
        <w:t>(Seht zu)</w:t>
      </w:r>
      <w:r>
        <w:rPr/>
        <w:t xml:space="preserve">, hütet euch vor dem Sauerteig </w:t>
      </w:r>
      <w:r>
        <w:rPr>
          <w:rStyle w:val="Funotenanker"/>
        </w:rPr>
        <w:footnoteReference w:customMarkFollows="1" w:id="1675"/>
        <w:t>t</w:t>
      </w:r>
      <w:r>
        <w:rPr/>
        <w:t xml:space="preserve"> der Pharisäer und vor dem Sauerteig von Herodes!“{{field-off:bible}} </w:t>
        <w:br/>
        <w:t>[[@BibleTOBIBLE:Mk 8:16]]</w:t>
      </w:r>
      <w:r>
        <w:rPr>
          <w:b/>
        </w:rPr>
        <w:t>16</w:t>
      </w:r>
      <w:r>
        <w:rPr/>
        <w:t xml:space="preserve"> {{field-on:bible}}Und sie diskutierten weiter </w:t>
      </w:r>
      <w:r>
        <w:rPr>
          <w:color w:val="808080"/>
        </w:rPr>
        <w:t>(begannen zu diskutieren)</w:t>
      </w:r>
      <w:r>
        <w:rPr/>
        <w:t xml:space="preserve"> </w:t>
      </w:r>
      <w:r>
        <w:rPr>
          <w:rStyle w:val="Funotenanker"/>
        </w:rPr>
        <w:footnoteReference w:customMarkFollows="1" w:id="1676"/>
        <w:t>u</w:t>
      </w:r>
      <w:r>
        <w:rPr/>
        <w:t xml:space="preserve"> miteinander </w:t>
      </w:r>
      <w:r>
        <w:rPr>
          <w:color w:val="808080"/>
        </w:rPr>
        <w:t>(machten sich Gedanken)</w:t>
      </w:r>
      <w:r>
        <w:rPr/>
        <w:t xml:space="preserve"> </w:t>
      </w:r>
      <w:r>
        <w:rPr>
          <w:b/>
          <w:color w:val="808080"/>
        </w:rPr>
        <w:t>[</w:t>
      </w:r>
      <w:r>
        <w:rPr/>
        <w:t>darüber</w:t>
      </w:r>
      <w:r>
        <w:rPr>
          <w:b/>
          <w:color w:val="808080"/>
        </w:rPr>
        <w:t>]</w:t>
      </w:r>
      <w:r>
        <w:rPr/>
        <w:t xml:space="preserve">, dass </w:t>
      </w:r>
      <w:r>
        <w:rPr>
          <w:color w:val="808080"/>
        </w:rPr>
        <w:t>(weil)</w:t>
      </w:r>
      <w:r>
        <w:rPr/>
        <w:t xml:space="preserve"> sie keine Brote hatten.{{field-off:bible}} </w:t>
        <w:br/>
        <w:t>[[@BibleTOBIBLE:Mk 8:17]]</w:t>
      </w:r>
      <w:r>
        <w:rPr>
          <w:b/>
        </w:rPr>
        <w:t>17</w:t>
      </w:r>
      <w:r>
        <w:rPr/>
        <w:t xml:space="preserve"> {{field-on:bible}}Und Jesus, der </w:t>
      </w:r>
      <w:r>
        <w:rPr>
          <w:color w:val="808080"/>
        </w:rPr>
        <w:t>(als er, weil er)</w:t>
      </w:r>
      <w:r>
        <w:rPr/>
        <w:t xml:space="preserve"> Bescheid wusste </w:t>
      </w:r>
      <w:r>
        <w:rPr>
          <w:color w:val="808080"/>
        </w:rPr>
        <w:t>(</w:t>
      </w:r>
      <w:r>
        <w:rPr>
          <w:b/>
          <w:color w:val="808080"/>
        </w:rPr>
        <w:t>[</w:t>
      </w:r>
      <w:r>
        <w:rPr>
          <w:color w:val="808080"/>
        </w:rPr>
        <w:t>das</w:t>
      </w:r>
      <w:r>
        <w:rPr>
          <w:b/>
          <w:color w:val="808080"/>
        </w:rPr>
        <w:t>]</w:t>
      </w:r>
      <w:r>
        <w:rPr>
          <w:color w:val="808080"/>
        </w:rPr>
        <w:t xml:space="preserve"> bemerkte)</w:t>
      </w:r>
      <w:r>
        <w:rPr/>
        <w:t xml:space="preserve">, </w:t>
      </w:r>
      <w:r>
        <w:rPr>
          <w:rStyle w:val="Funotenanker"/>
        </w:rPr>
        <w:footnoteReference w:customMarkFollows="1" w:id="1677"/>
        <w:t>v</w:t>
      </w:r>
      <w:r>
        <w:rPr/>
        <w:t xml:space="preserve"> sagte zu ihnen: „Warum diskutiert ihr </w:t>
      </w:r>
      <w:r>
        <w:rPr>
          <w:color w:val="808080"/>
        </w:rPr>
        <w:t>(macht ihr euch Gedanken)</w:t>
      </w:r>
      <w:r>
        <w:rPr/>
        <w:t xml:space="preserve"> </w:t>
      </w:r>
      <w:r>
        <w:rPr>
          <w:b/>
          <w:color w:val="808080"/>
        </w:rPr>
        <w:t>[</w:t>
      </w:r>
      <w:r>
        <w:rPr/>
        <w:t>darüber</w:t>
      </w:r>
      <w:r>
        <w:rPr>
          <w:b/>
          <w:color w:val="808080"/>
        </w:rPr>
        <w:t>]</w:t>
      </w:r>
      <w:r>
        <w:rPr/>
        <w:t xml:space="preserve"> </w:t>
      </w:r>
      <w:r>
        <w:rPr>
          <w:rStyle w:val="Funotenanker"/>
        </w:rPr>
        <w:footnoteReference w:customMarkFollows="1" w:id="1678"/>
        <w:t>w</w:t>
      </w:r>
      <w:r>
        <w:rPr/>
        <w:t xml:space="preserve">, dass ihr keine Brote habt? Begreift und versteht ihr </w:t>
      </w:r>
      <w:r>
        <w:rPr>
          <w:b/>
          <w:color w:val="808080"/>
        </w:rPr>
        <w:t>[</w:t>
      </w:r>
      <w:r>
        <w:rPr/>
        <w:t>denn immer</w:t>
      </w:r>
      <w:r>
        <w:rPr>
          <w:b/>
          <w:color w:val="808080"/>
        </w:rPr>
        <w:t>]</w:t>
      </w:r>
      <w:r>
        <w:rPr/>
        <w:t xml:space="preserve"> noch nicht? </w:t>
      </w:r>
      <w:r>
        <w:rPr>
          <w:rStyle w:val="Funotenanker"/>
        </w:rPr>
        <w:footnoteReference w:customMarkFollows="1" w:id="1679"/>
        <w:t>x</w:t>
      </w:r>
      <w:r>
        <w:rPr/>
        <w:t xml:space="preserve"> Habt ihr ein </w:t>
      </w:r>
      <w:r>
        <w:rPr>
          <w:color w:val="808080"/>
        </w:rPr>
        <w:t>(euer)</w:t>
      </w:r>
      <w:r>
        <w:rPr/>
        <w:t xml:space="preserve"> verstocktes </w:t>
      </w:r>
      <w:r>
        <w:rPr>
          <w:color w:val="808080"/>
        </w:rPr>
        <w:t>(verhärtetes)</w:t>
      </w:r>
      <w:r>
        <w:rPr/>
        <w:t xml:space="preserve"> Herz?</w:t>
      </w:r>
      <w:r>
        <w:rPr>
          <w:rStyle w:val="Funotenanker"/>
        </w:rPr>
        <w:footnoteReference w:customMarkFollows="1" w:id="1680"/>
        <w:t>y</w:t>
      </w:r>
      <w:r>
        <w:rPr/>
        <w:t xml:space="preserve"> </w:t>
      </w:r>
      <w:r>
        <w:rPr>
          <w:position w:val="8"/>
          <w:sz w:val="19"/>
        </w:rPr>
        <w:t>[[ ℘ &gt;&gt; BibleTOBIBLE:Mk 6:52]][[ ℘ &gt;&gt; BibleTOBIBLE:Mk 7:18]]</w:t>
      </w:r>
      <w:r>
        <w:rPr/>
        <w:t xml:space="preserve"> </w:t>
        <w:br/>
        <w:t xml:space="preserve">{{field-off:bible}} </w:t>
        <w:br/>
        <w:t>[[@BibleTOBIBLE:Mk 8:18]]</w:t>
      </w:r>
      <w:r>
        <w:rPr>
          <w:b/>
        </w:rPr>
        <w:t>18</w:t>
      </w:r>
      <w:r>
        <w:rPr/>
        <w:t xml:space="preserve"> {{field-on:bible}} </w:t>
        <w:br/>
        <w:t>Ihr habt zwar Augen, aber seht nicht?</w:t>
        <w:br/>
        <w:t>Und ihr habt zwar Ohren, aber hört nicht?</w:t>
      </w:r>
      <w:r>
        <w:rPr>
          <w:rStyle w:val="Funotenanker"/>
        </w:rPr>
        <w:footnoteReference w:customMarkFollows="1" w:id="1681"/>
        <w:t>z</w:t>
      </w:r>
      <w:r>
        <w:rPr/>
        <w:t xml:space="preserve"> </w:t>
      </w:r>
      <w:r>
        <w:rPr>
          <w:position w:val="8"/>
          <w:sz w:val="19"/>
        </w:rPr>
        <w:t>[[ ℘ &gt;&gt; BibleTOBIBLE:Je 5:21]][[ ℘ &gt;&gt; BibleTOBIBLE:Eze 12:2]][[ ℘ &gt;&gt; BibleTOBIBLE:Ps 115:5]][[ ℘ &gt;&gt; BibleTOBIBLE:Is 6:9]][[ ℘ &gt;&gt; BibleTOBIBLE:Mk 4:12]]</w:t>
      </w:r>
      <w:r>
        <w:rPr/>
        <w:t xml:space="preserve"> </w:t>
        <w:br/>
        <w:t xml:space="preserve">Und erinnert ihr euch nicht? </w:t>
      </w:r>
      <w:r>
        <w:rPr>
          <w:color w:val="808080"/>
        </w:rPr>
        <w:t>(Und denkt daran:)</w:t>
      </w:r>
      <w:r>
        <w:rPr/>
        <w:t xml:space="preserve"> </w:t>
      </w:r>
      <w:r>
        <w:rPr>
          <w:rStyle w:val="Funotenanker"/>
        </w:rPr>
        <w:footnoteReference w:customMarkFollows="1" w:id="1682"/>
        <w:t>aa</w:t>
      </w:r>
      <w:r>
        <w:rPr/>
        <w:t xml:space="preserve"> {{field-off:bible}} </w:t>
        <w:br/>
        <w:t>[[@BibleTOBIBLE:Mk 8:19]]</w:t>
      </w:r>
      <w:r>
        <w:rPr>
          <w:b/>
        </w:rPr>
        <w:t>19</w:t>
      </w:r>
      <w:r>
        <w:rPr/>
        <w:t xml:space="preserve"> {{field-on:bible}}Als ich die fünf Brote für die fünftausend </w:t>
      </w:r>
      <w:r>
        <w:rPr>
          <w:b/>
          <w:color w:val="808080"/>
        </w:rPr>
        <w:t>[</w:t>
      </w:r>
      <w:r>
        <w:rPr/>
        <w:t>Menschen</w:t>
      </w:r>
      <w:r>
        <w:rPr>
          <w:b/>
          <w:color w:val="808080"/>
        </w:rPr>
        <w:t>]</w:t>
      </w:r>
      <w:r>
        <w:rPr/>
        <w:t xml:space="preserve"> zerbrochen habe, </w:t>
      </w:r>
      <w:r>
        <w:rPr>
          <w:rStyle w:val="Funotenanker"/>
        </w:rPr>
        <w:footnoteReference w:customMarkFollows="1" w:id="1683"/>
        <w:t>ab</w:t>
      </w:r>
      <w:r>
        <w:rPr/>
        <w:t xml:space="preserve"> wie viele große Körbe voller Brocken habt ihr aufgehoben?“ Sie antworteten </w:t>
      </w:r>
      <w:r>
        <w:rPr>
          <w:color w:val="808080"/>
        </w:rPr>
        <w:t>(sagten)</w:t>
      </w:r>
      <w:r>
        <w:rPr/>
        <w:t xml:space="preserve"> ihm: „Zwölf.“{{field-off:bible}} </w:t>
        <w:br/>
        <w:t>[[@BibleTOBIBLE:Mk 8:20]]</w:t>
      </w:r>
      <w:r>
        <w:rPr>
          <w:b/>
        </w:rPr>
        <w:t>20</w:t>
      </w:r>
      <w:r>
        <w:rPr/>
        <w:t xml:space="preserve"> {{field-on:bible}}„Und als </w:t>
      </w:r>
      <w:r>
        <w:rPr>
          <w:b/>
          <w:color w:val="808080"/>
        </w:rPr>
        <w:t>[</w:t>
      </w:r>
      <w:r>
        <w:rPr/>
        <w:t>ich</w:t>
      </w:r>
      <w:r>
        <w:rPr>
          <w:b/>
          <w:color w:val="808080"/>
        </w:rPr>
        <w:t>]</w:t>
      </w:r>
      <w:r>
        <w:rPr/>
        <w:t xml:space="preserve"> die sieben </w:t>
      </w:r>
      <w:r>
        <w:rPr>
          <w:b/>
          <w:color w:val="808080"/>
        </w:rPr>
        <w:t>[</w:t>
      </w:r>
      <w:r>
        <w:rPr/>
        <w:t>Brote</w:t>
      </w:r>
      <w:r>
        <w:rPr>
          <w:b/>
          <w:color w:val="808080"/>
        </w:rPr>
        <w:t>]</w:t>
      </w:r>
      <w:r>
        <w:rPr/>
        <w:t xml:space="preserve"> für die viertausend </w:t>
      </w:r>
      <w:r>
        <w:rPr>
          <w:b/>
          <w:color w:val="808080"/>
        </w:rPr>
        <w:t>[</w:t>
      </w:r>
      <w:r>
        <w:rPr/>
        <w:t>Menschen</w:t>
      </w:r>
      <w:r>
        <w:rPr>
          <w:b/>
          <w:color w:val="808080"/>
        </w:rPr>
        <w:t>]</w:t>
      </w:r>
      <w:r>
        <w:rPr/>
        <w:t xml:space="preserve"> </w:t>
      </w:r>
      <w:r>
        <w:rPr>
          <w:b/>
          <w:color w:val="808080"/>
        </w:rPr>
        <w:t>[</w:t>
      </w:r>
      <w:r>
        <w:rPr/>
        <w:t>zerbrochen habe</w:t>
      </w:r>
      <w:r>
        <w:rPr>
          <w:b/>
          <w:color w:val="808080"/>
        </w:rPr>
        <w:t>]</w:t>
      </w:r>
      <w:r>
        <w:rPr/>
        <w:t xml:space="preserve">, wie viele Körbe voller Brocken habt ihr aufgehoben?“ Und sie antworteten </w:t>
      </w:r>
      <w:r>
        <w:rPr>
          <w:color w:val="808080"/>
        </w:rPr>
        <w:t>(sagten)</w:t>
      </w:r>
      <w:r>
        <w:rPr/>
        <w:t xml:space="preserve"> ihm: „Sieben.“{{field-off:bible}} </w:t>
        <w:br/>
        <w:t>[[@BibleTOBIBLE:Mk 8:21]]</w:t>
      </w:r>
      <w:r>
        <w:rPr>
          <w:b/>
        </w:rPr>
        <w:t>21</w:t>
      </w:r>
      <w:r>
        <w:rPr/>
        <w:t xml:space="preserve"> {{field-on:bible}}Da </w:t>
      </w:r>
      <w:r>
        <w:rPr>
          <w:color w:val="808080"/>
        </w:rPr>
        <w:t>(und)</w:t>
      </w:r>
      <w:r>
        <w:rPr/>
        <w:t xml:space="preserve"> sagte er </w:t>
      </w:r>
      <w:r>
        <w:rPr>
          <w:color w:val="808080"/>
        </w:rPr>
        <w:t>(fuhr fort)</w:t>
      </w:r>
      <w:r>
        <w:rPr/>
        <w:t xml:space="preserve"> </w:t>
      </w:r>
      <w:r>
        <w:rPr>
          <w:rStyle w:val="Funotenanker"/>
        </w:rPr>
        <w:footnoteReference w:customMarkFollows="1" w:id="1684"/>
        <w:t>ac</w:t>
      </w:r>
      <w:r>
        <w:rPr/>
        <w:t xml:space="preserve"> zu ihnen: „Versteht ihr immer noch nicht?“{{field-off:bible}} </w:t>
        <w:br/>
        <w:t>[[@BibleTOBIBLE:Mk 8:22]]</w:t>
      </w:r>
      <w:r>
        <w:rPr>
          <w:b/>
        </w:rPr>
        <w:t>22</w:t>
      </w:r>
      <w:r>
        <w:rPr/>
        <w:t xml:space="preserve"> {{field-on:bible}}Als sie nach Betsaida kamen, </w:t>
      </w:r>
      <w:r>
        <w:rPr>
          <w:color w:val="808080"/>
        </w:rPr>
        <w:t>(</w:t>
      </w:r>
      <w:r>
        <w:rPr>
          <w:strike/>
          <w:color w:val="808080"/>
        </w:rPr>
        <w:t>{Und}</w:t>
      </w:r>
      <w:r>
        <w:rPr>
          <w:color w:val="808080"/>
        </w:rPr>
        <w:t xml:space="preserve"> sie kamen nach Betsaida. </w:t>
      </w:r>
      <w:r>
        <w:rPr>
          <w:strike/>
          <w:color w:val="808080"/>
        </w:rPr>
        <w:t>{Und es}</w:t>
      </w:r>
      <w:r>
        <w:rPr>
          <w:color w:val="808080"/>
        </w:rPr>
        <w:t>)</w:t>
      </w:r>
      <w:r>
        <w:rPr/>
        <w:t xml:space="preserve"> </w:t>
      </w:r>
      <w:r>
        <w:rPr>
          <w:rStyle w:val="Funotenanker"/>
        </w:rPr>
        <w:footnoteReference w:customMarkFollows="1" w:id="1685"/>
        <w:t>ad</w:t>
      </w:r>
      <w:r>
        <w:rPr/>
        <w:t xml:space="preserve"> brachten </w:t>
      </w:r>
      <w:r>
        <w:rPr>
          <w:b/>
          <w:color w:val="808080"/>
        </w:rPr>
        <w:t>[</w:t>
      </w:r>
      <w:r>
        <w:rPr/>
        <w:t>die Leute</w:t>
      </w:r>
      <w:r>
        <w:rPr>
          <w:b/>
          <w:color w:val="808080"/>
        </w:rPr>
        <w:t>]</w:t>
      </w:r>
      <w:r>
        <w:rPr/>
        <w:t xml:space="preserve"> einen Blinden zu ihm und baten </w:t>
      </w:r>
      <w:r>
        <w:rPr>
          <w:color w:val="808080"/>
        </w:rPr>
        <w:t>(forderten auf)</w:t>
      </w:r>
      <w:r>
        <w:rPr/>
        <w:t xml:space="preserve"> [Jesus], ihn zu berühren.</w:t>
      </w:r>
      <w:r>
        <w:rPr>
          <w:position w:val="8"/>
          <w:sz w:val="19"/>
        </w:rPr>
        <w:t>[[ ℘ &gt;&gt; BibleTOBIBLE:Mk 7:32]]</w:t>
      </w:r>
      <w:r>
        <w:rPr/>
        <w:t xml:space="preserve"> {{field-off:bible}} </w:t>
        <w:br/>
        <w:t>[[@BibleTOBIBLE:Mk 8:23]]</w:t>
      </w:r>
      <w:r>
        <w:rPr>
          <w:b/>
        </w:rPr>
        <w:t>23</w:t>
      </w:r>
      <w:r>
        <w:rPr/>
        <w:t xml:space="preserve"> {{field-on:bible}}Und er nahm die Hand des Blinden und </w:t>
      </w:r>
      <w:r>
        <w:rPr>
          <w:rStyle w:val="Funotenanker"/>
        </w:rPr>
        <w:footnoteReference w:customMarkFollows="1" w:id="1686"/>
        <w:t>ae</w:t>
      </w:r>
      <w:r>
        <w:rPr/>
        <w:t xml:space="preserve"> führte ihn aus dem Dorf hinaus, und nachdem er ihm in die Augen gespuckt </w:t>
      </w:r>
      <w:r>
        <w:rPr>
          <w:rStyle w:val="Funotenanker"/>
        </w:rPr>
        <w:footnoteReference w:customMarkFollows="1" w:id="1687"/>
        <w:t>af</w:t>
      </w:r>
      <w:r>
        <w:rPr/>
        <w:t xml:space="preserve"> und ihm die Hände aufgelegt hatte, </w:t>
      </w:r>
      <w:r>
        <w:rPr>
          <w:rStyle w:val="Funotenanker"/>
        </w:rPr>
        <w:footnoteReference w:customMarkFollows="1" w:id="1688"/>
        <w:t>ag</w:t>
      </w:r>
      <w:r>
        <w:rPr/>
        <w:t xml:space="preserve"> fragte er ihn: „Siehst du etwas?“</w:t>
      </w:r>
      <w:r>
        <w:rPr>
          <w:rStyle w:val="Funotenanker"/>
        </w:rPr>
        <w:footnoteReference w:customMarkFollows="1" w:id="1689"/>
        <w:t>ah</w:t>
      </w:r>
      <w:r>
        <w:rPr/>
        <w:t xml:space="preserve"> </w:t>
      </w:r>
      <w:r>
        <w:rPr>
          <w:position w:val="8"/>
          <w:sz w:val="19"/>
        </w:rPr>
        <w:t>[[ ℘ &gt;&gt; BibleTOBIBLE:Mk 7:33]]</w:t>
      </w:r>
      <w:r>
        <w:rPr/>
        <w:t xml:space="preserve"> {{field-off:bible}} </w:t>
        <w:br/>
        <w:t>[[@BibleTOBIBLE:Mk 8:24]]</w:t>
      </w:r>
      <w:r>
        <w:rPr>
          <w:b/>
        </w:rPr>
        <w:t>24</w:t>
      </w:r>
      <w:r>
        <w:rPr/>
        <w:t xml:space="preserve"> {{field-on:bible}}Und nachdem </w:t>
      </w:r>
      <w:r>
        <w:rPr>
          <w:b/>
          <w:color w:val="808080"/>
        </w:rPr>
        <w:t>[</w:t>
      </w:r>
      <w:r>
        <w:rPr/>
        <w:t>der Mann</w:t>
      </w:r>
      <w:r>
        <w:rPr>
          <w:b/>
          <w:color w:val="808080"/>
        </w:rPr>
        <w:t>]</w:t>
      </w:r>
      <w:r>
        <w:rPr/>
        <w:t xml:space="preserve"> wieder sehen konnte </w:t>
      </w:r>
      <w:r>
        <w:rPr>
          <w:color w:val="808080"/>
        </w:rPr>
        <w:t>(</w:t>
      </w:r>
      <w:r>
        <w:rPr>
          <w:b/>
          <w:color w:val="808080"/>
        </w:rPr>
        <w:t>[</w:t>
      </w:r>
      <w:r>
        <w:rPr>
          <w:color w:val="808080"/>
        </w:rPr>
        <w:t>der Mann</w:t>
      </w:r>
      <w:r>
        <w:rPr>
          <w:b/>
          <w:color w:val="808080"/>
        </w:rPr>
        <w:t>]</w:t>
      </w:r>
      <w:r>
        <w:rPr>
          <w:color w:val="808080"/>
        </w:rPr>
        <w:t xml:space="preserve"> blickte auf und)</w:t>
      </w:r>
      <w:r>
        <w:rPr/>
        <w:t xml:space="preserve">, </w:t>
      </w:r>
      <w:r>
        <w:rPr>
          <w:rStyle w:val="Funotenanker"/>
        </w:rPr>
        <w:footnoteReference w:customMarkFollows="1" w:id="1690"/>
        <w:t>ai</w:t>
      </w:r>
      <w:r>
        <w:rPr/>
        <w:t xml:space="preserve"> sagte er: „Ich sehe die Leute </w:t>
      </w:r>
      <w:r>
        <w:rPr>
          <w:color w:val="808080"/>
        </w:rPr>
        <w:t>(Menschen)</w:t>
      </w:r>
      <w:r>
        <w:rPr/>
        <w:t xml:space="preserve"> – </w:t>
      </w:r>
      <w:r>
        <w:rPr>
          <w:strike/>
          <w:color w:val="808080"/>
        </w:rPr>
        <w:t>{dass}</w:t>
      </w:r>
      <w:r>
        <w:rPr/>
        <w:t xml:space="preserve"> </w:t>
      </w:r>
      <w:r>
        <w:rPr>
          <w:rStyle w:val="Funotenanker"/>
        </w:rPr>
        <w:footnoteReference w:customMarkFollows="1" w:id="1691"/>
        <w:t>aj</w:t>
      </w:r>
      <w:r>
        <w:rPr/>
        <w:t xml:space="preserve"> wie Bäume, ich sehe sie umhergehen.“ </w:t>
      </w:r>
      <w:r>
        <w:rPr>
          <w:rStyle w:val="Funotenanker"/>
        </w:rPr>
        <w:footnoteReference w:customMarkFollows="1" w:id="1692"/>
        <w:t>ak</w:t>
      </w:r>
      <w:r>
        <w:rPr/>
        <w:t xml:space="preserve"> {{field-off:bible}} </w:t>
        <w:br/>
        <w:t>[[@BibleTOBIBLE:Mk 8:25]]</w:t>
      </w:r>
      <w:r>
        <w:rPr>
          <w:b/>
        </w:rPr>
        <w:t>25</w:t>
      </w:r>
      <w:r>
        <w:rPr/>
        <w:t xml:space="preserve"> {{field-on:bible}}Daraufhin legte [Jesus] erneut die Hände auf seine Augen, und </w:t>
      </w:r>
      <w:r>
        <w:rPr>
          <w:b/>
          <w:color w:val="808080"/>
        </w:rPr>
        <w:t>[</w:t>
      </w:r>
      <w:r>
        <w:rPr/>
        <w:t>der Mann</w:t>
      </w:r>
      <w:r>
        <w:rPr>
          <w:b/>
          <w:color w:val="808080"/>
        </w:rPr>
        <w:t>]</w:t>
      </w:r>
      <w:r>
        <w:rPr/>
        <w:t xml:space="preserve"> hatte klare Sicht </w:t>
      </w:r>
      <w:r>
        <w:rPr>
          <w:color w:val="808080"/>
        </w:rPr>
        <w:t>(sah klar)</w:t>
      </w:r>
      <w:r>
        <w:rPr/>
        <w:t xml:space="preserve"> und war wieder gesund </w:t>
      </w:r>
      <w:r>
        <w:rPr>
          <w:color w:val="808080"/>
        </w:rPr>
        <w:t>(wiederhergestellt)</w:t>
      </w:r>
      <w:r>
        <w:rPr/>
        <w:t xml:space="preserve">, und er konnte nun alles deutlich </w:t>
      </w:r>
      <w:r>
        <w:rPr>
          <w:color w:val="808080"/>
        </w:rPr>
        <w:t>(scharf)</w:t>
      </w:r>
      <w:r>
        <w:rPr/>
        <w:t xml:space="preserve"> erkennen. </w:t>
      </w:r>
      <w:r>
        <w:rPr>
          <w:rStyle w:val="Funotenanker"/>
        </w:rPr>
        <w:footnoteReference w:customMarkFollows="1" w:id="1693"/>
        <w:t>al</w:t>
      </w:r>
      <w:r>
        <w:rPr/>
        <w:t xml:space="preserve"> </w:t>
      </w:r>
      <w:r>
        <w:rPr>
          <w:position w:val="8"/>
          <w:sz w:val="19"/>
        </w:rPr>
        <w:t>[[ ℘ &gt;&gt; BibleTOBIBLE:Mk 7:35]]</w:t>
      </w:r>
      <w:r>
        <w:rPr/>
        <w:t xml:space="preserve"> {{field-off:bible}} </w:t>
        <w:br/>
        <w:t>[[@BibleTOBIBLE:Mk 8:26]]</w:t>
      </w:r>
      <w:r>
        <w:rPr>
          <w:b/>
        </w:rPr>
        <w:t>26</w:t>
      </w:r>
      <w:r>
        <w:rPr/>
        <w:t xml:space="preserve"> {{field-on:bible}}Da </w:t>
      </w:r>
      <w:r>
        <w:rPr>
          <w:color w:val="808080"/>
        </w:rPr>
        <w:t>(Und)</w:t>
      </w:r>
      <w:r>
        <w:rPr/>
        <w:t xml:space="preserve"> schickte [Jesus] ihn nach Hause </w:t>
      </w:r>
      <w:r>
        <w:rPr>
          <w:color w:val="808080"/>
        </w:rPr>
        <w:t>(in sein Haus)</w:t>
      </w:r>
      <w:r>
        <w:rPr/>
        <w:t xml:space="preserve">, wobei er ihm auftrug </w:t>
      </w:r>
      <w:r>
        <w:rPr>
          <w:color w:val="808080"/>
        </w:rPr>
        <w:t>(sagte)</w:t>
      </w:r>
      <w:r>
        <w:rPr/>
        <w:t xml:space="preserve">: </w:t>
      </w:r>
      <w:r>
        <w:rPr>
          <w:rStyle w:val="Funotenanker"/>
        </w:rPr>
        <w:footnoteReference w:customMarkFollows="1" w:id="1694"/>
        <w:t>am</w:t>
      </w:r>
      <w:r>
        <w:rPr/>
        <w:t xml:space="preserve"> „Geh auch </w:t>
      </w:r>
      <w:r>
        <w:rPr>
          <w:color w:val="808080"/>
        </w:rPr>
        <w:t>(aber)</w:t>
      </w:r>
      <w:r>
        <w:rPr/>
        <w:t xml:space="preserve"> nicht ins Dorf! </w:t>
      </w:r>
      <w:r>
        <w:rPr>
          <w:rStyle w:val="Funotenanker"/>
        </w:rPr>
        <w:footnoteReference w:customMarkFollows="1" w:id="1695"/>
        <w:t>an</w:t>
      </w:r>
      <w:r>
        <w:rPr/>
        <w:t xml:space="preserve">“{{field-off:bible}} </w:t>
        <w:br/>
        <w:t>[[@BibleTOBIBLE:Mk 8:27]]</w:t>
      </w:r>
      <w:r>
        <w:rPr>
          <w:b/>
        </w:rPr>
        <w:t>27</w:t>
      </w:r>
      <w:r>
        <w:rPr/>
        <w:t xml:space="preserve"> {{field-on:bible}}Und Jesus und seine Jünger zogen weiter </w:t>
      </w:r>
      <w:r>
        <w:rPr>
          <w:color w:val="808080"/>
        </w:rPr>
        <w:t>(gingen fort, machten sich auf)</w:t>
      </w:r>
      <w:r>
        <w:rPr/>
        <w:t xml:space="preserve"> in die Dörfer von Cäsarea Philippi </w:t>
      </w:r>
      <w:r>
        <w:rPr>
          <w:rStyle w:val="Funotenanker"/>
        </w:rPr>
        <w:footnoteReference w:customMarkFollows="1" w:id="1696"/>
        <w:t>ao</w:t>
      </w:r>
      <w:r>
        <w:rPr/>
        <w:t xml:space="preserve">; und auf dem Weg befragte er seine Jünger </w:t>
      </w:r>
      <w:r>
        <w:rPr>
          <w:strike/>
          <w:color w:val="808080"/>
        </w:rPr>
        <w:t>{und sagte zu ihnen}</w:t>
      </w:r>
      <w:r>
        <w:rPr/>
        <w:t xml:space="preserve"> </w:t>
      </w:r>
      <w:r>
        <w:rPr>
          <w:rStyle w:val="Funotenanker"/>
        </w:rPr>
        <w:footnoteReference w:customMarkFollows="1" w:id="1697"/>
        <w:t>ap</w:t>
      </w:r>
      <w:r>
        <w:rPr/>
        <w:t xml:space="preserve">: „Für wen halten mich die Leute?“ </w:t>
      </w:r>
      <w:r>
        <w:rPr>
          <w:rStyle w:val="Funotenanker"/>
        </w:rPr>
        <w:footnoteReference w:customMarkFollows="1" w:id="1698"/>
        <w:t>aq</w:t>
      </w:r>
      <w:r>
        <w:rPr/>
        <w:t xml:space="preserve"> {{field-off:bible}} </w:t>
        <w:br/>
        <w:t>[[@BibleTOBIBLE:Mk 8:28]]</w:t>
      </w:r>
      <w:r>
        <w:rPr>
          <w:b/>
        </w:rPr>
        <w:t>28</w:t>
      </w:r>
      <w:r>
        <w:rPr/>
        <w:t xml:space="preserve"> {{field-on:bible}}Da sagten sie zu ihm </w:t>
      </w:r>
      <w:r>
        <w:rPr>
          <w:strike/>
          <w:color w:val="808080"/>
        </w:rPr>
        <w:t>{sagend}</w:t>
      </w:r>
      <w:r>
        <w:rPr/>
        <w:t xml:space="preserve"> </w:t>
      </w:r>
      <w:r>
        <w:rPr>
          <w:rStyle w:val="Funotenanker"/>
        </w:rPr>
        <w:footnoteReference w:customMarkFollows="1" w:id="1699"/>
        <w:t>ar</w:t>
      </w:r>
      <w:r>
        <w:rPr/>
        <w:t>: „</w:t>
      </w:r>
      <w:r>
        <w:rPr>
          <w:b/>
          <w:color w:val="808080"/>
        </w:rPr>
        <w:t>[</w:t>
      </w:r>
      <w:r>
        <w:rPr/>
        <w:t>Einige für</w:t>
      </w:r>
      <w:r>
        <w:rPr>
          <w:b/>
          <w:color w:val="808080"/>
        </w:rPr>
        <w:t>]</w:t>
      </w:r>
      <w:r>
        <w:rPr/>
        <w:t xml:space="preserve"> Johannes den Täufer und andere </w:t>
      </w:r>
      <w:r>
        <w:rPr>
          <w:b/>
          <w:color w:val="808080"/>
        </w:rPr>
        <w:t>[</w:t>
      </w:r>
      <w:r>
        <w:rPr/>
        <w:t>für</w:t>
      </w:r>
      <w:r>
        <w:rPr>
          <w:b/>
          <w:color w:val="808080"/>
        </w:rPr>
        <w:t>]</w:t>
      </w:r>
      <w:r>
        <w:rPr/>
        <w:t xml:space="preserve"> Elija, wieder andere </w:t>
      </w:r>
      <w:r>
        <w:rPr>
          <w:b/>
          <w:color w:val="808080"/>
        </w:rPr>
        <w:t>[</w:t>
      </w:r>
      <w:r>
        <w:rPr/>
        <w:t>meinen</w:t>
      </w:r>
      <w:r>
        <w:rPr>
          <w:b/>
          <w:color w:val="808080"/>
        </w:rPr>
        <w:t>]</w:t>
      </w:r>
      <w:r>
        <w:rPr/>
        <w:t xml:space="preserve">, dass </w:t>
      </w:r>
      <w:r>
        <w:rPr>
          <w:b/>
          <w:color w:val="808080"/>
        </w:rPr>
        <w:t>[</w:t>
      </w:r>
      <w:r>
        <w:rPr/>
        <w:t>du</w:t>
      </w:r>
      <w:r>
        <w:rPr>
          <w:b/>
          <w:color w:val="808080"/>
        </w:rPr>
        <w:t>]</w:t>
      </w:r>
      <w:r>
        <w:rPr/>
        <w:t xml:space="preserve"> einer von den Propheten </w:t>
      </w:r>
      <w:r>
        <w:rPr>
          <w:b/>
          <w:color w:val="808080"/>
        </w:rPr>
        <w:t>[</w:t>
      </w:r>
      <w:r>
        <w:rPr/>
        <w:t>bist</w:t>
      </w:r>
      <w:r>
        <w:rPr>
          <w:b/>
          <w:color w:val="808080"/>
        </w:rPr>
        <w:t>]</w:t>
      </w:r>
      <w:r>
        <w:rPr/>
        <w:t>.“</w:t>
      </w:r>
      <w:r>
        <w:rPr>
          <w:position w:val="8"/>
          <w:sz w:val="19"/>
        </w:rPr>
        <w:t>[[ ℘ &gt;&gt; BibleTOBIBLE:Mk 6:14]]</w:t>
      </w:r>
      <w:r>
        <w:rPr/>
        <w:t xml:space="preserve"> {{field-off:bible}} </w:t>
        <w:br/>
        <w:t>[[@BibleTOBIBLE:Mk 8:29]]</w:t>
      </w:r>
      <w:r>
        <w:rPr>
          <w:b/>
        </w:rPr>
        <w:t>29</w:t>
      </w:r>
      <w:r>
        <w:rPr/>
        <w:t xml:space="preserve"> {{field-on:bible}}Und er fragte sie: „Und ihr - für wen haltet ihr mich?“ </w:t>
      </w:r>
      <w:r>
        <w:rPr>
          <w:rStyle w:val="Funotenanker"/>
        </w:rPr>
        <w:footnoteReference w:customMarkFollows="1" w:id="1700"/>
        <w:t>as</w:t>
      </w:r>
      <w:r>
        <w:rPr/>
        <w:t xml:space="preserve"> Und </w:t>
      </w:r>
      <w:r>
        <w:rPr>
          <w:strike/>
          <w:color w:val="808080"/>
        </w:rPr>
        <w:t>{antwortend}</w:t>
      </w:r>
      <w:r>
        <w:rPr/>
        <w:t xml:space="preserve"> </w:t>
      </w:r>
      <w:r>
        <w:rPr>
          <w:rStyle w:val="Funotenanker"/>
        </w:rPr>
        <w:footnoteReference w:customMarkFollows="1" w:id="1701"/>
        <w:t>at</w:t>
      </w:r>
      <w:r>
        <w:rPr/>
        <w:t xml:space="preserve"> sagte Petrus zu ihm: „Du bist der Messias </w:t>
      </w:r>
      <w:r>
        <w:rPr>
          <w:color w:val="808080"/>
        </w:rPr>
        <w:t>(Gesalbte; Christus)</w:t>
      </w:r>
      <w:r>
        <w:rPr/>
        <w:t xml:space="preserve">!“ </w:t>
      </w:r>
      <w:r>
        <w:rPr>
          <w:rStyle w:val="Funotenanker"/>
        </w:rPr>
        <w:footnoteReference w:customMarkFollows="1" w:id="1702"/>
        <w:t>au</w:t>
      </w:r>
      <w:r>
        <w:rPr/>
        <w:t xml:space="preserve"> {{field-off:bible}} </w:t>
        <w:br/>
        <w:t>[[@BibleTOBIBLE:Mk 8:30]]</w:t>
      </w:r>
      <w:r>
        <w:rPr>
          <w:b/>
        </w:rPr>
        <w:t>30</w:t>
      </w:r>
      <w:r>
        <w:rPr/>
        <w:t xml:space="preserve"> {{field-on:bible}}Und er schärfte </w:t>
      </w:r>
      <w:r>
        <w:rPr>
          <w:color w:val="808080"/>
        </w:rPr>
        <w:t>(befahl)</w:t>
      </w:r>
      <w:r>
        <w:rPr/>
        <w:t xml:space="preserve"> ihnen ein, </w:t>
      </w:r>
      <w:r>
        <w:rPr>
          <w:strike/>
          <w:color w:val="808080"/>
        </w:rPr>
        <w:t>{damit}</w:t>
      </w:r>
      <w:r>
        <w:rPr/>
        <w:t xml:space="preserve"> mit niemandem über ihn sprechen.{{field-off:bible}} </w:t>
        <w:br/>
        <w:t>[[@BibleTOBIBLE:Mk 8:31]]</w:t>
      </w:r>
      <w:r>
        <w:rPr>
          <w:b/>
        </w:rPr>
        <w:t>31</w:t>
      </w:r>
      <w:r>
        <w:rPr/>
        <w:t xml:space="preserve"> {{field-on:bible}}Und er begann sie darüber aufzuklären </w:t>
      </w:r>
      <w:r>
        <w:rPr>
          <w:color w:val="808080"/>
        </w:rPr>
        <w:t>(zu lehren)</w:t>
      </w:r>
      <w:r>
        <w:rPr/>
        <w:t xml:space="preserve">, dass der Menschensohn </w:t>
      </w:r>
      <w:r>
        <w:rPr>
          <w:color w:val="808080"/>
        </w:rPr>
        <w:t>(Sohn des Menschen; Mensch)</w:t>
      </w:r>
      <w:r>
        <w:rPr/>
        <w:t xml:space="preserve"> </w:t>
      </w:r>
      <w:r>
        <w:rPr>
          <w:rStyle w:val="Funotenanker"/>
        </w:rPr>
        <w:footnoteReference w:customMarkFollows="1" w:id="1703"/>
        <w:t>av</w:t>
      </w:r>
      <w:r>
        <w:rPr/>
        <w:t xml:space="preserve"> viel leiden, und von den Ältesten und den obersten </w:t>
      </w:r>
      <w:r>
        <w:rPr>
          <w:color w:val="808080"/>
        </w:rPr>
        <w:t>(führenden, Hohen)</w:t>
      </w:r>
      <w:r>
        <w:rPr/>
        <w:t xml:space="preserve"> Priestern </w:t>
      </w:r>
      <w:r>
        <w:rPr>
          <w:rStyle w:val="Funotenanker"/>
        </w:rPr>
        <w:footnoteReference w:customMarkFollows="1" w:id="1704"/>
        <w:t>aw</w:t>
      </w:r>
      <w:r>
        <w:rPr/>
        <w:t xml:space="preserve"> und den Schriftgelehrten </w:t>
      </w:r>
      <w:r>
        <w:rPr>
          <w:color w:val="808080"/>
        </w:rPr>
        <w:t>(Schreibern)</w:t>
      </w:r>
      <w:r>
        <w:rPr/>
        <w:t xml:space="preserve"> abgelehnt </w:t>
      </w:r>
      <w:r>
        <w:rPr>
          <w:color w:val="808080"/>
        </w:rPr>
        <w:t>(verworfen, zurückgewiesen)</w:t>
      </w:r>
      <w:r>
        <w:rPr/>
        <w:t xml:space="preserve"> werden, und getötet werden und nach drei Tagen auferstehen müsse </w:t>
      </w:r>
      <w:r>
        <w:rPr>
          <w:rStyle w:val="Funotenanker"/>
        </w:rPr>
        <w:footnoteReference w:customMarkFollows="1" w:id="1705"/>
        <w:t>ax</w:t>
      </w:r>
      <w:r>
        <w:rPr/>
        <w:t>.</w:t>
      </w:r>
      <w:r>
        <w:rPr>
          <w:position w:val="8"/>
          <w:sz w:val="19"/>
        </w:rPr>
        <w:t>[[ ℘ &gt;&gt; BibleTOBIBLE:Ps 118:22]][[ ℘ &gt;&gt; BibleTOBIBLE:Ho 6:2]][[ ℘ &gt;&gt; BibleTOBIBLE:Mk 9:31]][[ ℘ &gt;&gt; BibleTOBIBLE:Mk 10:33]]</w:t>
      </w:r>
      <w:r>
        <w:rPr/>
        <w:t xml:space="preserve"> {{field-off:bible}} </w:t>
        <w:br/>
        <w:t>[[@BibleTOBIBLE:Mk 8:32]]</w:t>
      </w:r>
      <w:r>
        <w:rPr>
          <w:b/>
        </w:rPr>
        <w:t>32</w:t>
      </w:r>
      <w:r>
        <w:rPr/>
        <w:t xml:space="preserve"> {{field-on:bible}}Und er sagte das ganz offen. </w:t>
      </w:r>
      <w:r>
        <w:rPr>
          <w:rStyle w:val="Funotenanker"/>
        </w:rPr>
        <w:footnoteReference w:customMarkFollows="1" w:id="1706"/>
        <w:t>ay</w:t>
      </w:r>
      <w:r>
        <w:rPr/>
        <w:t xml:space="preserve"> Da </w:t>
      </w:r>
      <w:r>
        <w:rPr>
          <w:color w:val="808080"/>
        </w:rPr>
        <w:t>(Und)</w:t>
      </w:r>
      <w:r>
        <w:rPr/>
        <w:t xml:space="preserve"> nahm Petrus ihn beiseite und begann, missbilligend auf ihn einzureden </w:t>
      </w:r>
      <w:r>
        <w:rPr>
          <w:color w:val="808080"/>
        </w:rPr>
        <w:t>(ihn zu rüffeln/zurechtzuweisen)</w:t>
      </w:r>
      <w:r>
        <w:rPr/>
        <w:t xml:space="preserve">. </w:t>
      </w:r>
      <w:r>
        <w:rPr>
          <w:rStyle w:val="Funotenanker"/>
        </w:rPr>
        <w:footnoteReference w:customMarkFollows="1" w:id="1707"/>
        <w:t>az</w:t>
      </w:r>
      <w:r>
        <w:rPr/>
        <w:t xml:space="preserve"> {{field-off:bible}} </w:t>
        <w:br/>
        <w:t>[[@BibleTOBIBLE:Mk 8:33]]</w:t>
      </w:r>
      <w:r>
        <w:rPr>
          <w:b/>
        </w:rPr>
        <w:t>33</w:t>
      </w:r>
      <w:r>
        <w:rPr/>
        <w:t xml:space="preserve"> {{field-on:bible}}Der drehte sich um und – indem </w:t>
      </w:r>
      <w:r>
        <w:rPr>
          <w:color w:val="808080"/>
        </w:rPr>
        <w:t>(und)</w:t>
      </w:r>
      <w:r>
        <w:rPr/>
        <w:t xml:space="preserve"> er seine Jünger ansah </w:t>
      </w:r>
      <w:r>
        <w:rPr>
          <w:color w:val="808080"/>
        </w:rPr>
        <w:t>(nachdem … angesehen hatte)</w:t>
      </w:r>
      <w:r>
        <w:rPr/>
        <w:t xml:space="preserve"> – </w:t>
      </w:r>
      <w:r>
        <w:rPr>
          <w:rStyle w:val="Funotenanker"/>
        </w:rPr>
        <w:footnoteReference w:customMarkFollows="1" w:id="1708"/>
        <w:t>ba</w:t>
      </w:r>
      <w:r>
        <w:rPr/>
        <w:t xml:space="preserve"> wies Petrus zurecht </w:t>
      </w:r>
      <w:r>
        <w:rPr>
          <w:color w:val="808080"/>
        </w:rPr>
        <w:t>(herrschte ihn an)</w:t>
      </w:r>
      <w:r>
        <w:rPr/>
        <w:t xml:space="preserve"> </w:t>
      </w:r>
      <w:r>
        <w:rPr>
          <w:strike/>
          <w:color w:val="808080"/>
        </w:rPr>
        <w:t>{und sagte}</w:t>
      </w:r>
      <w:r>
        <w:rPr/>
        <w:t xml:space="preserve">: „Geh hinter mich </w:t>
      </w:r>
      <w:r>
        <w:rPr>
          <w:color w:val="808080"/>
        </w:rPr>
        <w:t>(Geh weg von mir)</w:t>
      </w:r>
      <w:r>
        <w:rPr/>
        <w:t xml:space="preserve"> </w:t>
      </w:r>
      <w:r>
        <w:rPr>
          <w:rStyle w:val="Funotenanker"/>
        </w:rPr>
        <w:footnoteReference w:customMarkFollows="1" w:id="1709"/>
        <w:t>bb</w:t>
      </w:r>
      <w:r>
        <w:rPr/>
        <w:t xml:space="preserve">, Satan </w:t>
      </w:r>
      <w:r>
        <w:rPr>
          <w:color w:val="808080"/>
        </w:rPr>
        <w:t>(Widersacher)</w:t>
      </w:r>
      <w:r>
        <w:rPr/>
        <w:t xml:space="preserve"> </w:t>
      </w:r>
      <w:r>
        <w:rPr>
          <w:rStyle w:val="Funotenanker"/>
        </w:rPr>
        <w:footnoteReference w:customMarkFollows="1" w:id="1710"/>
        <w:t>bc</w:t>
      </w:r>
      <w:r>
        <w:rPr/>
        <w:t xml:space="preserve">! denn Du hast nicht die </w:t>
      </w:r>
      <w:r>
        <w:rPr>
          <w:b/>
          <w:color w:val="808080"/>
        </w:rPr>
        <w:t>[</w:t>
      </w:r>
      <w:r>
        <w:rPr/>
        <w:t xml:space="preserve">Vorstellungen </w:t>
      </w:r>
      <w:r>
        <w:rPr>
          <w:color w:val="808080"/>
        </w:rPr>
        <w:t>(Interessen)</w:t>
      </w:r>
      <w:r>
        <w:rPr>
          <w:b/>
          <w:color w:val="808080"/>
        </w:rPr>
        <w:t>]</w:t>
      </w:r>
      <w:r>
        <w:rPr/>
        <w:t xml:space="preserve"> Gottes im Sinn, sondern die der Menschen.“ </w:t>
      </w:r>
      <w:r>
        <w:rPr>
          <w:rStyle w:val="Funotenanker"/>
        </w:rPr>
        <w:footnoteReference w:customMarkFollows="1" w:id="1711"/>
        <w:t>bd</w:t>
      </w:r>
      <w:r>
        <w:rPr/>
        <w:t xml:space="preserve"> {{field-off:bible}} </w:t>
        <w:br/>
        <w:t>[[@BibleTOBIBLE:Mk 8:34]]</w:t>
      </w:r>
      <w:r>
        <w:rPr>
          <w:b/>
        </w:rPr>
        <w:t>34</w:t>
      </w:r>
      <w:r>
        <w:rPr/>
        <w:t xml:space="preserve"> {{field-on:bible}}Dann </w:t>
      </w:r>
      <w:r>
        <w:rPr>
          <w:color w:val="808080"/>
        </w:rPr>
        <w:t>(Und)</w:t>
      </w:r>
      <w:r>
        <w:rPr/>
        <w:t xml:space="preserve"> rief er die Menschenmenge samt seinen Jüngern zu sich und </w:t>
      </w:r>
      <w:r>
        <w:rPr>
          <w:rStyle w:val="Funotenanker"/>
        </w:rPr>
        <w:footnoteReference w:customMarkFollows="1" w:id="1712"/>
        <w:t>be</w:t>
      </w:r>
      <w:r>
        <w:rPr/>
        <w:t xml:space="preserve"> sagte zu ihnen: „Wenn jemand mir nachfolgen </w:t>
      </w:r>
      <w:r>
        <w:rPr>
          <w:rStyle w:val="Funotenanker"/>
        </w:rPr>
        <w:footnoteReference w:customMarkFollows="1" w:id="1713"/>
        <w:t>bf</w:t>
      </w:r>
      <w:r>
        <w:rPr/>
        <w:t xml:space="preserve"> will, dann muss </w:t>
      </w:r>
      <w:r>
        <w:rPr>
          <w:color w:val="808080"/>
        </w:rPr>
        <w:t>(soll)</w:t>
      </w:r>
      <w:r>
        <w:rPr/>
        <w:t xml:space="preserve"> </w:t>
      </w:r>
      <w:r>
        <w:rPr>
          <w:rStyle w:val="Funotenanker"/>
        </w:rPr>
        <w:footnoteReference w:customMarkFollows="1" w:id="1714"/>
        <w:t>bg</w:t>
      </w:r>
      <w:r>
        <w:rPr/>
        <w:t xml:space="preserve"> er sich selbst verleugnen, </w:t>
      </w:r>
      <w:r>
        <w:rPr>
          <w:strike/>
          <w:color w:val="808080"/>
        </w:rPr>
        <w:t>{und}</w:t>
      </w:r>
      <w:r>
        <w:rPr/>
        <w:t xml:space="preserve"> sein Kreuz tragen </w:t>
      </w:r>
      <w:r>
        <w:rPr>
          <w:color w:val="808080"/>
        </w:rPr>
        <w:t>(auf sich nehmen, aufheben, mitnehmen)</w:t>
      </w:r>
      <w:r>
        <w:rPr/>
        <w:t xml:space="preserve"> </w:t>
      </w:r>
      <w:r>
        <w:rPr>
          <w:rStyle w:val="Funotenanker"/>
        </w:rPr>
        <w:footnoteReference w:customMarkFollows="1" w:id="1715"/>
        <w:t>bh</w:t>
      </w:r>
      <w:r>
        <w:rPr/>
        <w:t xml:space="preserve"> und mir nachfolgen!{{field-off:bible}} </w:t>
        <w:br/>
        <w:t>[[@BibleTOBIBLE:Mk 8:35]]</w:t>
      </w:r>
      <w:r>
        <w:rPr>
          <w:b/>
        </w:rPr>
        <w:t>35</w:t>
      </w:r>
      <w:r>
        <w:rPr/>
        <w:t xml:space="preserve"> {{field-on:bible}}Denn jeder, der </w:t>
      </w:r>
      <w:r>
        <w:rPr>
          <w:color w:val="808080"/>
        </w:rPr>
        <w:t>(wer)</w:t>
      </w:r>
      <w:r>
        <w:rPr/>
        <w:t xml:space="preserve"> sein Leben </w:t>
      </w:r>
      <w:r>
        <w:rPr>
          <w:color w:val="808080"/>
        </w:rPr>
        <w:t>(Seele)</w:t>
      </w:r>
      <w:r>
        <w:rPr/>
        <w:t xml:space="preserve"> retten will, wird es verlieren; aber jeder, der </w:t>
      </w:r>
      <w:r>
        <w:rPr>
          <w:color w:val="808080"/>
        </w:rPr>
        <w:t>(wer)</w:t>
      </w:r>
      <w:r>
        <w:rPr/>
        <w:t xml:space="preserve"> wegen mir und dem Evangelium </w:t>
      </w:r>
      <w:r>
        <w:rPr>
          <w:color w:val="808080"/>
        </w:rPr>
        <w:t>(der Heilsbotschaft, um meinet- und des Evangeliums willen)</w:t>
      </w:r>
      <w:r>
        <w:rPr/>
        <w:t xml:space="preserve"> sein Leben </w:t>
      </w:r>
      <w:r>
        <w:rPr>
          <w:color w:val="808080"/>
        </w:rPr>
        <w:t>(Seele)</w:t>
      </w:r>
      <w:r>
        <w:rPr/>
        <w:t xml:space="preserve"> verliert, wird es retten.{{field-off:bible}} </w:t>
        <w:br/>
        <w:t>[[@BibleTOBIBLE:Mk 8:36]]</w:t>
      </w:r>
      <w:r>
        <w:rPr>
          <w:b/>
        </w:rPr>
        <w:t>36</w:t>
      </w:r>
      <w:r>
        <w:rPr/>
        <w:t xml:space="preserve"> {{field-on:bible}}Denn was nützt es einem Menschen, die gesamte Welt zu gewinnen, </w:t>
      </w:r>
      <w:r>
        <w:rPr>
          <w:rStyle w:val="Funotenanker"/>
        </w:rPr>
        <w:footnoteReference w:customMarkFollows="1" w:id="1716"/>
        <w:t>bi</w:t>
      </w:r>
      <w:r>
        <w:rPr/>
        <w:t xml:space="preserve"> aber </w:t>
      </w:r>
      <w:r>
        <w:rPr>
          <w:color w:val="808080"/>
        </w:rPr>
        <w:t xml:space="preserve">(und </w:t>
      </w:r>
      <w:r>
        <w:rPr>
          <w:b/>
          <w:color w:val="808080"/>
        </w:rPr>
        <w:t>[</w:t>
      </w:r>
      <w:r>
        <w:rPr>
          <w:color w:val="808080"/>
        </w:rPr>
        <w:t>dabei</w:t>
      </w:r>
      <w:r>
        <w:rPr>
          <w:b/>
          <w:color w:val="808080"/>
        </w:rPr>
        <w:t>]</w:t>
      </w:r>
      <w:r>
        <w:rPr>
          <w:color w:val="808080"/>
        </w:rPr>
        <w:t>)</w:t>
      </w:r>
      <w:r>
        <w:rPr/>
        <w:t xml:space="preserve"> sein Leben </w:t>
      </w:r>
      <w:r>
        <w:rPr>
          <w:color w:val="808080"/>
        </w:rPr>
        <w:t>(Seele)</w:t>
      </w:r>
      <w:r>
        <w:rPr/>
        <w:t xml:space="preserve"> zu verlieren? </w:t>
      </w:r>
      <w:r>
        <w:rPr>
          <w:rStyle w:val="Funotenanker"/>
        </w:rPr>
        <w:footnoteReference w:customMarkFollows="1" w:id="1717"/>
        <w:t>bj</w:t>
      </w:r>
      <w:r>
        <w:rPr/>
        <w:t xml:space="preserve"> </w:t>
      </w:r>
      <w:r>
        <w:rPr>
          <w:position w:val="8"/>
          <w:sz w:val="19"/>
        </w:rPr>
        <w:t>[[ ℘ &gt;&gt; BibleTOBIBLE:Ec 1:3]][[ ℘ &gt;&gt; BibleTOBIBLE:Ps 49:8]]</w:t>
      </w:r>
      <w:r>
        <w:rPr/>
        <w:t xml:space="preserve"> {{field-off:bible}} </w:t>
        <w:br/>
        <w:t>[[@BibleTOBIBLE:Mk 8:37]]</w:t>
      </w:r>
      <w:r>
        <w:rPr>
          <w:b/>
        </w:rPr>
        <w:t>37</w:t>
      </w:r>
      <w:r>
        <w:rPr/>
        <w:t xml:space="preserve"> {{field-on:bible}}Denn was könnte </w:t>
      </w:r>
      <w:r>
        <w:rPr>
          <w:color w:val="808080"/>
        </w:rPr>
        <w:t>(sollte)</w:t>
      </w:r>
      <w:r>
        <w:rPr/>
        <w:t xml:space="preserve"> man </w:t>
      </w:r>
      <w:r>
        <w:rPr>
          <w:color w:val="808080"/>
        </w:rPr>
        <w:t>(ein Mensch)</w:t>
      </w:r>
      <w:r>
        <w:rPr/>
        <w:t xml:space="preserve"> als Gegenwert für sein Leben </w:t>
      </w:r>
      <w:r>
        <w:rPr>
          <w:color w:val="808080"/>
        </w:rPr>
        <w:t>(Seele)</w:t>
      </w:r>
      <w:r>
        <w:rPr/>
        <w:t xml:space="preserve"> geben?{{field-off:bible}} </w:t>
        <w:br/>
        <w:t>[[@BibleTOBIBLE:Mk 8:38]]</w:t>
      </w:r>
      <w:r>
        <w:rPr>
          <w:b/>
        </w:rPr>
        <w:t>38</w:t>
      </w:r>
      <w:r>
        <w:rPr/>
        <w:t xml:space="preserve"> {{field-on:bible}}Denn jeder, der </w:t>
      </w:r>
      <w:r>
        <w:rPr>
          <w:color w:val="808080"/>
        </w:rPr>
        <w:t>(wer immer)</w:t>
      </w:r>
      <w:r>
        <w:rPr/>
        <w:t xml:space="preserve"> sich in dieser untreuen </w:t>
      </w:r>
      <w:r>
        <w:rPr>
          <w:color w:val="808080"/>
        </w:rPr>
        <w:t>(ehebrecherischen)</w:t>
      </w:r>
      <w:r>
        <w:rPr/>
        <w:t xml:space="preserve"> und sündigen Generation </w:t>
      </w:r>
      <w:r>
        <w:rPr>
          <w:color w:val="808080"/>
        </w:rPr>
        <w:t>(jeder dieses untreuen und sündigen Packs, der sich)</w:t>
      </w:r>
      <w:r>
        <w:rPr/>
        <w:t xml:space="preserve"> </w:t>
      </w:r>
      <w:r>
        <w:rPr>
          <w:rStyle w:val="Funotenanker"/>
        </w:rPr>
        <w:footnoteReference w:customMarkFollows="1" w:id="1718"/>
        <w:t>bk</w:t>
      </w:r>
      <w:r>
        <w:rPr/>
        <w:t xml:space="preserve"> über </w:t>
      </w:r>
      <w:r>
        <w:rPr>
          <w:color w:val="808080"/>
        </w:rPr>
        <w:t>(wegen)</w:t>
      </w:r>
      <w:r>
        <w:rPr/>
        <w:t xml:space="preserve"> mich und meine Worte schämt, </w:t>
      </w:r>
      <w:r>
        <w:rPr>
          <w:rStyle w:val="Funotenanker"/>
        </w:rPr>
        <w:footnoteReference w:customMarkFollows="1" w:id="1719"/>
        <w:t>bl</w:t>
      </w:r>
      <w:r>
        <w:rPr/>
        <w:t xml:space="preserve"> über den wird sich auch der Menschensohn </w:t>
      </w:r>
      <w:r>
        <w:rPr>
          <w:color w:val="808080"/>
        </w:rPr>
        <w:t>(Sohn des Menschen; Mensch)</w:t>
      </w:r>
      <w:r>
        <w:rPr/>
        <w:t xml:space="preserve"> schämen, sobald er in der Herrlichkeit seines Vaters mit den heiligen Engeln kommt.“</w:t>
      </w:r>
      <w:r>
        <w:rPr>
          <w:position w:val="8"/>
          <w:sz w:val="19"/>
        </w:rPr>
        <w:t>[[ ℘ &gt;&gt; BibleTOBIBLE:Da 7:13]][[ ℘ &gt;&gt; BibleTOBIBLE:Da 7:9]][[ ℘ &gt;&gt; BibleTOBIBLE:Zec 14:5]]</w:t>
      </w:r>
      <w:r>
        <w:rPr/>
        <w:t xml:space="preserve"> {{field-off:bible}}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720"/>
        <w:t>Status</w:t>
      </w:r>
      <w:r>
        <w:rPr/>
        <w:t xml:space="preserve"> Und weiter </w:t>
      </w:r>
      <w:r>
        <w:rPr>
          <w:rStyle w:val="Funotenanker"/>
        </w:rPr>
        <w:footnoteReference w:customMarkFollows="1" w:id="1721"/>
        <w:t>a</w:t>
      </w:r>
      <w:r>
        <w:rPr/>
        <w:t xml:space="preserve"> sagte er zu ihnen: „Amen </w:t>
      </w:r>
      <w:r>
        <w:rPr>
          <w:color w:val="808080"/>
        </w:rPr>
        <w:t>(Wahrlich, Ja)</w:t>
      </w:r>
      <w:r>
        <w:rPr/>
        <w:t xml:space="preserve">, ich sage euch: </w:t>
      </w:r>
      <w:r>
        <w:rPr>
          <w:rStyle w:val="Funotenanker"/>
        </w:rPr>
        <w:footnoteReference w:customMarkFollows="1" w:id="1722"/>
        <w:t>b</w:t>
      </w:r>
      <w:r>
        <w:rPr/>
        <w:t xml:space="preserve"> Es gibt einige unter denen, die hier stehen, die den Tod nicht schmecken </w:t>
      </w:r>
      <w:r>
        <w:rPr>
          <w:color w:val="808080"/>
        </w:rPr>
        <w:t>(nicht sterben)</w:t>
      </w:r>
      <w:r>
        <w:rPr/>
        <w:t xml:space="preserve"> </w:t>
      </w:r>
      <w:r>
        <w:rPr>
          <w:rStyle w:val="Funotenanker"/>
        </w:rPr>
        <w:footnoteReference w:customMarkFollows="1" w:id="1723"/>
        <w:t>c</w:t>
      </w:r>
      <w:r>
        <w:rPr/>
        <w:t xml:space="preserve"> werden, bis </w:t>
      </w:r>
      <w:r>
        <w:rPr>
          <w:color w:val="808080"/>
        </w:rPr>
        <w:t>(bevor, ehe)</w:t>
      </w:r>
      <w:r>
        <w:rPr/>
        <w:t xml:space="preserve"> sie gesehen haben, wie Gottes Reich </w:t>
      </w:r>
      <w:r>
        <w:rPr>
          <w:color w:val="808080"/>
        </w:rPr>
        <w:t>(Herrschaft)</w:t>
      </w:r>
      <w:r>
        <w:rPr/>
        <w:t xml:space="preserve"> </w:t>
      </w:r>
      <w:r>
        <w:rPr>
          <w:rStyle w:val="Funotenanker"/>
        </w:rPr>
        <w:footnoteReference w:customMarkFollows="1" w:id="1724"/>
        <w:t>d</w:t>
      </w:r>
      <w:r>
        <w:rPr/>
        <w:t xml:space="preserve"> mit Macht </w:t>
      </w:r>
      <w:r>
        <w:rPr>
          <w:color w:val="808080"/>
        </w:rPr>
        <w:t>(Kraft)</w:t>
      </w:r>
      <w:r>
        <w:rPr/>
        <w:t xml:space="preserve"> gekommen ist. </w:t>
      </w:r>
      <w:r>
        <w:rPr>
          <w:rStyle w:val="Funotenanker"/>
        </w:rPr>
        <w:footnoteReference w:customMarkFollows="1" w:id="1725"/>
        <w:t>e</w:t>
      </w:r>
      <w:r>
        <w:rPr/>
        <w:t xml:space="preserve">“ </w:t>
      </w:r>
      <w:r>
        <w:rPr>
          <w:position w:val="8"/>
          <w:sz w:val="19"/>
        </w:rPr>
        <w:t>[[ ℘ &gt;&gt; BibleTOBIBLE:Mk 13:26]][[ ℘ &gt;&gt; BibleTOBIBLE:Lk 2:26]][[ ℘ &gt;&gt; BibleTOBIBLE:Jn 8:52]][[ ℘ &gt;&gt; BibleTOBIBLE:Ac 1:6]][[ ℘ &gt;&gt; BibleTOBIBLE:Heb 2:9]]</w:t>
      </w:r>
      <w:r>
        <w:rPr/>
        <w:t xml:space="preserve"> {{field-off:bible}} </w:t>
        <w:br/>
        <w:t>[[@BibleTOBIBLE:Mk 9:2]]</w:t>
      </w:r>
      <w:r>
        <w:rPr>
          <w:b/>
        </w:rPr>
        <w:t>2</w:t>
      </w:r>
      <w:r>
        <w:rPr/>
        <w:t xml:space="preserve"> {{field-on:bible}}Sechs Tage später nahm Jesus Petrus, Jakobus und Johannes </w:t>
      </w:r>
      <w:r>
        <w:rPr>
          <w:color w:val="808080"/>
        </w:rPr>
        <w:t>(die Brüder Jakobus und Johannes?)</w:t>
      </w:r>
      <w:r>
        <w:rPr/>
        <w:t xml:space="preserve">, und führte sie </w:t>
      </w:r>
      <w:r>
        <w:rPr>
          <w:rStyle w:val="Funotenanker"/>
        </w:rPr>
        <w:footnoteReference w:customMarkFollows="1" w:id="1726"/>
        <w:t>f</w:t>
      </w:r>
      <w:r>
        <w:rPr/>
        <w:t xml:space="preserve"> für sich, allein, </w:t>
      </w:r>
      <w:r>
        <w:rPr>
          <w:rStyle w:val="Funotenanker"/>
        </w:rPr>
        <w:footnoteReference w:customMarkFollows="1" w:id="1727"/>
        <w:t>g</w:t>
      </w:r>
      <w:r>
        <w:rPr/>
        <w:t xml:space="preserve"> auf einen hohen Berg, und er wurde vor ihnen </w:t>
      </w:r>
      <w:r>
        <w:rPr>
          <w:color w:val="808080"/>
        </w:rPr>
        <w:t>(vor ihren Augen)</w:t>
      </w:r>
      <w:r>
        <w:rPr/>
        <w:t xml:space="preserve"> </w:t>
      </w:r>
      <w:r>
        <w:rPr>
          <w:rStyle w:val="Funotenanker"/>
        </w:rPr>
        <w:footnoteReference w:customMarkFollows="1" w:id="1728"/>
        <w:t>h</w:t>
      </w:r>
      <w:r>
        <w:rPr/>
        <w:t xml:space="preserve"> verwandelt </w:t>
      </w:r>
      <w:r>
        <w:rPr>
          <w:color w:val="808080"/>
        </w:rPr>
        <w:t>(verwandelte sich)</w:t>
      </w:r>
      <w:r>
        <w:rPr/>
        <w:t xml:space="preserve">: </w:t>
      </w:r>
      <w:r>
        <w:rPr>
          <w:rStyle w:val="Funotenanker"/>
        </w:rPr>
        <w:footnoteReference w:customMarkFollows="1" w:id="1729"/>
        <w:t>i</w:t>
      </w:r>
      <w:r>
        <w:rPr/>
        <w:t xml:space="preserve"> </w:t>
      </w:r>
      <w:r>
        <w:rPr>
          <w:position w:val="8"/>
          <w:sz w:val="19"/>
        </w:rPr>
        <w:t>[[ ℘ &gt;&gt; BibleTOBIBLE:Ex 24:13]][[ ℘ &gt;&gt; BibleTOBIBLE:2Pe 1:16]][[ ℘ &gt;&gt; BibleTOBIBLE:2Co 3:18]]</w:t>
      </w:r>
      <w:r>
        <w:rPr/>
        <w:t xml:space="preserve"> {{field-off:bible}} </w:t>
        <w:br/>
        <w:t>[[@BibleTOBIBLE:Mk 9:3]]</w:t>
      </w:r>
      <w:r>
        <w:rPr>
          <w:b/>
        </w:rPr>
        <w:t>3</w:t>
      </w:r>
      <w:r>
        <w:rPr/>
        <w:t xml:space="preserve"> {{field-on:bible}} </w:t>
      </w:r>
      <w:r>
        <w:rPr>
          <w:strike/>
          <w:color w:val="808080"/>
        </w:rPr>
        <w:t>{und}</w:t>
      </w:r>
      <w:r>
        <w:rPr/>
        <w:t xml:space="preserve"> Seine Obergewänder </w:t>
      </w:r>
      <w:r>
        <w:rPr>
          <w:strike/>
          <w:color w:val="808080"/>
        </w:rPr>
        <w:t>{wurden}</w:t>
      </w:r>
      <w:r>
        <w:rPr/>
        <w:t xml:space="preserve"> strahlten </w:t>
      </w:r>
      <w:r>
        <w:rPr>
          <w:rStyle w:val="Funotenanker"/>
        </w:rPr>
        <w:footnoteReference w:customMarkFollows="1" w:id="1730"/>
        <w:t>j</w:t>
      </w:r>
      <w:r>
        <w:rPr/>
        <w:t xml:space="preserve"> </w:t>
      </w:r>
      <w:r>
        <w:rPr>
          <w:b/>
          <w:color w:val="808080"/>
        </w:rPr>
        <w:t>[</w:t>
      </w:r>
      <w:r>
        <w:rPr/>
        <w:t>so</w:t>
      </w:r>
      <w:r>
        <w:rPr>
          <w:b/>
          <w:color w:val="808080"/>
        </w:rPr>
        <w:t>]</w:t>
      </w:r>
      <w:r>
        <w:rPr/>
        <w:t xml:space="preserve"> sehr </w:t>
      </w:r>
      <w:r>
        <w:rPr>
          <w:color w:val="808080"/>
        </w:rPr>
        <w:t>(blendend)</w:t>
      </w:r>
      <w:r>
        <w:rPr/>
        <w:t xml:space="preserve"> weiß </w:t>
      </w:r>
      <w:r>
        <w:rPr>
          <w:rStyle w:val="Funotenanker"/>
        </w:rPr>
        <w:footnoteReference w:customMarkFollows="1" w:id="1731"/>
        <w:t>k</w:t>
      </w:r>
      <w:r>
        <w:rPr/>
        <w:t xml:space="preserve"> , wie sie kein Walker</w:t>
      </w:r>
      <w:r>
        <w:rPr>
          <w:rStyle w:val="Funotenanker"/>
        </w:rPr>
        <w:footnoteReference w:customMarkFollows="1" w:id="1732"/>
        <w:t>l</w:t>
      </w:r>
      <w:r>
        <w:rPr/>
        <w:t xml:space="preserve"> auf der </w:t>
      </w:r>
      <w:r>
        <w:rPr>
          <w:b/>
          <w:color w:val="808080"/>
        </w:rPr>
        <w:t>[</w:t>
      </w:r>
      <w:r>
        <w:rPr/>
        <w:t>ganzen</w:t>
      </w:r>
      <w:r>
        <w:rPr>
          <w:b/>
          <w:color w:val="808080"/>
        </w:rPr>
        <w:t>]</w:t>
      </w:r>
      <w:r>
        <w:rPr/>
        <w:t xml:space="preserve"> Erde </w:t>
      </w:r>
      <w:r>
        <w:rPr>
          <w:rStyle w:val="Funotenanker"/>
        </w:rPr>
        <w:footnoteReference w:customMarkFollows="1" w:id="1733"/>
        <w:t>m</w:t>
      </w:r>
      <w:r>
        <w:rPr/>
        <w:t xml:space="preserve"> </w:t>
      </w:r>
      <w:r>
        <w:rPr>
          <w:strike/>
          <w:color w:val="808080"/>
        </w:rPr>
        <w:t>{derart}</w:t>
      </w:r>
      <w:r>
        <w:rPr/>
        <w:t xml:space="preserve"> </w:t>
      </w:r>
      <w:r>
        <w:rPr>
          <w:rStyle w:val="Funotenanker"/>
        </w:rPr>
        <w:footnoteReference w:customMarkFollows="1" w:id="1734"/>
        <w:t>n</w:t>
      </w:r>
      <w:r>
        <w:rPr/>
        <w:t xml:space="preserve"> weiß färben könnte. </w:t>
      </w:r>
      <w:r>
        <w:rPr>
          <w:position w:val="8"/>
          <w:sz w:val="19"/>
        </w:rPr>
        <w:t>[[ ℘ &gt;&gt; BibleTOBIBLE:Ex 34:29]][[ ℘ &gt;&gt; BibleTOBIBLE:Ps 104:1]][[ ℘ &gt;&gt; BibleTOBIBLE:Da 7:9]][[ ℘ &gt;&gt; BibleTOBIBLE:Da 12:3]][[ ℘ &gt;&gt; BibleTOBIBLE:Mal 3:2]][[ ℘ &gt;&gt; BibleTOBIBLE:Jn 1:14]][[ ℘ &gt;&gt; BibleTOBIBLE:Mt 28:3]][[ ℘ &gt;&gt; BibleTOBIBLE:Php 3:21]][[ ℘ &gt;&gt; BibleTOBIBLE:Re 3:5]][[ ℘ &gt;&gt; BibleTOBIBLE:Re 4:4]][[ ℘ &gt;&gt; BibleTOBIBLE:Re 7:9]]</w:t>
      </w:r>
      <w:r>
        <w:rPr/>
        <w:t xml:space="preserve"> {{field-off:bible}} </w:t>
        <w:br/>
        <w:t>[[@BibleTOBIBLE:Mk 9:4]]</w:t>
      </w:r>
      <w:r>
        <w:rPr>
          <w:b/>
        </w:rPr>
        <w:t>4</w:t>
      </w:r>
      <w:r>
        <w:rPr/>
        <w:t xml:space="preserve"> {{field-on:bible}}Und es erschien ihnen Elija zusammen mit Mose</w:t>
      </w:r>
      <w:r>
        <w:rPr>
          <w:rStyle w:val="Funotenanker"/>
        </w:rPr>
        <w:footnoteReference w:customMarkFollows="1" w:id="1735"/>
        <w:t>o</w:t>
      </w:r>
      <w:r>
        <w:rPr/>
        <w:t xml:space="preserve"> , und sie sprachen </w:t>
      </w:r>
      <w:r>
        <w:rPr>
          <w:color w:val="808080"/>
        </w:rPr>
        <w:t>(</w:t>
      </w:r>
      <w:r>
        <w:rPr>
          <w:strike/>
          <w:color w:val="808080"/>
        </w:rPr>
        <w:t>{waren im Gespräch}</w:t>
      </w:r>
      <w:r>
        <w:rPr>
          <w:color w:val="808080"/>
        </w:rPr>
        <w:t>)</w:t>
      </w:r>
      <w:r>
        <w:rPr/>
        <w:t xml:space="preserve"> mit Jesus.{{field-off:bible}} </w:t>
        <w:br/>
        <w:t>[[@BibleTOBIBLE:Mk 9:5]]</w:t>
      </w:r>
      <w:r>
        <w:rPr>
          <w:b/>
        </w:rPr>
        <w:t>5</w:t>
      </w:r>
      <w:r>
        <w:rPr/>
        <w:t xml:space="preserve"> {{field-on:bible}}Da </w:t>
      </w:r>
      <w:r>
        <w:rPr>
          <w:strike/>
          <w:color w:val="808080"/>
        </w:rPr>
        <w:t>{antwortete und}</w:t>
      </w:r>
      <w:r>
        <w:rPr/>
        <w:t xml:space="preserve"> </w:t>
      </w:r>
      <w:r>
        <w:rPr>
          <w:rStyle w:val="Funotenanker"/>
        </w:rPr>
        <w:footnoteReference w:customMarkFollows="1" w:id="1736"/>
        <w:t>p</w:t>
      </w:r>
      <w:r>
        <w:rPr/>
        <w:t xml:space="preserve"> sprach Petrus zu Jesus: „Meister </w:t>
      </w:r>
      <w:r>
        <w:rPr>
          <w:color w:val="808080"/>
        </w:rPr>
        <w:t>(Rabbi)</w:t>
      </w:r>
      <w:r>
        <w:rPr/>
        <w:t xml:space="preserve"> </w:t>
      </w:r>
      <w:r>
        <w:rPr>
          <w:rStyle w:val="Funotenanker"/>
        </w:rPr>
        <w:footnoteReference w:customMarkFollows="1" w:id="1737"/>
        <w:t>q</w:t>
      </w:r>
      <w:r>
        <w:rPr/>
        <w:t xml:space="preserve"> , es ist gut, dass wir hier sind! Und lass uns </w:t>
      </w:r>
      <w:r>
        <w:rPr>
          <w:color w:val="808080"/>
        </w:rPr>
        <w:t>(so lass uns denn)</w:t>
      </w:r>
      <w:r>
        <w:rPr/>
        <w:t xml:space="preserve"> </w:t>
      </w:r>
      <w:r>
        <w:rPr>
          <w:rStyle w:val="Funotenanker"/>
        </w:rPr>
        <w:footnoteReference w:customMarkFollows="1" w:id="1738"/>
        <w:t>r</w:t>
      </w:r>
      <w:r>
        <w:rPr/>
        <w:t xml:space="preserve"> drei Hütten </w:t>
      </w:r>
      <w:r>
        <w:rPr>
          <w:color w:val="808080"/>
        </w:rPr>
        <w:t>(Zelte)</w:t>
      </w:r>
      <w:r>
        <w:rPr/>
        <w:t xml:space="preserve"> bauen - dir eine, Mose eine und Elija eine!“ </w:t>
      </w:r>
      <w:r>
        <w:rPr>
          <w:rStyle w:val="Funotenanker"/>
        </w:rPr>
        <w:footnoteReference w:customMarkFollows="1" w:id="1739"/>
        <w:t>s</w:t>
      </w:r>
      <w:r>
        <w:rPr/>
        <w:t xml:space="preserve"> {{field-off:bible}} </w:t>
        <w:br/>
        <w:t>[[@BibleTOBIBLE:Mk 9:6]]</w:t>
      </w:r>
      <w:r>
        <w:rPr>
          <w:b/>
        </w:rPr>
        <w:t>6</w:t>
      </w:r>
      <w:r>
        <w:rPr/>
        <w:t xml:space="preserve"> {{field-on:bible}}Er wusste nämlich nicht, wie er reagieren </w:t>
      </w:r>
      <w:r>
        <w:rPr>
          <w:color w:val="808080"/>
        </w:rPr>
        <w:t>(was er antworten)</w:t>
      </w:r>
      <w:r>
        <w:rPr/>
        <w:t xml:space="preserve"> sollte; denn </w:t>
      </w:r>
      <w:r>
        <w:rPr>
          <w:color w:val="808080"/>
        </w:rPr>
        <w:t>(so sehr)</w:t>
      </w:r>
      <w:r>
        <w:rPr/>
        <w:t xml:space="preserve"> sie fürchteten sich </w:t>
      </w:r>
      <w:r>
        <w:rPr>
          <w:color w:val="808080"/>
        </w:rPr>
        <w:t>(waren in Furcht geraten)</w:t>
      </w:r>
      <w:r>
        <w:rPr/>
        <w:t xml:space="preserve"> . </w:t>
      </w:r>
      <w:r>
        <w:rPr>
          <w:position w:val="8"/>
          <w:sz w:val="19"/>
        </w:rPr>
        <w:t>[[ ℘ &gt;&gt; BibleTOBIBLE:Mk 14:40]]</w:t>
      </w:r>
      <w:r>
        <w:rPr/>
        <w:t xml:space="preserve"> {{field-off:bible}} </w:t>
        <w:br/>
        <w:t>[[@BibleTOBIBLE:Mk 9:7]]</w:t>
      </w:r>
      <w:r>
        <w:rPr>
          <w:b/>
        </w:rPr>
        <w:t>7</w:t>
      </w:r>
      <w:r>
        <w:rPr/>
        <w:t xml:space="preserve"> {{field-on:bible}}Und eine Wolke </w:t>
      </w:r>
      <w:r>
        <w:rPr>
          <w:strike/>
          <w:color w:val="808080"/>
        </w:rPr>
        <w:t>{entstand und}</w:t>
      </w:r>
      <w:r>
        <w:rPr/>
        <w:t xml:space="preserve"> hüllte </w:t>
      </w:r>
      <w:r>
        <w:rPr>
          <w:color w:val="808080"/>
        </w:rPr>
        <w:t>(verbarg, überschattete)</w:t>
      </w:r>
      <w:r>
        <w:rPr/>
        <w:t xml:space="preserve"> </w:t>
      </w:r>
      <w:r>
        <w:rPr>
          <w:rStyle w:val="Funotenanker"/>
        </w:rPr>
        <w:footnoteReference w:customMarkFollows="1" w:id="1740"/>
        <w:t>t</w:t>
      </w:r>
      <w:r>
        <w:rPr/>
        <w:t xml:space="preserve"> sie </w:t>
      </w:r>
      <w:r>
        <w:rPr>
          <w:rStyle w:val="Funotenanker"/>
        </w:rPr>
        <w:footnoteReference w:customMarkFollows="1" w:id="1741"/>
        <w:t>u</w:t>
      </w:r>
      <w:r>
        <w:rPr/>
        <w:t xml:space="preserve"> ein, und eine Stimme kam aus der Wolke: „Dies ist mein geliebter </w:t>
      </w:r>
      <w:r>
        <w:rPr>
          <w:color w:val="808080"/>
        </w:rPr>
        <w:t>(einziger)</w:t>
      </w:r>
      <w:r>
        <w:rPr/>
        <w:t xml:space="preserve"> </w:t>
      </w:r>
      <w:r>
        <w:rPr>
          <w:rStyle w:val="Funotenanker"/>
        </w:rPr>
        <w:footnoteReference w:customMarkFollows="1" w:id="1742"/>
        <w:t>v</w:t>
      </w:r>
      <w:r>
        <w:rPr/>
        <w:t xml:space="preserve"> Sohn, </w:t>
      </w:r>
      <w:r>
        <w:rPr>
          <w:b/>
          <w:color w:val="808080"/>
        </w:rPr>
        <w:t>[</w:t>
      </w:r>
      <w:r>
        <w:rPr/>
        <w:t>darum</w:t>
      </w:r>
      <w:r>
        <w:rPr>
          <w:b/>
          <w:color w:val="808080"/>
        </w:rPr>
        <w:t>]</w:t>
      </w:r>
      <w:r>
        <w:rPr/>
        <w:t xml:space="preserve"> </w:t>
      </w:r>
      <w:r>
        <w:rPr>
          <w:rStyle w:val="Funotenanker"/>
        </w:rPr>
        <w:footnoteReference w:customMarkFollows="1" w:id="1743"/>
        <w:t>w</w:t>
      </w:r>
      <w:r>
        <w:rPr/>
        <w:t xml:space="preserve"> hört auf ihn!“ </w:t>
      </w:r>
      <w:r>
        <w:rPr>
          <w:position w:val="8"/>
          <w:sz w:val="19"/>
        </w:rPr>
        <w:t>[[ ℘ &gt;&gt; BibleTOBIBLE:Ex 16:10]][[ ℘ &gt;&gt; BibleTOBIBLE:Ex 23:21]][[ ℘ &gt;&gt; BibleTOBIBLE:Ex 24:15]][[ ℘ &gt;&gt; BibleTOBIBLE:Ex 33:9]][[ ℘ &gt;&gt; BibleTOBIBLE:Ex 40:34]][[ ℘ &gt;&gt; BibleTOBIBLE:Dt 5:22]][[ ℘ &gt;&gt; BibleTOBIBLE:Dt 18:15]][[ ℘ &gt;&gt; BibleTOBIBLE:1Ki 8:10]][[ ℘ &gt;&gt; BibleTOBIBLE:Ps 2:7]][[ ℘ &gt;&gt; BibleTOBIBLE:Ps 99:7]][[ ℘ &gt;&gt; BibleTOBIBLE:Is 42:1]][[ ℘ &gt;&gt; BibleTOBIBLE:2Ch 5:13]][[ ℘ &gt;&gt; BibleTOBIBLE:2Mac 2:8]][[ ℘ &gt;&gt; BibleTOBIBLE:Mk 1:11]][[ ℘ &gt;&gt; BibleTOBIBLE:Mk 13:26]][[ ℘ &gt;&gt; BibleTOBIBLE:Mk 14:62]][[ ℘ &gt;&gt; BibleTOBIBLE:Ac 1:9]][[ ℘ &gt;&gt; BibleTOBIBLE:2Pe 1:17]]</w:t>
      </w:r>
      <w:r>
        <w:rPr/>
        <w:t xml:space="preserve"> {{field-off:bible}} </w:t>
        <w:br/>
        <w:t>[[@BibleTOBIBLE:Mk 9:8]]</w:t>
      </w:r>
      <w:r>
        <w:rPr>
          <w:b/>
        </w:rPr>
        <w:t>8</w:t>
      </w:r>
      <w:r>
        <w:rPr/>
        <w:t xml:space="preserve"> {{field-on:bible}}Und plötzlich, als sie sich umblickten, sahen sie niemanden </w:t>
      </w:r>
      <w:r>
        <w:rPr>
          <w:strike/>
          <w:color w:val="808080"/>
        </w:rPr>
        <w:t>{nicht}</w:t>
      </w:r>
      <w:r>
        <w:rPr/>
        <w:t xml:space="preserve"> </w:t>
      </w:r>
      <w:r>
        <w:rPr>
          <w:rStyle w:val="Funotenanker"/>
        </w:rPr>
        <w:footnoteReference w:customMarkFollows="1" w:id="1744"/>
        <w:t>x</w:t>
      </w:r>
      <w:r>
        <w:rPr/>
        <w:t xml:space="preserve"> mehr bei sich </w:t>
      </w:r>
      <w:r>
        <w:rPr>
          <w:rStyle w:val="Funotenanker"/>
        </w:rPr>
        <w:footnoteReference w:customMarkFollows="1" w:id="1745"/>
        <w:t>y</w:t>
      </w:r>
      <w:r>
        <w:rPr/>
        <w:t xml:space="preserve"> als Jesus allein.{{field-off:bible}} </w:t>
        <w:br/>
        <w:t>[[@BibleTOBIBLE:Mk 9:9]]</w:t>
      </w:r>
      <w:r>
        <w:rPr>
          <w:b/>
        </w:rPr>
        <w:t>9</w:t>
      </w:r>
      <w:r>
        <w:rPr/>
        <w:t xml:space="preserve"> {{field-on:bible}}Während sie vom </w:t>
      </w:r>
      <w:r>
        <w:rPr>
          <w:color w:val="808080"/>
        </w:rPr>
        <w:t>(aus dem)</w:t>
      </w:r>
      <w:r>
        <w:rPr/>
        <w:t xml:space="preserve"> </w:t>
      </w:r>
      <w:r>
        <w:rPr>
          <w:rStyle w:val="Funotenanker"/>
        </w:rPr>
        <w:footnoteReference w:customMarkFollows="1" w:id="1746"/>
        <w:t>z</w:t>
      </w:r>
      <w:r>
        <w:rPr/>
        <w:t xml:space="preserve"> Berg herabstiegen, befahl er ihnen </w:t>
      </w:r>
      <w:r>
        <w:rPr>
          <w:strike/>
          <w:color w:val="808080"/>
        </w:rPr>
        <w:t>{damit}</w:t>
      </w:r>
      <w:r>
        <w:rPr/>
        <w:t xml:space="preserve">, </w:t>
      </w:r>
      <w:r>
        <w:rPr>
          <w:rStyle w:val="Funotenanker"/>
        </w:rPr>
        <w:footnoteReference w:customMarkFollows="1" w:id="1747"/>
        <w:t>aa</w:t>
      </w:r>
      <w:r>
        <w:rPr/>
        <w:t xml:space="preserve"> niemandem zu erzählen, was sie gesehen hatten - erst </w:t>
      </w:r>
      <w:r>
        <w:rPr>
          <w:color w:val="808080"/>
        </w:rPr>
        <w:t>(außer)</w:t>
      </w:r>
      <w:r>
        <w:rPr/>
        <w:t xml:space="preserve"> </w:t>
      </w:r>
      <w:r>
        <w:rPr>
          <w:rStyle w:val="Funotenanker"/>
        </w:rPr>
        <w:footnoteReference w:customMarkFollows="1" w:id="1748"/>
        <w:t>ab</w:t>
      </w:r>
      <w:r>
        <w:rPr/>
        <w:t xml:space="preserve"> , wenn der Menschensohn </w:t>
      </w:r>
      <w:r>
        <w:rPr>
          <w:rStyle w:val="Funotenanker"/>
        </w:rPr>
        <w:footnoteReference w:customMarkFollows="1" w:id="1749"/>
        <w:t>ac</w:t>
      </w:r>
      <w:r>
        <w:rPr/>
        <w:t xml:space="preserve"> von den Toten </w:t>
      </w:r>
      <w:r>
        <w:rPr>
          <w:rStyle w:val="Funotenanker"/>
        </w:rPr>
        <w:footnoteReference w:customMarkFollows="1" w:id="1750"/>
        <w:t>ad</w:t>
      </w:r>
      <w:r>
        <w:rPr/>
        <w:t xml:space="preserve"> auferstanden sei. </w:t>
      </w:r>
      <w:r>
        <w:rPr>
          <w:position w:val="8"/>
          <w:sz w:val="19"/>
        </w:rPr>
        <w:t>[[ ℘ &gt;&gt; BibleTOBIBLE:Mt 8:4]][[ ℘ &gt;&gt; BibleTOBIBLE:Mk 5:43]][[ ℘ &gt;&gt; BibleTOBIBLE:Mk 8:30]][[ ℘ &gt;&gt; BibleTOBIBLE:Mk 10:32]][[ ℘ &gt;&gt; BibleTOBIBLE:Lk 24:46]]</w:t>
      </w:r>
      <w:r>
        <w:rPr/>
        <w:t xml:space="preserve"> {{field-off:bible}} </w:t>
        <w:br/>
        <w:t>[[@BibleTOBIBLE:Mk 9:10]]</w:t>
      </w:r>
      <w:r>
        <w:rPr>
          <w:b/>
        </w:rPr>
        <w:t>10</w:t>
      </w:r>
      <w:r>
        <w:rPr/>
        <w:t xml:space="preserve"> {{field-on:bible}}Und sie behielten das Wort bei sich </w:t>
      </w:r>
      <w:r>
        <w:rPr>
          <w:color w:val="808080"/>
        </w:rPr>
        <w:t>(</w:t>
      </w:r>
      <w:r>
        <w:rPr>
          <w:strike/>
          <w:color w:val="808080"/>
        </w:rPr>
        <w:t>{bei sich}</w:t>
      </w:r>
      <w:r>
        <w:rPr>
          <w:color w:val="808080"/>
        </w:rPr>
        <w:t>)</w:t>
      </w:r>
      <w:r>
        <w:rPr/>
        <w:t xml:space="preserve">, diskutierten </w:t>
      </w:r>
      <w:r>
        <w:rPr>
          <w:color w:val="808080"/>
        </w:rPr>
        <w:t>(miteinander)</w:t>
      </w:r>
      <w:r>
        <w:rPr/>
        <w:t xml:space="preserve"> </w:t>
      </w:r>
      <w:r>
        <w:rPr>
          <w:rStyle w:val="Funotenanker"/>
        </w:rPr>
        <w:footnoteReference w:customMarkFollows="1" w:id="1751"/>
        <w:t>ae</w:t>
      </w:r>
      <w:r>
        <w:rPr/>
        <w:t xml:space="preserve"> aber, was dies sei - „von den Toten Auferstehen“. </w:t>
      </w:r>
      <w:r>
        <w:rPr>
          <w:rStyle w:val="Funotenanker"/>
        </w:rPr>
        <w:footnoteReference w:customMarkFollows="1" w:id="1752"/>
        <w:t>af</w:t>
      </w:r>
      <w:r>
        <w:rPr/>
        <w:t xml:space="preserve"> </w:t>
      </w:r>
      <w:r>
        <w:rPr>
          <w:position w:val="8"/>
          <w:sz w:val="19"/>
        </w:rPr>
        <w:t>[[ ℘ &gt;&gt; BibleTOBIBLE:Jn 12:16]]</w:t>
      </w:r>
      <w:r>
        <w:rPr/>
        <w:t xml:space="preserve"> {{field-off:bible}} </w:t>
        <w:br/>
        <w:t>[[@BibleTOBIBLE:Mk 9:11]]</w:t>
      </w:r>
      <w:r>
        <w:rPr>
          <w:b/>
        </w:rPr>
        <w:t>11</w:t>
      </w:r>
      <w:r>
        <w:rPr/>
        <w:t xml:space="preserve"> {{field-on:bible}}Dann fragten sie ihn </w:t>
      </w:r>
      <w:r>
        <w:rPr>
          <w:strike/>
          <w:color w:val="808080"/>
        </w:rPr>
        <w:t>{und sagten}</w:t>
      </w:r>
      <w:r>
        <w:rPr/>
        <w:t xml:space="preserve">: „Warum sagen </w:t>
      </w:r>
      <w:r>
        <w:rPr>
          <w:b/>
          <w:color w:val="808080"/>
        </w:rPr>
        <w:t>[</w:t>
      </w:r>
      <w:r>
        <w:rPr/>
        <w:t>dann</w:t>
      </w:r>
      <w:r>
        <w:rPr>
          <w:b/>
          <w:color w:val="808080"/>
        </w:rPr>
        <w:t>]</w:t>
      </w:r>
      <w:r>
        <w:rPr/>
        <w:t xml:space="preserve"> die Schriftgelehrten </w:t>
      </w:r>
      <w:r>
        <w:rPr>
          <w:color w:val="808080"/>
        </w:rPr>
        <w:t>(fragten sie ihn, warum die Schriftgelehrten sagten)</w:t>
      </w:r>
      <w:r>
        <w:rPr/>
        <w:t xml:space="preserve">, </w:t>
      </w:r>
      <w:r>
        <w:rPr>
          <w:rStyle w:val="Funotenanker"/>
        </w:rPr>
        <w:footnoteReference w:customMarkFollows="1" w:id="1753"/>
        <w:t>ag</w:t>
      </w:r>
      <w:r>
        <w:rPr/>
        <w:t xml:space="preserve"> dass zuerst Elija kommen müsse?“ </w:t>
      </w:r>
      <w:r>
        <w:rPr>
          <w:position w:val="8"/>
          <w:sz w:val="19"/>
        </w:rPr>
        <w:t>[[ ℘ &gt;&gt; BibleTOBIBLE:Mal 3:23]]</w:t>
      </w:r>
      <w:r>
        <w:rPr/>
        <w:t xml:space="preserve"> {{field-off:bible}} </w:t>
        <w:br/>
        <w:t>[[@BibleTOBIBLE:Mk 9:12]]</w:t>
      </w:r>
      <w:r>
        <w:rPr>
          <w:b/>
        </w:rPr>
        <w:t>12</w:t>
      </w:r>
      <w:r>
        <w:rPr/>
        <w:t xml:space="preserve"> {{field-on:bible}}Und er sagte zu ihnen: „In der Tat </w:t>
      </w:r>
      <w:r>
        <w:rPr>
          <w:color w:val="808080"/>
        </w:rPr>
        <w:t>(zwar)</w:t>
      </w:r>
      <w:r>
        <w:rPr/>
        <w:t xml:space="preserve"> </w:t>
      </w:r>
      <w:r>
        <w:rPr>
          <w:rStyle w:val="Funotenanker"/>
        </w:rPr>
        <w:footnoteReference w:customMarkFollows="1" w:id="1754"/>
        <w:t>ah</w:t>
      </w:r>
      <w:r>
        <w:rPr/>
        <w:t xml:space="preserve"> kommt </w:t>
      </w:r>
      <w:r>
        <w:rPr>
          <w:rStyle w:val="Funotenanker"/>
        </w:rPr>
        <w:footnoteReference w:customMarkFollows="1" w:id="1755"/>
        <w:t>ai</w:t>
      </w:r>
      <w:r>
        <w:rPr/>
        <w:t xml:space="preserve"> Elija zuerst und stellt alles wieder her. </w:t>
      </w:r>
      <w:r>
        <w:rPr>
          <w:rStyle w:val="Funotenanker"/>
        </w:rPr>
        <w:footnoteReference w:customMarkFollows="1" w:id="1756"/>
        <w:t>aj</w:t>
      </w:r>
      <w:r>
        <w:rPr/>
        <w:t xml:space="preserve"> Aber </w:t>
      </w:r>
      <w:r>
        <w:rPr>
          <w:b/>
          <w:color w:val="808080"/>
        </w:rPr>
        <w:t>[</w:t>
      </w:r>
      <w:r>
        <w:rPr/>
        <w:t>gleichzeitig</w:t>
      </w:r>
      <w:r>
        <w:rPr>
          <w:b/>
          <w:color w:val="808080"/>
        </w:rPr>
        <w:t>]</w:t>
      </w:r>
      <w:r>
        <w:rPr/>
        <w:t xml:space="preserve"> steht </w:t>
      </w:r>
      <w:r>
        <w:rPr>
          <w:color w:val="808080"/>
        </w:rPr>
        <w:t>(und wie/warum steht)</w:t>
      </w:r>
      <w:r>
        <w:rPr/>
        <w:t xml:space="preserve"> über den Menschensohn geschrieben</w:t>
      </w:r>
      <w:r>
        <w:rPr>
          <w:color w:val="808080"/>
        </w:rPr>
        <w:t>(?)</w:t>
      </w:r>
      <w:r>
        <w:rPr/>
        <w:t xml:space="preserve">, dass </w:t>
      </w:r>
      <w:r>
        <w:rPr>
          <w:color w:val="808080"/>
        </w:rPr>
        <w:t>(damit)</w:t>
      </w:r>
      <w:r>
        <w:rPr/>
        <w:t xml:space="preserve"> er vieles leiden und verachtet werden müsse.</w:t>
      </w:r>
      <w:r>
        <w:rPr>
          <w:color w:val="808080"/>
        </w:rPr>
        <w:t>(?)</w:t>
      </w:r>
      <w:r>
        <w:rPr/>
        <w:t xml:space="preserve"> </w:t>
      </w:r>
      <w:r>
        <w:rPr>
          <w:position w:val="8"/>
          <w:sz w:val="19"/>
        </w:rPr>
        <w:t>[[ ℘ &gt;&gt; BibleTOBIBLE:Sir 48:10]][[ ℘ &gt;&gt; BibleTOBIBLE:Mal 3:24]][[ ℘ &gt;&gt; BibleTOBIBLE:Lk 1:16]][[ ℘ &gt;&gt; BibleTOBIBLE:Lk 1:76]][[ ℘ &gt;&gt; BibleTOBIBLE:Ac 1:6]]</w:t>
      </w:r>
      <w:r>
        <w:rPr/>
        <w:t xml:space="preserve"> {{field-off:bible}} </w:t>
        <w:br/>
        <w:t>[[@BibleTOBIBLE:Mk 9:13]]</w:t>
      </w:r>
      <w:r>
        <w:rPr>
          <w:b/>
        </w:rPr>
        <w:t>13</w:t>
      </w:r>
      <w:r>
        <w:rPr/>
        <w:t xml:space="preserve"> {{field-on:bible}}Aber ich sage euch </w:t>
      </w:r>
      <w:r>
        <w:rPr>
          <w:color w:val="808080"/>
        </w:rPr>
        <w:t>(Ja, mehr noch:)</w:t>
      </w:r>
      <w:r>
        <w:rPr/>
        <w:t xml:space="preserve">, </w:t>
      </w:r>
      <w:r>
        <w:rPr>
          <w:rStyle w:val="Funotenanker"/>
        </w:rPr>
        <w:footnoteReference w:customMarkFollows="1" w:id="1757"/>
        <w:t>ak</w:t>
      </w:r>
      <w:r>
        <w:rPr/>
        <w:t xml:space="preserve"> Elija ist auch </w:t>
      </w:r>
      <w:r>
        <w:rPr>
          <w:color w:val="808080"/>
        </w:rPr>
        <w:t>(sogar)</w:t>
      </w:r>
      <w:r>
        <w:rPr/>
        <w:t xml:space="preserve"> </w:t>
      </w:r>
      <w:r>
        <w:rPr>
          <w:rStyle w:val="Funotenanker"/>
        </w:rPr>
        <w:footnoteReference w:customMarkFollows="1" w:id="1758"/>
        <w:t>al</w:t>
      </w:r>
      <w:r>
        <w:rPr/>
        <w:t xml:space="preserve"> </w:t>
      </w:r>
      <w:r>
        <w:rPr>
          <w:b/>
          <w:color w:val="808080"/>
        </w:rPr>
        <w:t>[</w:t>
      </w:r>
      <w:r>
        <w:rPr/>
        <w:t>bereits</w:t>
      </w:r>
      <w:r>
        <w:rPr>
          <w:b/>
          <w:color w:val="808080"/>
        </w:rPr>
        <w:t>]</w:t>
      </w:r>
      <w:r>
        <w:rPr/>
        <w:t xml:space="preserve"> gekommen, und sie haben mit ihm gemacht, was sie wollten - wie über ihn geschrieben steht.“ </w:t>
      </w:r>
      <w:r>
        <w:rPr>
          <w:position w:val="8"/>
          <w:sz w:val="19"/>
        </w:rPr>
        <w:t>[[ ℘ &gt;&gt; BibleTOBIBLE:Mt 11:14]][[ ℘ &gt;&gt; BibleTOBIBLE:Mt 17:13]]</w:t>
      </w:r>
      <w:r>
        <w:rPr/>
        <w:t xml:space="preserve"> {{field-off:bible}} </w:t>
        <w:br/>
        <w:t>[[@BibleTOBIBLE:Mk 9:14]]</w:t>
      </w:r>
      <w:r>
        <w:rPr>
          <w:b/>
        </w:rPr>
        <w:t>14</w:t>
      </w:r>
      <w:r>
        <w:rPr/>
        <w:t xml:space="preserve"> {{field-on:bible}}Und als sie </w:t>
      </w:r>
      <w:r>
        <w:rPr>
          <w:color w:val="808080"/>
        </w:rPr>
        <w:t>(er)</w:t>
      </w:r>
      <w:r>
        <w:rPr/>
        <w:t xml:space="preserve"> zu den Jüngern kamen </w:t>
      </w:r>
      <w:r>
        <w:rPr>
          <w:color w:val="808080"/>
        </w:rPr>
        <w:t>(kam)</w:t>
      </w:r>
      <w:r>
        <w:rPr/>
        <w:t xml:space="preserve">, sahen sie </w:t>
      </w:r>
      <w:r>
        <w:rPr>
          <w:color w:val="808080"/>
        </w:rPr>
        <w:t>(sah er)</w:t>
      </w:r>
      <w:r>
        <w:rPr/>
        <w:t xml:space="preserve">, dass eine große Menschenmenge um sie </w:t>
      </w:r>
      <w:r>
        <w:rPr>
          <w:b/>
          <w:color w:val="808080"/>
        </w:rPr>
        <w:t>[</w:t>
      </w:r>
      <w:r>
        <w:rPr/>
        <w:t>war</w:t>
      </w:r>
      <w:r>
        <w:rPr>
          <w:b/>
          <w:color w:val="808080"/>
        </w:rPr>
        <w:t>]</w:t>
      </w:r>
      <w:r>
        <w:rPr/>
        <w:t xml:space="preserve"> und Schriftgelehrte mit ihnen diskutierten. </w:t>
      </w:r>
      <w:r>
        <w:rPr>
          <w:position w:val="8"/>
          <w:sz w:val="19"/>
        </w:rPr>
        <w:t>[[ ℘ &gt;&gt; BibleTOBIBLE:Lk 11:53]]</w:t>
      </w:r>
      <w:r>
        <w:rPr/>
        <w:t xml:space="preserve"> {{field-off:bible}} </w:t>
        <w:br/>
        <w:t>[[@BibleTOBIBLE:Mk 9:15]]</w:t>
      </w:r>
      <w:r>
        <w:rPr>
          <w:b/>
        </w:rPr>
        <w:t>15</w:t>
      </w:r>
      <w:r>
        <w:rPr/>
        <w:t xml:space="preserve"> {{field-on:bible}}Und sofort, als die ganze Menschenmenge ihn sah, erschrak sie </w:t>
      </w:r>
      <w:r>
        <w:rPr>
          <w:color w:val="808080"/>
        </w:rPr>
        <w:t>(staunte sie, geriet sie in Ehrfurcht)</w:t>
      </w:r>
      <w:r>
        <w:rPr/>
        <w:t xml:space="preserve">, </w:t>
      </w:r>
      <w:r>
        <w:rPr>
          <w:rStyle w:val="Funotenanker"/>
        </w:rPr>
        <w:footnoteReference w:customMarkFollows="1" w:id="1759"/>
        <w:t>am</w:t>
      </w:r>
      <w:r>
        <w:rPr/>
        <w:t xml:space="preserve"> rannte auf ihn zu und begrüßte ihn </w:t>
      </w:r>
      <w:r>
        <w:rPr>
          <w:b/>
          <w:color w:val="808080"/>
        </w:rPr>
        <w:t>[</w:t>
      </w:r>
      <w:r>
        <w:rPr/>
        <w:t>freudig</w:t>
      </w:r>
      <w:r>
        <w:rPr>
          <w:b/>
          <w:color w:val="808080"/>
        </w:rPr>
        <w:t>]</w:t>
      </w:r>
      <w:r>
        <w:rPr/>
        <w:t xml:space="preserve"> </w:t>
      </w:r>
      <w:r>
        <w:rPr>
          <w:rStyle w:val="Funotenanker"/>
        </w:rPr>
        <w:footnoteReference w:customMarkFollows="1" w:id="1760"/>
        <w:t>an</w:t>
      </w:r>
      <w:r>
        <w:rPr/>
        <w:t xml:space="preserve">. </w:t>
      </w:r>
      <w:r>
        <w:rPr>
          <w:position w:val="8"/>
          <w:sz w:val="19"/>
        </w:rPr>
        <w:t>[[ ℘ &gt;&gt; BibleTOBIBLE:Ex 34:30]]</w:t>
      </w:r>
      <w:r>
        <w:rPr/>
        <w:t xml:space="preserve"> {{field-off:bible}} </w:t>
        <w:br/>
        <w:t>[[@BibleTOBIBLE:Mk 9:16]]</w:t>
      </w:r>
      <w:r>
        <w:rPr>
          <w:b/>
        </w:rPr>
        <w:t>16</w:t>
      </w:r>
      <w:r>
        <w:rPr/>
        <w:t xml:space="preserve"> {{field-on:bible}}Da fragte er sie: </w:t>
      </w:r>
      <w:r>
        <w:rPr>
          <w:rStyle w:val="Funotenanker"/>
        </w:rPr>
        <w:footnoteReference w:customMarkFollows="1" w:id="1761"/>
        <w:t>ao</w:t>
      </w:r>
      <w:r>
        <w:rPr/>
        <w:t xml:space="preserve"> „Worüber </w:t>
      </w:r>
      <w:r>
        <w:rPr>
          <w:color w:val="808080"/>
        </w:rPr>
        <w:t>(warum)</w:t>
      </w:r>
      <w:r>
        <w:rPr/>
        <w:t xml:space="preserve"> diskutiert ihr mit ihnen ?“{{field-off:bible}} </w:t>
        <w:br/>
        <w:t>[[@BibleTOBIBLE:Mk 9:17]]</w:t>
      </w:r>
      <w:r>
        <w:rPr>
          <w:b/>
        </w:rPr>
        <w:t>17</w:t>
      </w:r>
      <w:r>
        <w:rPr/>
        <w:t xml:space="preserve"> {{field-on:bible}}Einer </w:t>
      </w:r>
      <w:r>
        <w:rPr>
          <w:rStyle w:val="Funotenanker"/>
        </w:rPr>
        <w:footnoteReference w:customMarkFollows="1" w:id="1762"/>
        <w:t>ap</w:t>
      </w:r>
      <w:r>
        <w:rPr/>
        <w:t xml:space="preserve"> aus </w:t>
      </w:r>
      <w:r>
        <w:rPr>
          <w:color w:val="808080"/>
        </w:rPr>
        <w:t>(aus heraus)</w:t>
      </w:r>
      <w:r>
        <w:rPr/>
        <w:t xml:space="preserve"> </w:t>
      </w:r>
      <w:r>
        <w:rPr>
          <w:rStyle w:val="Funotenanker"/>
        </w:rPr>
        <w:footnoteReference w:customMarkFollows="1" w:id="1763"/>
        <w:t>aq</w:t>
      </w:r>
      <w:r>
        <w:rPr/>
        <w:t xml:space="preserve"> der Menschenmenge antwortete ihm: „Lehrer, ich habe meinen Sohn zu dir gebracht </w:t>
      </w:r>
      <w:r>
        <w:rPr>
          <w:color w:val="808080"/>
        </w:rPr>
        <w:t>(wollte ihn zu dir bringen)</w:t>
      </w:r>
      <w:r>
        <w:rPr/>
        <w:t xml:space="preserve">, </w:t>
      </w:r>
      <w:r>
        <w:rPr>
          <w:rStyle w:val="Funotenanker"/>
        </w:rPr>
        <w:footnoteReference w:customMarkFollows="1" w:id="1764"/>
        <w:t>ar</w:t>
      </w:r>
      <w:r>
        <w:rPr/>
        <w:t xml:space="preserve"> weil </w:t>
      </w:r>
      <w:r>
        <w:rPr>
          <w:rStyle w:val="Funotenanker"/>
        </w:rPr>
        <w:footnoteReference w:customMarkFollows="1" w:id="1765"/>
        <w:t>as</w:t>
      </w:r>
      <w:r>
        <w:rPr/>
        <w:t xml:space="preserve"> er einen stummen Geist </w:t>
      </w:r>
      <w:r>
        <w:rPr>
          <w:color w:val="808080"/>
        </w:rPr>
        <w:t>(einen Geist, der ihn stumm macht)</w:t>
      </w:r>
      <w:r>
        <w:rPr/>
        <w:t xml:space="preserve"> </w:t>
      </w:r>
      <w:r>
        <w:rPr>
          <w:rStyle w:val="Funotenanker"/>
        </w:rPr>
        <w:footnoteReference w:customMarkFollows="1" w:id="1766"/>
        <w:t>at</w:t>
      </w:r>
      <w:r>
        <w:rPr/>
        <w:t xml:space="preserve"> hat </w:t>
      </w:r>
      <w:r>
        <w:rPr>
          <w:color w:val="808080"/>
        </w:rPr>
        <w:t>(von einem stummen Geist besessen ist)</w:t>
      </w:r>
      <w:r>
        <w:rPr/>
        <w:t xml:space="preserve">. </w:t>
      </w:r>
      <w:r>
        <w:rPr>
          <w:position w:val="8"/>
          <w:sz w:val="19"/>
        </w:rPr>
        <w:t>[[ ℘ &gt;&gt; BibleTOBIBLE:Mt 12:22]][[ ℘ &gt;&gt; BibleTOBIBLE:Mk 7:26]][[ ℘ &gt;&gt; BibleTOBIBLE:Lk 11:14]]</w:t>
      </w:r>
      <w:r>
        <w:rPr/>
        <w:t xml:space="preserve"> {{field-off:bible}} </w:t>
        <w:br/>
        <w:t>[[@BibleTOBIBLE:Mk 9:18]]</w:t>
      </w:r>
      <w:r>
        <w:rPr>
          <w:b/>
        </w:rPr>
        <w:t>18</w:t>
      </w:r>
      <w:r>
        <w:rPr/>
        <w:t xml:space="preserve"> {{field-on:bible}}Und wo auch immer </w:t>
      </w:r>
      <w:r>
        <w:rPr>
          <w:b/>
          <w:color w:val="808080"/>
        </w:rPr>
        <w:t>[</w:t>
      </w:r>
      <w:r>
        <w:rPr/>
        <w:t>er ist, wenn</w:t>
      </w:r>
      <w:r>
        <w:rPr>
          <w:b/>
          <w:color w:val="808080"/>
        </w:rPr>
        <w:t>]</w:t>
      </w:r>
      <w:r>
        <w:rPr/>
        <w:t xml:space="preserve"> </w:t>
      </w:r>
      <w:r>
        <w:rPr>
          <w:rStyle w:val="Funotenanker"/>
        </w:rPr>
        <w:footnoteReference w:customMarkFollows="1" w:id="1767"/>
        <w:t>au</w:t>
      </w:r>
      <w:r>
        <w:rPr/>
        <w:t xml:space="preserve"> er ihn anfällt </w:t>
      </w:r>
      <w:r>
        <w:rPr>
          <w:color w:val="808080"/>
        </w:rPr>
        <w:t>(packt)</w:t>
      </w:r>
      <w:r>
        <w:rPr/>
        <w:t xml:space="preserve">, </w:t>
      </w:r>
      <w:r>
        <w:rPr>
          <w:rStyle w:val="Funotenanker"/>
        </w:rPr>
        <w:footnoteReference w:customMarkFollows="1" w:id="1768"/>
        <w:t>av</w:t>
      </w:r>
      <w:r>
        <w:rPr/>
        <w:t xml:space="preserve"> zerrt er ihn hin und her </w:t>
      </w:r>
      <w:r>
        <w:rPr>
          <w:color w:val="808080"/>
        </w:rPr>
        <w:t>(wirft er ihn zu Boden)</w:t>
      </w:r>
      <w:r>
        <w:rPr/>
        <w:t xml:space="preserve"> </w:t>
      </w:r>
      <w:r>
        <w:rPr>
          <w:rStyle w:val="Funotenanker"/>
        </w:rPr>
        <w:footnoteReference w:customMarkFollows="1" w:id="1769"/>
        <w:t>aw</w:t>
      </w:r>
      <w:r>
        <w:rPr/>
        <w:t xml:space="preserve"> und ihm tritt Schaum vor den Mund </w:t>
      </w:r>
      <w:r>
        <w:rPr>
          <w:color w:val="808080"/>
        </w:rPr>
        <w:t>(er schäumt)</w:t>
      </w:r>
      <w:r>
        <w:rPr/>
        <w:t xml:space="preserve"> </w:t>
      </w:r>
      <w:r>
        <w:rPr>
          <w:rStyle w:val="Funotenanker"/>
        </w:rPr>
        <w:footnoteReference w:customMarkFollows="1" w:id="1770"/>
        <w:t>ax</w:t>
      </w:r>
      <w:r>
        <w:rPr/>
        <w:t xml:space="preserve"> er knirscht mit den Zähnen und er wird </w:t>
      </w:r>
      <w:r>
        <w:rPr>
          <w:b/>
          <w:color w:val="808080"/>
        </w:rPr>
        <w:t>[</w:t>
      </w:r>
      <w:r>
        <w:rPr/>
        <w:t>ganz</w:t>
      </w:r>
      <w:r>
        <w:rPr>
          <w:b/>
          <w:color w:val="808080"/>
        </w:rPr>
        <w:t>]</w:t>
      </w:r>
      <w:r>
        <w:rPr/>
        <w:t xml:space="preserve"> starr. Und ich sagte zu deinen Jüngern, dass </w:t>
      </w:r>
      <w:r>
        <w:rPr>
          <w:color w:val="808080"/>
        </w:rPr>
        <w:t>(damit)</w:t>
      </w:r>
      <w:r>
        <w:rPr/>
        <w:t xml:space="preserve"> sie ihn vertreiben sollen </w:t>
      </w:r>
      <w:r>
        <w:rPr>
          <w:color w:val="808080"/>
        </w:rPr>
        <w:t>(bat deine Jünger, ihn auszutreiben)</w:t>
      </w:r>
      <w:r>
        <w:rPr/>
        <w:t xml:space="preserve">, und </w:t>
      </w:r>
      <w:r>
        <w:rPr>
          <w:color w:val="808080"/>
        </w:rPr>
        <w:t>(aber)</w:t>
      </w:r>
      <w:r>
        <w:rPr/>
        <w:t xml:space="preserve"> </w:t>
      </w:r>
      <w:r>
        <w:rPr>
          <w:rStyle w:val="Funotenanker"/>
        </w:rPr>
        <w:footnoteReference w:customMarkFollows="1" w:id="1771"/>
        <w:t>ay</w:t>
      </w:r>
      <w:r>
        <w:rPr/>
        <w:t xml:space="preserve"> sie konnten es nicht </w:t>
      </w:r>
      <w:r>
        <w:rPr>
          <w:color w:val="808080"/>
        </w:rPr>
        <w:t>(sie waren zu schwach dafür)</w:t>
      </w:r>
      <w:r>
        <w:rPr/>
        <w:t xml:space="preserve">. </w:t>
      </w:r>
      <w:r>
        <w:rPr>
          <w:rStyle w:val="Funotenanker"/>
        </w:rPr>
        <w:footnoteReference w:customMarkFollows="1" w:id="1772"/>
        <w:t>az</w:t>
      </w:r>
      <w:r>
        <w:rPr/>
        <w:t xml:space="preserve">“ </w:t>
      </w:r>
      <w:r>
        <w:rPr>
          <w:position w:val="8"/>
          <w:sz w:val="19"/>
        </w:rPr>
        <w:t>[[ ℘ &gt;&gt; BibleTOBIBLE:Mk 5:3]]</w:t>
      </w:r>
      <w:r>
        <w:rPr/>
        <w:t xml:space="preserve"> {{field-off:bible}} </w:t>
        <w:br/>
        <w:t>[[@BibleTOBIBLE:Mk 9:19]]</w:t>
      </w:r>
      <w:r>
        <w:rPr>
          <w:b/>
        </w:rPr>
        <w:t>19</w:t>
      </w:r>
      <w:r>
        <w:rPr/>
        <w:t xml:space="preserve"> {{field-on:bible}}Da </w:t>
      </w:r>
      <w:r>
        <w:rPr>
          <w:strike/>
          <w:color w:val="808080"/>
        </w:rPr>
        <w:t>{antwortete und}</w:t>
      </w:r>
      <w:r>
        <w:rPr/>
        <w:t xml:space="preserve"> sagte er ihnen </w:t>
      </w:r>
      <w:r>
        <w:rPr>
          <w:color w:val="808080"/>
        </w:rPr>
        <w:t>(fuhr er sie an)</w:t>
      </w:r>
      <w:r>
        <w:rPr/>
        <w:t xml:space="preserve">: </w:t>
      </w:r>
      <w:r>
        <w:rPr>
          <w:rStyle w:val="Funotenanker"/>
        </w:rPr>
        <w:footnoteReference w:customMarkFollows="1" w:id="1773"/>
        <w:t>ba</w:t>
      </w:r>
      <w:r>
        <w:rPr/>
        <w:t xml:space="preserve"> „Oh, </w:t>
      </w:r>
      <w:r>
        <w:rPr>
          <w:b/>
          <w:color w:val="808080"/>
        </w:rPr>
        <w:t>[</w:t>
      </w:r>
      <w:r>
        <w:rPr/>
        <w:t>du</w:t>
      </w:r>
      <w:r>
        <w:rPr>
          <w:b/>
          <w:color w:val="808080"/>
        </w:rPr>
        <w:t>]</w:t>
      </w:r>
      <w:r>
        <w:rPr/>
        <w:t xml:space="preserve"> ungläubiges Geschlecht </w:t>
      </w:r>
      <w:r>
        <w:rPr>
          <w:color w:val="808080"/>
        </w:rPr>
        <w:t>(Pack)</w:t>
      </w:r>
      <w:r>
        <w:rPr/>
        <w:t xml:space="preserve">! Bis wann </w:t>
      </w:r>
      <w:r>
        <w:rPr>
          <w:color w:val="808080"/>
        </w:rPr>
        <w:t>(wie lange)</w:t>
      </w:r>
      <w:r>
        <w:rPr/>
        <w:t xml:space="preserve"> werde </w:t>
      </w:r>
      <w:r>
        <w:rPr>
          <w:color w:val="808080"/>
        </w:rPr>
        <w:t>(muss)</w:t>
      </w:r>
      <w:r>
        <w:rPr/>
        <w:t xml:space="preserve"> </w:t>
      </w:r>
      <w:r>
        <w:rPr>
          <w:rStyle w:val="Funotenanker"/>
        </w:rPr>
        <w:footnoteReference w:customMarkFollows="1" w:id="1774"/>
        <w:t>bb</w:t>
      </w:r>
      <w:r>
        <w:rPr/>
        <w:t xml:space="preserve"> ich </w:t>
      </w:r>
      <w:r>
        <w:rPr>
          <w:b/>
          <w:color w:val="808080"/>
        </w:rPr>
        <w:t>[</w:t>
      </w:r>
      <w:r>
        <w:rPr/>
        <w:t>denn noch</w:t>
      </w:r>
      <w:r>
        <w:rPr>
          <w:b/>
          <w:color w:val="808080"/>
        </w:rPr>
        <w:t>]</w:t>
      </w:r>
      <w:r>
        <w:rPr/>
        <w:t xml:space="preserve"> bei euch sein? Bis wann werde </w:t>
      </w:r>
      <w:r>
        <w:rPr>
          <w:color w:val="808080"/>
        </w:rPr>
        <w:t>(muss)</w:t>
      </w:r>
      <w:r>
        <w:rPr/>
        <w:t xml:space="preserve"> ich euch </w:t>
      </w:r>
      <w:r>
        <w:rPr>
          <w:b/>
          <w:color w:val="808080"/>
        </w:rPr>
        <w:t>[</w:t>
      </w:r>
      <w:r>
        <w:rPr/>
        <w:t>denn noch</w:t>
      </w:r>
      <w:r>
        <w:rPr>
          <w:b/>
          <w:color w:val="808080"/>
        </w:rPr>
        <w:t>]</w:t>
      </w:r>
      <w:r>
        <w:rPr/>
        <w:t xml:space="preserve"> ertragen? Bringt ihn zu mir!“ </w:t>
      </w:r>
      <w:r>
        <w:rPr>
          <w:position w:val="8"/>
          <w:sz w:val="19"/>
        </w:rPr>
        <w:t>[[ ℘ &gt;&gt; BibleTOBIBLE:Nu 14:11]][[ ℘ &gt;&gt; BibleTOBIBLE:Nu 14:27]][[ ℘ &gt;&gt; BibleTOBIBLE:Ps 4:3]][[ ℘ &gt;&gt; BibleTOBIBLE:Pr 1:22]][[ ℘ &gt;&gt; BibleTOBIBLE:Je 4:21]][[ ℘ &gt;&gt; BibleTOBIBLE:Je 23:26]][[ ℘ &gt;&gt; BibleTOBIBLE:Mk 16:14]][[ ℘ &gt;&gt; BibleTOBIBLE:Lk 24:25]]</w:t>
      </w:r>
      <w:r>
        <w:rPr/>
        <w:t xml:space="preserve"> {{field-off:bible}} </w:t>
        <w:br/>
        <w:t>[[@BibleTOBIBLE:Mk 9:20]]</w:t>
      </w:r>
      <w:r>
        <w:rPr>
          <w:b/>
        </w:rPr>
        <w:t>20</w:t>
      </w:r>
      <w:r>
        <w:rPr/>
        <w:t xml:space="preserve"> {{field-on:bible}}Sie brachten ihn zu ihm. Und als ihn der Geist sah </w:t>
      </w:r>
      <w:r>
        <w:rPr>
          <w:color w:val="808080"/>
        </w:rPr>
        <w:t>(Kaum hatte der Geist ihn gesehen - da...)</w:t>
      </w:r>
      <w:r>
        <w:rPr/>
        <w:t xml:space="preserve">, </w:t>
      </w:r>
      <w:r>
        <w:rPr>
          <w:rStyle w:val="Funotenanker"/>
        </w:rPr>
        <w:footnoteReference w:customMarkFollows="1" w:id="1775"/>
        <w:t>bc</w:t>
      </w:r>
      <w:r>
        <w:rPr/>
        <w:t xml:space="preserve"> schüttelte er ihn sofort in </w:t>
      </w:r>
      <w:r>
        <w:rPr>
          <w:b/>
          <w:color w:val="808080"/>
        </w:rPr>
        <w:t>[</w:t>
      </w:r>
      <w:r>
        <w:rPr/>
        <w:t>heftigen</w:t>
      </w:r>
      <w:r>
        <w:rPr>
          <w:b/>
          <w:color w:val="808080"/>
        </w:rPr>
        <w:t>]</w:t>
      </w:r>
      <w:r>
        <w:rPr/>
        <w:t xml:space="preserve"> Krämpfen, </w:t>
      </w:r>
      <w:r>
        <w:rPr>
          <w:rStyle w:val="Funotenanker"/>
        </w:rPr>
        <w:footnoteReference w:customMarkFollows="1" w:id="1776"/>
        <w:t>bd</w:t>
      </w:r>
      <w:r>
        <w:rPr/>
        <w:t xml:space="preserve"> und die Erde gefallen wälzte er sich schäumend </w:t>
      </w:r>
      <w:r>
        <w:rPr>
          <w:color w:val="808080"/>
        </w:rPr>
        <w:t>(so dass der Knabe sich mit Schaum vor dem Mund auf der Erde wälzte)</w:t>
      </w:r>
      <w:r>
        <w:rPr/>
        <w:t xml:space="preserve">. </w:t>
      </w:r>
      <w:r>
        <w:rPr>
          <w:rStyle w:val="Funotenanker"/>
        </w:rPr>
        <w:footnoteReference w:customMarkFollows="1" w:id="1777"/>
        <w:t>be</w:t>
      </w:r>
      <w:r>
        <w:rPr/>
        <w:t xml:space="preserve"> {{field-off:bible}} </w:t>
        <w:br/>
        <w:t>[[@BibleTOBIBLE:Mk 9:21]]</w:t>
      </w:r>
      <w:r>
        <w:rPr>
          <w:b/>
        </w:rPr>
        <w:t>21</w:t>
      </w:r>
      <w:r>
        <w:rPr/>
        <w:t xml:space="preserve"> {{field-on:bible}}Da fragte er dessen Vater: „Wieviel Zeit ist es, seit </w:t>
      </w:r>
      <w:r>
        <w:rPr>
          <w:b/>
          <w:color w:val="808080"/>
        </w:rPr>
        <w:t>[</w:t>
      </w:r>
      <w:r>
        <w:rPr/>
        <w:t>der</w:t>
      </w:r>
      <w:r>
        <w:rPr>
          <w:b/>
          <w:color w:val="808080"/>
        </w:rPr>
        <w:t>]</w:t>
      </w:r>
      <w:r>
        <w:rPr/>
        <w:t xml:space="preserve"> ihm dies passiert? </w:t>
      </w:r>
      <w:r>
        <w:rPr>
          <w:color w:val="808080"/>
        </w:rPr>
        <w:t>(Wie lange geht das schon so mit ihm?)</w:t>
      </w:r>
      <w:r>
        <w:rPr/>
        <w:t>“ Und er sagte: „</w:t>
      </w:r>
      <w:r>
        <w:rPr>
          <w:b/>
          <w:color w:val="808080"/>
        </w:rPr>
        <w:t>[</w:t>
      </w:r>
      <w:r>
        <w:rPr/>
        <w:t>Schon</w:t>
      </w:r>
      <w:r>
        <w:rPr>
          <w:b/>
          <w:color w:val="808080"/>
        </w:rPr>
        <w:t>]</w:t>
      </w:r>
      <w:r>
        <w:rPr/>
        <w:t xml:space="preserve"> von </w:t>
      </w:r>
      <w:r>
        <w:rPr>
          <w:b/>
          <w:color w:val="808080"/>
        </w:rPr>
        <w:t>[</w:t>
      </w:r>
      <w:r>
        <w:rPr/>
        <w:t>frühester</w:t>
      </w:r>
      <w:r>
        <w:rPr>
          <w:b/>
          <w:color w:val="808080"/>
        </w:rPr>
        <w:t>]</w:t>
      </w:r>
      <w:r>
        <w:rPr/>
        <w:t xml:space="preserve"> Kindheit an. </w:t>
      </w:r>
      <w:r>
        <w:rPr>
          <w:rStyle w:val="Funotenanker"/>
        </w:rPr>
        <w:footnoteReference w:customMarkFollows="1" w:id="1778"/>
        <w:t>bf</w:t>
      </w:r>
      <w:r>
        <w:rPr/>
        <w:t xml:space="preserve"> </w:t>
      </w:r>
      <w:r>
        <w:rPr>
          <w:position w:val="8"/>
          <w:sz w:val="19"/>
        </w:rPr>
        <w:t>[[ ℘ &gt;&gt; BibleTOBIBLE:Mk 5:25]][[ ℘ &gt;&gt; BibleTOBIBLE:Lk 8:43]][[ ℘ &gt;&gt; BibleTOBIBLE:Jn 5:6]][[ ℘ &gt;&gt; BibleTOBIBLE:Jn 9:1]][[ ℘ &gt;&gt; BibleTOBIBLE:Ac 3:2]][[ ℘ &gt;&gt; BibleTOBIBLE:Ac 9:33]][[ ℘ &gt;&gt; BibleTOBIBLE:Ac 14:8]]</w:t>
      </w:r>
      <w:r>
        <w:rPr/>
        <w:t xml:space="preserve"> {{field-off:bible}} </w:t>
        <w:br/>
        <w:t>[[@BibleTOBIBLE:Mk 9:22]]</w:t>
      </w:r>
      <w:r>
        <w:rPr>
          <w:b/>
        </w:rPr>
        <w:t>22</w:t>
      </w:r>
      <w:r>
        <w:rPr/>
        <w:t xml:space="preserve"> {{field-on:bible}}Ja </w:t>
      </w:r>
      <w:r>
        <w:rPr>
          <w:color w:val="808080"/>
        </w:rPr>
        <w:t>(und)</w:t>
      </w:r>
      <w:r>
        <w:rPr/>
        <w:t xml:space="preserve">, </w:t>
      </w:r>
      <w:r>
        <w:rPr>
          <w:rStyle w:val="Funotenanker"/>
        </w:rPr>
        <w:footnoteReference w:customMarkFollows="1" w:id="1779"/>
        <w:t>bg</w:t>
      </w:r>
      <w:r>
        <w:rPr/>
        <w:t xml:space="preserve"> mehrfach hat er ihn sogar </w:t>
      </w:r>
      <w:r>
        <w:rPr>
          <w:color w:val="808080"/>
        </w:rPr>
        <w:t>(sowohl)</w:t>
      </w:r>
      <w:r>
        <w:rPr/>
        <w:t xml:space="preserve"> ins Feuer oder </w:t>
      </w:r>
      <w:r>
        <w:rPr>
          <w:color w:val="808080"/>
        </w:rPr>
        <w:t>(als auch)</w:t>
      </w:r>
      <w:r>
        <w:rPr/>
        <w:t xml:space="preserve"> ins Wasser geworfen, um ihn umzubringen. Ich flehe dich an </w:t>
      </w:r>
      <w:r>
        <w:rPr>
          <w:color w:val="808080"/>
        </w:rPr>
        <w:t>(aber)</w:t>
      </w:r>
      <w:r>
        <w:rPr/>
        <w:t>,</w:t>
      </w:r>
      <w:r>
        <w:rPr>
          <w:rStyle w:val="Funotenanker"/>
        </w:rPr>
        <w:footnoteReference w:customMarkFollows="1" w:id="1780"/>
        <w:t>bh</w:t>
      </w:r>
      <w:r>
        <w:rPr/>
        <w:t xml:space="preserve"> wenn du etwas vermagst </w:t>
      </w:r>
      <w:r>
        <w:rPr>
          <w:color w:val="808080"/>
        </w:rPr>
        <w:t>(wenn etwas in deiner Macht steht)</w:t>
      </w:r>
      <w:r>
        <w:rPr/>
        <w:t xml:space="preserve">, </w:t>
      </w:r>
      <w:r>
        <w:rPr>
          <w:rStyle w:val="Funotenanker"/>
        </w:rPr>
        <w:footnoteReference w:customMarkFollows="1" w:id="1781"/>
        <w:t>bi</w:t>
      </w:r>
      <w:r>
        <w:rPr/>
        <w:t xml:space="preserve"> dann hilf uns und hab Mitleid mit uns </w:t>
      </w:r>
      <w:r>
        <w:rPr>
          <w:color w:val="808080"/>
        </w:rPr>
        <w:t>(erbarme dich unser)</w:t>
      </w:r>
      <w:r>
        <w:rPr/>
        <w:t xml:space="preserve">! </w:t>
      </w:r>
      <w:r>
        <w:rPr>
          <w:rStyle w:val="Funotenanker"/>
        </w:rPr>
        <w:footnoteReference w:customMarkFollows="1" w:id="1782"/>
        <w:t>bj</w:t>
      </w:r>
      <w:r>
        <w:rPr/>
        <w:t xml:space="preserve">“ </w:t>
      </w:r>
      <w:r>
        <w:rPr>
          <w:position w:val="8"/>
          <w:sz w:val="19"/>
        </w:rPr>
        <w:t>[[ ℘ &gt;&gt; BibleTOBIBLE:Mt 8:2]][[ ℘ &gt;&gt; BibleTOBIBLE:Mt 15:22]]</w:t>
      </w:r>
      <w:r>
        <w:rPr/>
        <w:t xml:space="preserve"> {{field-off:bible}} </w:t>
        <w:br/>
        <w:t>[[@BibleTOBIBLE:Mk 9:23]]</w:t>
      </w:r>
      <w:r>
        <w:rPr>
          <w:b/>
        </w:rPr>
        <w:t>23</w:t>
      </w:r>
      <w:r>
        <w:rPr/>
        <w:t xml:space="preserve"> {{field-on:bible}}Jesus antwortete ihm: </w:t>
      </w:r>
      <w:r>
        <w:rPr>
          <w:strike/>
          <w:color w:val="808080"/>
        </w:rPr>
        <w:t>{Das}</w:t>
      </w:r>
      <w:r>
        <w:rPr/>
        <w:t xml:space="preserve"> </w:t>
      </w:r>
      <w:r>
        <w:rPr>
          <w:rStyle w:val="Funotenanker"/>
        </w:rPr>
        <w:footnoteReference w:customMarkFollows="1" w:id="1783"/>
        <w:t>bk</w:t>
      </w:r>
      <w:r>
        <w:rPr/>
        <w:t xml:space="preserve"> „'Wenn du es vermagst </w:t>
      </w:r>
      <w:r>
        <w:rPr>
          <w:color w:val="808080"/>
        </w:rPr>
        <w:t>(Wenn es in deiner Macht steht)</w:t>
      </w:r>
      <w:r>
        <w:rPr/>
        <w:t xml:space="preserve">'... - Wer glaubt, vermag ''alles'' </w:t>
      </w:r>
      <w:r>
        <w:rPr>
          <w:color w:val="808080"/>
        </w:rPr>
        <w:t>(ist allmächtig)</w:t>
      </w:r>
      <w:r>
        <w:rPr/>
        <w:t xml:space="preserve">! </w:t>
      </w:r>
      <w:r>
        <w:rPr>
          <w:rStyle w:val="Funotenanker"/>
        </w:rPr>
        <w:footnoteReference w:customMarkFollows="1" w:id="1784"/>
        <w:t>bl</w:t>
      </w:r>
      <w:r>
        <w:rPr/>
        <w:t xml:space="preserve">“ </w:t>
      </w:r>
      <w:r>
        <w:rPr>
          <w:position w:val="8"/>
          <w:sz w:val="19"/>
        </w:rPr>
        <w:t>[[ ℘ &gt;&gt; BibleTOBIBLE:Mt 17:20]][[ ℘ &gt;&gt; BibleTOBIBLE:Mt 21:22]][[ ℘ &gt;&gt; BibleTOBIBLE:Mk 11:23]][[ ℘ &gt;&gt; BibleTOBIBLE:Lk 17:6]]</w:t>
      </w:r>
      <w:r>
        <w:rPr/>
        <w:t xml:space="preserve"> {{field-off:bible}} </w:t>
        <w:br/>
        <w:t>[[@BibleTOBIBLE:Mk 9:24]]</w:t>
      </w:r>
      <w:r>
        <w:rPr>
          <w:b/>
        </w:rPr>
        <w:t>24</w:t>
      </w:r>
      <w:r>
        <w:rPr/>
        <w:t xml:space="preserve"> {{field-on:bible}}Sofort </w:t>
      </w:r>
      <w:r>
        <w:rPr>
          <w:color w:val="808080"/>
        </w:rPr>
        <w:t>(Da)</w:t>
      </w:r>
      <w:r>
        <w:rPr/>
        <w:t xml:space="preserve"> </w:t>
      </w:r>
      <w:r>
        <w:rPr>
          <w:rStyle w:val="Funotenanker"/>
        </w:rPr>
        <w:footnoteReference w:customMarkFollows="1" w:id="1785"/>
        <w:t>bm</w:t>
      </w:r>
      <w:r>
        <w:rPr/>
        <w:t xml:space="preserve"> schrie </w:t>
      </w:r>
      <w:r>
        <w:rPr>
          <w:color w:val="808080"/>
        </w:rPr>
        <w:t>(schluchzte)</w:t>
      </w:r>
      <w:r>
        <w:rPr/>
        <w:t xml:space="preserve"> </w:t>
      </w:r>
      <w:r>
        <w:rPr>
          <w:rStyle w:val="Funotenanker"/>
        </w:rPr>
        <w:footnoteReference w:customMarkFollows="1" w:id="1786"/>
        <w:t>bn</w:t>
      </w:r>
      <w:r>
        <w:rPr/>
        <w:t xml:space="preserve"> der Vater des Jungen und sagte: „Ich glaube! Hilf meinem Unglauben!“ </w:t>
      </w:r>
      <w:r>
        <w:rPr>
          <w:position w:val="8"/>
          <w:sz w:val="19"/>
        </w:rPr>
        <w:t>[[ ℘ &gt;&gt; BibleTOBIBLE:Lk 17:5]][[ ℘ &gt;&gt; BibleTOBIBLE:Heb 12:2]]</w:t>
      </w:r>
      <w:r>
        <w:rPr/>
        <w:t xml:space="preserve"> {{field-off:bible}} </w:t>
        <w:br/>
        <w:t>[[@BibleTOBIBLE:Mk 9:25]]</w:t>
      </w:r>
      <w:r>
        <w:rPr>
          <w:b/>
        </w:rPr>
        <w:t>25</w:t>
      </w:r>
      <w:r>
        <w:rPr/>
        <w:t xml:space="preserve"> {{field-on:bible}}Als Jesus sah, dass eine Menschenmenge zusammenlief </w:t>
      </w:r>
      <w:r>
        <w:rPr>
          <w:color w:val="808080"/>
        </w:rPr>
        <w:t>(herandrängte)</w:t>
      </w:r>
      <w:r>
        <w:rPr/>
        <w:t xml:space="preserve"> </w:t>
      </w:r>
      <w:r>
        <w:rPr>
          <w:rStyle w:val="Funotenanker"/>
        </w:rPr>
        <w:footnoteReference w:customMarkFollows="1" w:id="1787"/>
        <w:t>bo</w:t>
      </w:r>
      <w:r>
        <w:rPr/>
        <w:t xml:space="preserve">, </w:t>
      </w:r>
      <w:r>
        <w:rPr>
          <w:rStyle w:val="Funotenanker"/>
        </w:rPr>
        <w:footnoteReference w:customMarkFollows="1" w:id="1788"/>
        <w:t>bp</w:t>
      </w:r>
      <w:r>
        <w:rPr/>
        <w:t xml:space="preserve"> gebot er dem unreinen Geist </w:t>
      </w:r>
      <w:r>
        <w:rPr>
          <w:strike/>
          <w:color w:val="808080"/>
        </w:rPr>
        <w:t>{und sagte zu ihm}</w:t>
      </w:r>
      <w:r>
        <w:rPr/>
        <w:t xml:space="preserve">: „Du stummer und tauber Geist, </w:t>
      </w:r>
      <w:r>
        <w:rPr>
          <w:rStyle w:val="Funotenanker"/>
        </w:rPr>
        <w:footnoteReference w:customMarkFollows="1" w:id="1789"/>
        <w:t>bq</w:t>
      </w:r>
      <w:r>
        <w:rPr/>
        <w:t xml:space="preserve"> ich befehle dir, komm aus ihm heraus </w:t>
      </w:r>
      <w:r>
        <w:rPr>
          <w:color w:val="808080"/>
        </w:rPr>
        <w:t>(fahre aus ihm aus)</w:t>
      </w:r>
      <w:r>
        <w:rPr/>
        <w:t xml:space="preserve"> und geh nie mehr in ihn hinein </w:t>
      </w:r>
      <w:r>
        <w:rPr>
          <w:color w:val="808080"/>
        </w:rPr>
        <w:t>(fahre nie mehr in ihn hinein)</w:t>
      </w:r>
      <w:r>
        <w:rPr/>
        <w:t xml:space="preserve">!“ </w:t>
      </w:r>
      <w:r>
        <w:rPr>
          <w:position w:val="8"/>
          <w:sz w:val="19"/>
        </w:rPr>
        <w:t>[[ ℘ &gt;&gt; BibleTOBIBLE:Mk 1:25]][[ ℘ &gt;&gt; BibleTOBIBLE:Mk 5:8]][[ ℘ &gt;&gt; BibleTOBIBLE:Lk 4:35]]</w:t>
      </w:r>
      <w:r>
        <w:rPr/>
        <w:t xml:space="preserve"> {{field-off:bible}} </w:t>
        <w:br/>
        <w:t>[[@BibleTOBIBLE:Mk 9:26]]</w:t>
      </w:r>
      <w:r>
        <w:rPr>
          <w:b/>
        </w:rPr>
        <w:t>26</w:t>
      </w:r>
      <w:r>
        <w:rPr/>
        <w:t xml:space="preserve"> {{field-on:bible}}Und schreiend und </w:t>
      </w:r>
      <w:r>
        <w:rPr>
          <w:b/>
          <w:color w:val="808080"/>
        </w:rPr>
        <w:t>[</w:t>
      </w:r>
      <w:r>
        <w:rPr/>
        <w:t>den Jungen</w:t>
      </w:r>
      <w:r>
        <w:rPr>
          <w:b/>
          <w:color w:val="808080"/>
        </w:rPr>
        <w:t>]</w:t>
      </w:r>
      <w:r>
        <w:rPr/>
        <w:t xml:space="preserve"> in heftigen Krämpfen schüttelnd </w:t>
      </w:r>
      <w:r>
        <w:rPr>
          <w:rStyle w:val="Funotenanker"/>
        </w:rPr>
        <w:footnoteReference w:customMarkFollows="1" w:id="1790"/>
        <w:t>br</w:t>
      </w:r>
      <w:r>
        <w:rPr/>
        <w:t xml:space="preserve"> kam er heraus </w:t>
      </w:r>
      <w:r>
        <w:rPr>
          <w:color w:val="808080"/>
        </w:rPr>
        <w:t>(fuhr der Geist aus)</w:t>
      </w:r>
      <w:r>
        <w:rPr/>
        <w:t xml:space="preserve">. Und er wurde </w:t>
      </w:r>
      <w:r>
        <w:rPr>
          <w:color w:val="808080"/>
        </w:rPr>
        <w:t>(war)</w:t>
      </w:r>
      <w:r>
        <w:rPr/>
        <w:t xml:space="preserve"> </w:t>
      </w:r>
      <w:r>
        <w:rPr>
          <w:rStyle w:val="Funotenanker"/>
        </w:rPr>
        <w:footnoteReference w:customMarkFollows="1" w:id="1791"/>
        <w:t>bs</w:t>
      </w:r>
      <w:r>
        <w:rPr/>
        <w:t xml:space="preserve"> wie tot, daher </w:t>
      </w:r>
      <w:r>
        <w:rPr>
          <w:color w:val="808080"/>
        </w:rPr>
        <w:t>(sodass)</w:t>
      </w:r>
      <w:r>
        <w:rPr/>
        <w:t xml:space="preserve"> </w:t>
      </w:r>
      <w:r>
        <w:rPr>
          <w:rStyle w:val="Funotenanker"/>
        </w:rPr>
        <w:footnoteReference w:customMarkFollows="1" w:id="1792"/>
        <w:t>bt</w:t>
      </w:r>
      <w:r>
        <w:rPr/>
        <w:t xml:space="preserve"> die Meisten </w:t>
      </w:r>
      <w:r>
        <w:rPr>
          <w:color w:val="808080"/>
        </w:rPr>
        <w:t>(die Menge)</w:t>
      </w:r>
      <w:r>
        <w:rPr/>
        <w:t xml:space="preserve"> </w:t>
      </w:r>
      <w:r>
        <w:rPr>
          <w:rStyle w:val="Funotenanker"/>
        </w:rPr>
        <w:footnoteReference w:customMarkFollows="1" w:id="1793"/>
        <w:t>bu</w:t>
      </w:r>
      <w:r>
        <w:rPr/>
        <w:t xml:space="preserve"> sagten, er sei gestorben. </w:t>
      </w:r>
      <w:r>
        <w:rPr>
          <w:position w:val="8"/>
          <w:sz w:val="19"/>
        </w:rPr>
        <w:t>[[ ℘ &gt;&gt; BibleTOBIBLE:Mk 1:26]][[ ℘ &gt;&gt; BibleTOBIBLE:Lk 4:41]]</w:t>
      </w:r>
      <w:r>
        <w:rPr/>
        <w:t xml:space="preserve"> {{field-off:bible}} </w:t>
        <w:br/>
        <w:t>[[@BibleTOBIBLE:Mk 9:27]]</w:t>
      </w:r>
      <w:r>
        <w:rPr>
          <w:b/>
        </w:rPr>
        <w:t>27</w:t>
      </w:r>
      <w:r>
        <w:rPr/>
        <w:t xml:space="preserve"> {{field-on:bible}}Doch Jesus ergriff seine Hand und hieß ihn aufstehen </w:t>
      </w:r>
      <w:r>
        <w:rPr>
          <w:color w:val="808080"/>
        </w:rPr>
        <w:t>(richtete ihn auf, weckte ihn auf, heilte ihn)</w:t>
      </w:r>
      <w:r>
        <w:rPr/>
        <w:t xml:space="preserve"> </w:t>
      </w:r>
      <w:r>
        <w:rPr>
          <w:rStyle w:val="Funotenanker"/>
        </w:rPr>
        <w:footnoteReference w:customMarkFollows="1" w:id="1794"/>
        <w:t>bv</w:t>
      </w:r>
      <w:r>
        <w:rPr/>
        <w:t xml:space="preserve"> - und er stand auf. </w:t>
      </w:r>
      <w:r>
        <w:rPr>
          <w:position w:val="8"/>
          <w:sz w:val="19"/>
        </w:rPr>
        <w:t>[[ ℘ &gt;&gt; BibleTOBIBLE:Mt 8:15]][[ ℘ &gt;&gt; BibleTOBIBLE:Ac 9:41]]</w:t>
      </w:r>
      <w:r>
        <w:rPr/>
        <w:t xml:space="preserve"> {{field-off:bible}} </w:t>
        <w:br/>
        <w:t>[[@BibleTOBIBLE:Mk 9:28]]</w:t>
      </w:r>
      <w:r>
        <w:rPr>
          <w:b/>
        </w:rPr>
        <w:t>28</w:t>
      </w:r>
      <w:r>
        <w:rPr/>
        <w:t xml:space="preserve"> {{field-on:bible}}Und nachdem er ins Haus gegangen war, fragten ihn seine Jünger für sich: </w:t>
      </w:r>
      <w:r>
        <w:rPr>
          <w:rStyle w:val="Funotenanker"/>
        </w:rPr>
        <w:footnoteReference w:customMarkFollows="1" w:id="1795"/>
        <w:t>bw</w:t>
      </w:r>
      <w:r>
        <w:rPr/>
        <w:t xml:space="preserve"> „Dass wir ihn nicht austreiben konnten </w:t>
      </w:r>
      <w:r>
        <w:rPr>
          <w:color w:val="808080"/>
        </w:rPr>
        <w:t>(Warum konnten wir ihn nicht austreiben)</w:t>
      </w:r>
      <w:r>
        <w:rPr/>
        <w:t xml:space="preserve">?“ </w:t>
      </w:r>
      <w:r>
        <w:rPr>
          <w:rStyle w:val="Funotenanker"/>
        </w:rPr>
        <w:footnoteReference w:customMarkFollows="1" w:id="1796"/>
        <w:t>bx</w:t>
      </w:r>
      <w:r>
        <w:rPr/>
        <w:t xml:space="preserve"> </w:t>
      </w:r>
      <w:r>
        <w:rPr>
          <w:position w:val="8"/>
          <w:sz w:val="19"/>
        </w:rPr>
        <w:t>[[ ℘ &gt;&gt; BibleTOBIBLE:Mt 13:36]][[ ℘ &gt;&gt; BibleTOBIBLE:Mk 4:10]][[ ℘ &gt;&gt; BibleTOBIBLE:Mk 4:34]][[ ℘ &gt;&gt; BibleTOBIBLE:Mk 9:33]][[ ℘ &gt;&gt; BibleTOBIBLE:Mk 10:10]]</w:t>
      </w:r>
      <w:r>
        <w:rPr/>
        <w:t xml:space="preserve"> {{field-off:bible}} </w:t>
        <w:br/>
        <w:t>[[@BibleTOBIBLE:Mk 9:29]]</w:t>
      </w:r>
      <w:r>
        <w:rPr>
          <w:b/>
        </w:rPr>
        <w:t>29</w:t>
      </w:r>
      <w:r>
        <w:rPr/>
        <w:t xml:space="preserve"> {{field-on:bible}}Da sagte er zu ihnen: „Diese Art kann durch nichts ausfahren </w:t>
      </w:r>
      <w:r>
        <w:rPr>
          <w:color w:val="808080"/>
        </w:rPr>
        <w:t>(ausgetrieben werden)</w:t>
      </w:r>
      <w:r>
        <w:rPr/>
        <w:t xml:space="preserve"> </w:t>
      </w:r>
      <w:r>
        <w:rPr>
          <w:rStyle w:val="Funotenanker"/>
        </w:rPr>
        <w:footnoteReference w:customMarkFollows="1" w:id="1797"/>
        <w:t>by</w:t>
      </w:r>
      <w:r>
        <w:rPr/>
        <w:t xml:space="preserve"> außer durch Gebet.“ </w:t>
      </w:r>
      <w:r>
        <w:rPr>
          <w:position w:val="8"/>
          <w:sz w:val="19"/>
        </w:rPr>
        <w:t>[[ ℘ &gt;&gt; BibleTOBIBLE:Da 9:3]][[ ℘ &gt;&gt; BibleTOBIBLE:Jas 5:15]]</w:t>
      </w:r>
      <w:r>
        <w:rPr/>
        <w:t xml:space="preserve"> {{field-off:bible}} </w:t>
        <w:br/>
        <w:t>[[@BibleTOBIBLE:Mk 9:30]]</w:t>
      </w:r>
      <w:r>
        <w:rPr>
          <w:b/>
        </w:rPr>
        <w:t>30</w:t>
      </w:r>
      <w:r>
        <w:rPr/>
        <w:t xml:space="preserve"> {{field-on:bible}}Von dort aus </w:t>
      </w:r>
      <w:r>
        <w:rPr>
          <w:color w:val="808080"/>
        </w:rPr>
        <w:t>(gingen sie fort und)</w:t>
      </w:r>
      <w:r>
        <w:rPr/>
        <w:t xml:space="preserve"> </w:t>
      </w:r>
      <w:r>
        <w:rPr>
          <w:rStyle w:val="Funotenanker"/>
        </w:rPr>
        <w:footnoteReference w:customMarkFollows="1" w:id="1798"/>
        <w:t>bz</w:t>
      </w:r>
      <w:r>
        <w:rPr/>
        <w:t xml:space="preserve"> reisten sie durch Galiläa, und er wollte nicht, dass </w:t>
      </w:r>
      <w:r>
        <w:rPr>
          <w:color w:val="808080"/>
        </w:rPr>
        <w:t>(damit)</w:t>
      </w:r>
      <w:r>
        <w:rPr/>
        <w:t xml:space="preserve"> jemand es erführe,{{field-off:bible}} </w:t>
        <w:br/>
        <w:t>[[@BibleTOBIBLE:Mk 9:31]]</w:t>
      </w:r>
      <w:r>
        <w:rPr>
          <w:b/>
        </w:rPr>
        <w:t>31</w:t>
      </w:r>
      <w:r>
        <w:rPr/>
        <w:t xml:space="preserve"> {{field-on:bible}}denn er lehrte </w:t>
      </w:r>
      <w:r>
        <w:rPr>
          <w:color w:val="808080"/>
        </w:rPr>
        <w:t>(wollte lehren)</w:t>
      </w:r>
      <w:r>
        <w:rPr/>
        <w:t xml:space="preserve"> </w:t>
      </w:r>
      <w:r>
        <w:rPr>
          <w:rStyle w:val="Funotenanker"/>
        </w:rPr>
        <w:footnoteReference w:customMarkFollows="1" w:id="1799"/>
        <w:t>ca</w:t>
      </w:r>
      <w:r>
        <w:rPr/>
        <w:t xml:space="preserve"> seine Jünger und sagte zu ihnen: „Der Menschensohn ist in die Hände der Menschen </w:t>
      </w:r>
      <w:r>
        <w:rPr>
          <w:rStyle w:val="Funotenanker"/>
        </w:rPr>
        <w:footnoteReference w:customMarkFollows="1" w:id="1800"/>
        <w:t>cb</w:t>
      </w:r>
      <w:r>
        <w:rPr/>
        <w:t xml:space="preserve"> ausgeliefert </w:t>
      </w:r>
      <w:r>
        <w:rPr>
          <w:color w:val="808080"/>
        </w:rPr>
        <w:t>(wird ausgeliefert werden)</w:t>
      </w:r>
      <w:r>
        <w:rPr/>
        <w:t xml:space="preserve">, </w:t>
      </w:r>
      <w:r>
        <w:rPr>
          <w:rStyle w:val="Funotenanker"/>
        </w:rPr>
        <w:footnoteReference w:customMarkFollows="1" w:id="1801"/>
        <w:t>cc</w:t>
      </w:r>
      <w:r>
        <w:rPr/>
        <w:t xml:space="preserve"> und sie werden ihn töten, und nachdem </w:t>
      </w:r>
      <w:r>
        <w:rPr>
          <w:color w:val="808080"/>
        </w:rPr>
        <w:t>(obwohl)</w:t>
      </w:r>
      <w:r>
        <w:rPr/>
        <w:t xml:space="preserve"> </w:t>
      </w:r>
      <w:r>
        <w:rPr>
          <w:rStyle w:val="Funotenanker"/>
        </w:rPr>
        <w:footnoteReference w:customMarkFollows="1" w:id="1802"/>
        <w:t>cd</w:t>
      </w:r>
      <w:r>
        <w:rPr/>
        <w:t xml:space="preserve"> er getötet worden ist, wird er nach drei Tagen auferstehen.“ </w:t>
      </w:r>
      <w:r>
        <w:rPr>
          <w:position w:val="8"/>
          <w:sz w:val="19"/>
        </w:rPr>
        <w:t>[[ ℘ &gt;&gt; BibleTOBIBLE:Mt 16:21]][[ ℘ &gt;&gt; BibleTOBIBLE:Mt 20:18]][[ ℘ &gt;&gt; BibleTOBIBLE:Mk 8:31]][[ ℘ &gt;&gt; BibleTOBIBLE:Mk 10:33]][[ ℘ &gt;&gt; BibleTOBIBLE:Mk 14:21]][[ ℘ &gt;&gt; BibleTOBIBLE:Mk 14:41]][[ ℘ &gt;&gt; BibleTOBIBLE:Lk 18:31]][[ ℘ &gt;&gt; BibleTOBIBLE:Jn 3:14]]</w:t>
      </w:r>
      <w:r>
        <w:rPr/>
        <w:t xml:space="preserve"> {{field-off:bible}} </w:t>
        <w:br/>
        <w:t>[[@BibleTOBIBLE:Mk 9:32]]</w:t>
      </w:r>
      <w:r>
        <w:rPr>
          <w:b/>
        </w:rPr>
        <w:t>32</w:t>
      </w:r>
      <w:r>
        <w:rPr/>
        <w:t xml:space="preserve"> {{field-on:bible}}Sie verstanden das Wort </w:t>
      </w:r>
      <w:r>
        <w:rPr>
          <w:color w:val="808080"/>
        </w:rPr>
        <w:t>(diesen Ausspruch)</w:t>
      </w:r>
      <w:r>
        <w:rPr/>
        <w:t xml:space="preserve"> jedoch nicht, und </w:t>
      </w:r>
      <w:r>
        <w:rPr>
          <w:rStyle w:val="Funotenanker"/>
        </w:rPr>
        <w:footnoteReference w:customMarkFollows="1" w:id="1803"/>
        <w:t>ce</w:t>
      </w:r>
      <w:r>
        <w:rPr/>
        <w:t xml:space="preserve"> sie fürchteten sich, ihn zu fragen. </w:t>
      </w:r>
      <w:r>
        <w:rPr>
          <w:position w:val="8"/>
          <w:sz w:val="19"/>
        </w:rPr>
        <w:t>[[ ℘ &gt;&gt; BibleTOBIBLE:Mk 7:18]][[ ℘ &gt;&gt; BibleTOBIBLE:Mk 8:17]][[ ℘ &gt;&gt; BibleTOBIBLE:Mk 9:10]][[ ℘ &gt;&gt; BibleTOBIBLE:Lk 2:50]][[ ℘ &gt;&gt; BibleTOBIBLE:Lk 9:45]][[ ℘ &gt;&gt; BibleTOBIBLE:Jn 16:18]]</w:t>
      </w:r>
      <w:r>
        <w:rPr/>
        <w:t xml:space="preserve"> {{field-off:bible}} </w:t>
        <w:br/>
        <w:t>[[@BibleTOBIBLE:Mk 9:33]]</w:t>
      </w:r>
      <w:r>
        <w:rPr>
          <w:b/>
        </w:rPr>
        <w:t>33</w:t>
      </w:r>
      <w:r>
        <w:rPr/>
        <w:t xml:space="preserve"> {{field-on:bible}}Sie kamen nach Kafarnaum. Als er im Haus war </w:t>
      </w:r>
      <w:r>
        <w:rPr>
          <w:color w:val="808080"/>
        </w:rPr>
        <w:t>(ankam)</w:t>
      </w:r>
      <w:r>
        <w:rPr/>
        <w:t xml:space="preserve">, </w:t>
      </w:r>
      <w:r>
        <w:rPr>
          <w:rStyle w:val="Funotenanker"/>
        </w:rPr>
        <w:footnoteReference w:customMarkFollows="1" w:id="1804"/>
        <w:t>cf</w:t>
      </w:r>
      <w:r>
        <w:rPr/>
        <w:t xml:space="preserve"> fragte er sie: „Worüber </w:t>
      </w:r>
      <w:r>
        <w:rPr>
          <w:color w:val="808080"/>
        </w:rPr>
        <w:t>(Was)</w:t>
      </w:r>
      <w:r>
        <w:rPr/>
        <w:t xml:space="preserve"> habt ihr auf dem Weg </w:t>
      </w:r>
      <w:r>
        <w:rPr>
          <w:color w:val="808080"/>
        </w:rPr>
        <w:t>(unterwegs)</w:t>
      </w:r>
      <w:r>
        <w:rPr/>
        <w:t xml:space="preserve"> diskutiert </w:t>
      </w:r>
      <w:r>
        <w:rPr>
          <w:color w:val="808080"/>
        </w:rPr>
        <w:t>(überlegt)</w:t>
      </w:r>
      <w:r>
        <w:rPr/>
        <w:t xml:space="preserve">?“{{field-off:bible}} </w:t>
        <w:br/>
        <w:t>[[@BibleTOBIBLE:Mk 9:34]]</w:t>
      </w:r>
      <w:r>
        <w:rPr>
          <w:b/>
        </w:rPr>
        <w:t>34</w:t>
      </w:r>
      <w:r>
        <w:rPr/>
        <w:t xml:space="preserve"> {{field-on:bible}}Sie aber schwiegen, denn sie hatten auf dem Weg </w:t>
      </w:r>
      <w:r>
        <w:rPr>
          <w:color w:val="808080"/>
        </w:rPr>
        <w:t>(unterwegs)</w:t>
      </w:r>
      <w:r>
        <w:rPr/>
        <w:t xml:space="preserve"> miteinander </w:t>
      </w:r>
      <w:r>
        <w:rPr>
          <w:b/>
          <w:color w:val="808080"/>
        </w:rPr>
        <w:t>[</w:t>
      </w:r>
      <w:r>
        <w:rPr/>
        <w:t>darüber</w:t>
      </w:r>
      <w:r>
        <w:rPr>
          <w:b/>
          <w:color w:val="808080"/>
        </w:rPr>
        <w:t>]</w:t>
      </w:r>
      <w:r>
        <w:rPr/>
        <w:t xml:space="preserve"> diskutiert, wer der Größte </w:t>
      </w:r>
      <w:r>
        <w:rPr>
          <w:color w:val="808080"/>
        </w:rPr>
        <w:t>(größer)</w:t>
      </w:r>
      <w:r>
        <w:rPr/>
        <w:t xml:space="preserve"> </w:t>
      </w:r>
      <w:r>
        <w:rPr>
          <w:rStyle w:val="Funotenanker"/>
        </w:rPr>
        <w:footnoteReference w:customMarkFollows="1" w:id="1805"/>
        <w:t>cg</w:t>
      </w:r>
      <w:r>
        <w:rPr/>
        <w:t xml:space="preserve"> </w:t>
      </w:r>
      <w:r>
        <w:rPr>
          <w:b/>
          <w:color w:val="808080"/>
        </w:rPr>
        <w:t>[</w:t>
      </w:r>
      <w:r>
        <w:rPr/>
        <w:t>sei</w:t>
      </w:r>
      <w:r>
        <w:rPr>
          <w:b/>
          <w:color w:val="808080"/>
        </w:rPr>
        <w:t>]</w:t>
      </w:r>
      <w:r>
        <w:rPr/>
        <w:t xml:space="preserve">. </w:t>
      </w:r>
      <w:r>
        <w:rPr>
          <w:position w:val="8"/>
          <w:sz w:val="19"/>
        </w:rPr>
        <w:t>[[ ℘ &gt;&gt; BibleTOBIBLE:Mt 18:1]]</w:t>
      </w:r>
      <w:r>
        <w:rPr/>
        <w:t xml:space="preserve"> {{field-off:bible}} </w:t>
        <w:br/>
        <w:t>[[@BibleTOBIBLE:Mk 9:35]]</w:t>
      </w:r>
      <w:r>
        <w:rPr>
          <w:b/>
        </w:rPr>
        <w:t>35</w:t>
      </w:r>
      <w:r>
        <w:rPr/>
        <w:t xml:space="preserve"> {{field-on:bible}}Da setzte er sich, rief </w:t>
      </w:r>
      <w:r>
        <w:rPr>
          <w:color w:val="808080"/>
        </w:rPr>
        <w:t>(wandte sich an)</w:t>
      </w:r>
      <w:r>
        <w:rPr/>
        <w:t xml:space="preserve"> die Zwölf und sagte zu ihnen: </w:t>
      </w:r>
      <w:r>
        <w:rPr>
          <w:rStyle w:val="Funotenanker"/>
        </w:rPr>
        <w:footnoteReference w:customMarkFollows="1" w:id="1806"/>
        <w:t>ch</w:t>
      </w:r>
      <w:r>
        <w:rPr/>
        <w:t xml:space="preserve"> „Wenn jemand der Erste sein will, wird </w:t>
      </w:r>
      <w:r>
        <w:rPr>
          <w:color w:val="808080"/>
        </w:rPr>
        <w:t>(muss)</w:t>
      </w:r>
      <w:r>
        <w:rPr/>
        <w:t xml:space="preserve"> </w:t>
      </w:r>
      <w:r>
        <w:rPr>
          <w:rStyle w:val="Funotenanker"/>
        </w:rPr>
        <w:footnoteReference w:customMarkFollows="1" w:id="1807"/>
        <w:t>ci</w:t>
      </w:r>
      <w:r>
        <w:rPr/>
        <w:t xml:space="preserve"> er der Letzte von Allen und der Diener von Allen sein.“ </w:t>
      </w:r>
      <w:r>
        <w:rPr>
          <w:position w:val="8"/>
          <w:sz w:val="19"/>
        </w:rPr>
        <w:t>[[ ℘ &gt;&gt; BibleTOBIBLE:Mt 11:11]][[ ℘ &gt;&gt; BibleTOBIBLE:Mt 20:26]][[ ℘ &gt;&gt; BibleTOBIBLE:Mk 10:43]][[ ℘ &gt;&gt; BibleTOBIBLE:Ro 12:10]][[ ℘ &gt;&gt; BibleTOBIBLE:Php 2:3]]</w:t>
      </w:r>
      <w:r>
        <w:rPr/>
        <w:t xml:space="preserve"> {{field-off:bible}} </w:t>
        <w:br/>
        <w:t>[[@BibleTOBIBLE:Mk 9:36]]</w:t>
      </w:r>
      <w:r>
        <w:rPr>
          <w:b/>
        </w:rPr>
        <w:t>36</w:t>
      </w:r>
      <w:r>
        <w:rPr/>
        <w:t xml:space="preserve"> {{field-on:bible}}Und er nahm </w:t>
      </w:r>
      <w:r>
        <w:rPr>
          <w:rStyle w:val="Funotenanker"/>
        </w:rPr>
        <w:footnoteReference w:customMarkFollows="1" w:id="1808"/>
        <w:t>cj</w:t>
      </w:r>
      <w:r>
        <w:rPr/>
        <w:t xml:space="preserve"> ein Kind, stellte es in ihre Mitte, umarmte es und sagte zu ihnen: </w:t>
      </w:r>
      <w:r>
        <w:rPr>
          <w:position w:val="8"/>
          <w:sz w:val="19"/>
        </w:rPr>
        <w:t>[[ ℘ &gt;&gt; BibleTOBIBLE:Mk 10:16]]</w:t>
      </w:r>
      <w:r>
        <w:rPr/>
        <w:t xml:space="preserve"> {{field-off:bible}} </w:t>
        <w:br/>
        <w:t>[[@BibleTOBIBLE:Mk 9:37]]</w:t>
      </w:r>
      <w:r>
        <w:rPr>
          <w:b/>
        </w:rPr>
        <w:t>37</w:t>
      </w:r>
      <w:r>
        <w:rPr/>
        <w:t xml:space="preserve"> {{field-on:bible}}„Wer eines von solchen Kindern </w:t>
      </w:r>
      <w:r>
        <w:rPr>
          <w:color w:val="808080"/>
        </w:rPr>
        <w:t>(ein solches Kind)</w:t>
      </w:r>
      <w:r>
        <w:rPr/>
        <w:t xml:space="preserve"> in meinem Namen </w:t>
      </w:r>
      <w:r>
        <w:rPr>
          <w:color w:val="808080"/>
        </w:rPr>
        <w:t>(mir zuliebe, um meinetwillen)</w:t>
      </w:r>
      <w:r>
        <w:rPr/>
        <w:t xml:space="preserve"> </w:t>
      </w:r>
      <w:r>
        <w:rPr>
          <w:rStyle w:val="Funotenanker"/>
        </w:rPr>
        <w:footnoteReference w:customMarkFollows="1" w:id="1809"/>
        <w:t>ck</w:t>
      </w:r>
      <w:r>
        <w:rPr/>
        <w:t xml:space="preserve"> aufnimmt, nimmt mich auf, und wer mich aufnimmt, nimmt nicht mich auf, sondern </w:t>
      </w:r>
      <w:r>
        <w:rPr>
          <w:color w:val="808080"/>
        </w:rPr>
        <w:t>(vielmehr)</w:t>
      </w:r>
      <w:r>
        <w:rPr/>
        <w:t xml:space="preserve"> </w:t>
      </w:r>
      <w:r>
        <w:rPr>
          <w:rStyle w:val="Funotenanker"/>
        </w:rPr>
        <w:footnoteReference w:customMarkFollows="1" w:id="1810"/>
        <w:t>cl</w:t>
      </w:r>
      <w:r>
        <w:rPr/>
        <w:t xml:space="preserve"> den, der mich gesandt hat.“ </w:t>
      </w:r>
      <w:r>
        <w:rPr>
          <w:position w:val="8"/>
          <w:sz w:val="19"/>
        </w:rPr>
        <w:t>[[ ℘ &gt;&gt; BibleTOBIBLE:Mt 10:40]][[ ℘ &gt;&gt; BibleTOBIBLE:Mt 25:40]][[ ℘ &gt;&gt; BibleTOBIBLE:Lk 9:48]][[ ℘ &gt;&gt; BibleTOBIBLE:Lk 10:16]][[ ℘ &gt;&gt; BibleTOBIBLE:Jn 5:23]][[ ℘ &gt;&gt; BibleTOBIBLE:Jn 12:44]][[ ℘ &gt;&gt; BibleTOBIBLE:1Th 4:8]]</w:t>
      </w:r>
      <w:r>
        <w:rPr/>
        <w:t xml:space="preserve"> {{field-off:bible}} </w:t>
        <w:br/>
        <w:t>[[@BibleTOBIBLE:Mk 9:38]]</w:t>
      </w:r>
      <w:r>
        <w:rPr>
          <w:b/>
        </w:rPr>
        <w:t>38</w:t>
      </w:r>
      <w:r>
        <w:rPr/>
        <w:t xml:space="preserve"> {{field-on:bible}}Johannes sagte zu ihm: „Lehrer, wir haben gesehen, wie jemand Dämonen austrieb mit deinem Namen </w:t>
      </w:r>
      <w:r>
        <w:rPr>
          <w:color w:val="808080"/>
        </w:rPr>
        <w:t>(und dabei deinen Namen verwendete)</w:t>
      </w:r>
      <w:r>
        <w:rPr/>
        <w:t xml:space="preserve">. </w:t>
      </w:r>
      <w:r>
        <w:rPr>
          <w:rStyle w:val="Funotenanker"/>
        </w:rPr>
        <w:footnoteReference w:customMarkFollows="1" w:id="1811"/>
        <w:t>cm</w:t>
      </w:r>
      <w:r>
        <w:rPr/>
        <w:t xml:space="preserve"> Wir hinderten ihn daran </w:t>
      </w:r>
      <w:r>
        <w:rPr>
          <w:color w:val="808080"/>
        </w:rPr>
        <w:t>(haben versucht, ihn daran hindern)</w:t>
      </w:r>
      <w:r>
        <w:rPr/>
        <w:t xml:space="preserve">, </w:t>
      </w:r>
      <w:r>
        <w:rPr>
          <w:rStyle w:val="Funotenanker"/>
        </w:rPr>
        <w:footnoteReference w:customMarkFollows="1" w:id="1812"/>
        <w:t>cn</w:t>
      </w:r>
      <w:r>
        <w:rPr/>
        <w:t xml:space="preserve"> weil er uns nicht folgt </w:t>
      </w:r>
      <w:r>
        <w:rPr>
          <w:color w:val="808080"/>
        </w:rPr>
        <w:t>(nicht zu uns gehört)</w:t>
      </w:r>
      <w:r>
        <w:rPr/>
        <w:t xml:space="preserve">. </w:t>
      </w:r>
      <w:r>
        <w:rPr>
          <w:rStyle w:val="Funotenanker"/>
        </w:rPr>
        <w:footnoteReference w:customMarkFollows="1" w:id="1813"/>
        <w:t>co</w:t>
      </w:r>
      <w:r>
        <w:rPr/>
        <w:t xml:space="preserve">“ </w:t>
      </w:r>
      <w:r>
        <w:rPr>
          <w:position w:val="8"/>
          <w:sz w:val="19"/>
        </w:rPr>
        <w:t>[[ ℘ &gt;&gt; BibleTOBIBLE:Nu 11:27]]</w:t>
      </w:r>
      <w:r>
        <w:rPr/>
        <w:t xml:space="preserve"> {{field-off:bible}} </w:t>
        <w:br/>
        <w:t>[[@BibleTOBIBLE:Mk 9:39]]</w:t>
      </w:r>
      <w:r>
        <w:rPr>
          <w:b/>
        </w:rPr>
        <w:t>39</w:t>
      </w:r>
      <w:r>
        <w:rPr/>
        <w:t xml:space="preserve"> {{field-on:bible}}Jesus aber sagte: „Hindert ihn nicht </w:t>
      </w:r>
      <w:r>
        <w:rPr>
          <w:b/>
          <w:color w:val="808080"/>
        </w:rPr>
        <w:t>[</w:t>
      </w:r>
      <w:r>
        <w:rPr/>
        <w:t>daran</w:t>
      </w:r>
      <w:r>
        <w:rPr>
          <w:b/>
          <w:color w:val="808080"/>
        </w:rPr>
        <w:t>]</w:t>
      </w:r>
      <w:r>
        <w:rPr/>
        <w:t xml:space="preserve">, denn es gibt niemanden, der Wunder mit meinem Namen </w:t>
      </w:r>
      <w:r>
        <w:rPr>
          <w:rStyle w:val="Funotenanker"/>
        </w:rPr>
        <w:footnoteReference w:customMarkFollows="1" w:id="1814"/>
        <w:t>cp</w:t>
      </w:r>
      <w:r>
        <w:rPr/>
        <w:t xml:space="preserve"> wirkt und schnell </w:t>
      </w:r>
      <w:r>
        <w:rPr>
          <w:rStyle w:val="Funotenanker"/>
        </w:rPr>
        <w:footnoteReference w:customMarkFollows="1" w:id="1815"/>
        <w:t>cq</w:t>
      </w:r>
      <w:r>
        <w:rPr/>
        <w:t xml:space="preserve"> schlecht von mir zu sprechen vermag </w:t>
      </w:r>
      <w:r>
        <w:rPr>
          <w:color w:val="808080"/>
        </w:rPr>
        <w:t>(von mir sprechen kann)</w:t>
      </w:r>
      <w:r>
        <w:rPr/>
        <w:t xml:space="preserve">. </w:t>
      </w:r>
      <w:r>
        <w:rPr>
          <w:rStyle w:val="Funotenanker"/>
        </w:rPr>
        <w:footnoteReference w:customMarkFollows="1" w:id="1816"/>
        <w:t>cr</w:t>
      </w:r>
      <w:r>
        <w:rPr/>
        <w:t xml:space="preserve"> {{field-off:bible}} </w:t>
        <w:br/>
        <w:t>[[@BibleTOBIBLE:Mk 9:40]]</w:t>
      </w:r>
      <w:r>
        <w:rPr>
          <w:b/>
        </w:rPr>
        <w:t>40</w:t>
      </w:r>
      <w:r>
        <w:rPr/>
        <w:t xml:space="preserve"> {{field-on:bible}}Denn wer nicht gegen uns ist, ist für uns </w:t>
      </w:r>
      <w:r>
        <w:rPr>
          <w:rStyle w:val="Funotenanker"/>
        </w:rPr>
        <w:footnoteReference w:customMarkFollows="1" w:id="1817"/>
        <w:t>cs</w:t>
      </w:r>
      <w:r>
        <w:rPr/>
        <w:t xml:space="preserve"> </w:t>
      </w:r>
      <w:r>
        <w:rPr>
          <w:color w:val="808080"/>
        </w:rPr>
        <w:t>(steht über uns)</w:t>
      </w:r>
      <w:r>
        <w:rPr/>
        <w:t xml:space="preserve">.“ </w:t>
      </w:r>
      <w:r>
        <w:rPr>
          <w:position w:val="8"/>
          <w:sz w:val="19"/>
        </w:rPr>
        <w:t>[[ ℘ &gt;&gt; BibleTOBIBLE:Mt 12:30]][[ ℘ &gt;&gt; BibleTOBIBLE:Lk 11:23]]</w:t>
      </w:r>
      <w:r>
        <w:rPr/>
        <w:t xml:space="preserve"> {{field-off:bible}} </w:t>
        <w:br/>
        <w:t>[[@BibleTOBIBLE:Mk 9:41]]</w:t>
      </w:r>
      <w:r>
        <w:rPr>
          <w:b/>
        </w:rPr>
        <w:t>41</w:t>
      </w:r>
      <w:r>
        <w:rPr/>
        <w:t xml:space="preserve"> {{field-on:bible}} </w:t>
      </w:r>
      <w:r>
        <w:rPr>
          <w:rStyle w:val="Funotenanker"/>
        </w:rPr>
        <w:footnoteReference w:customMarkFollows="1" w:id="1818"/>
        <w:t>ct</w:t>
      </w:r>
      <w:r>
        <w:rPr/>
        <w:t xml:space="preserve"> „</w:t>
      </w:r>
      <w:r>
        <w:rPr>
          <w:strike/>
          <w:color w:val="808080"/>
        </w:rPr>
        <w:t>{Denn}</w:t>
      </w:r>
      <w:r>
        <w:rPr/>
        <w:t xml:space="preserve"> </w:t>
      </w:r>
      <w:r>
        <w:rPr>
          <w:rStyle w:val="Funotenanker"/>
        </w:rPr>
        <w:footnoteReference w:customMarkFollows="1" w:id="1819"/>
        <w:t>cu</w:t>
      </w:r>
      <w:r>
        <w:rPr/>
        <w:t xml:space="preserve"> Wer euch </w:t>
      </w:r>
      <w:r>
        <w:rPr>
          <w:b/>
          <w:color w:val="808080"/>
        </w:rPr>
        <w:t>[</w:t>
      </w:r>
      <w:r>
        <w:rPr/>
        <w:t>auch nur</w:t>
      </w:r>
      <w:r>
        <w:rPr>
          <w:b/>
          <w:color w:val="808080"/>
        </w:rPr>
        <w:t>]</w:t>
      </w:r>
      <w:r>
        <w:rPr/>
        <w:t xml:space="preserve"> </w:t>
      </w:r>
      <w:r>
        <w:rPr>
          <w:rStyle w:val="Funotenanker"/>
        </w:rPr>
        <w:footnoteReference w:customMarkFollows="1" w:id="1820"/>
        <w:t>cv</w:t>
      </w:r>
      <w:r>
        <w:rPr/>
        <w:t xml:space="preserve"> einen Becher Wasser zu trinken gibt, </w:t>
      </w:r>
      <w:r>
        <w:rPr>
          <w:rStyle w:val="Funotenanker"/>
        </w:rPr>
        <w:footnoteReference w:customMarkFollows="1" w:id="1821"/>
        <w:t>cw</w:t>
      </w:r>
      <w:r>
        <w:rPr/>
        <w:t xml:space="preserve"> weil </w:t>
      </w:r>
      <w:r>
        <w:rPr>
          <w:color w:val="808080"/>
        </w:rPr>
        <w:t>(im Namen, dass)</w:t>
      </w:r>
      <w:r>
        <w:rPr/>
        <w:t xml:space="preserve"> </w:t>
      </w:r>
      <w:r>
        <w:rPr>
          <w:rStyle w:val="Funotenanker"/>
        </w:rPr>
        <w:footnoteReference w:customMarkFollows="1" w:id="1822"/>
        <w:t>cx</w:t>
      </w:r>
      <w:r>
        <w:rPr/>
        <w:t xml:space="preserve"> ihr zu Christus gehört - Amen, ich sage euch </w:t>
      </w:r>
      <w:r>
        <w:rPr>
          <w:rStyle w:val="Funotenanker"/>
        </w:rPr>
        <w:footnoteReference w:customMarkFollows="1" w:id="1823"/>
        <w:t>cy</w:t>
      </w:r>
      <w:r>
        <w:rPr/>
        <w:t xml:space="preserve"> - der wird seinen Lohn nicht verlieren </w:t>
      </w:r>
      <w:r>
        <w:rPr>
          <w:color w:val="808080"/>
        </w:rPr>
        <w:t>(wird ihn bekommen)</w:t>
      </w:r>
      <w:r>
        <w:rPr/>
        <w:t xml:space="preserve">. </w:t>
      </w:r>
      <w:r>
        <w:rPr>
          <w:rStyle w:val="Funotenanker"/>
        </w:rPr>
        <w:footnoteReference w:customMarkFollows="1" w:id="1824"/>
        <w:t>cz</w:t>
      </w:r>
      <w:r>
        <w:rPr/>
        <w:t xml:space="preserve"> {{field-off:bible}} </w:t>
        <w:br/>
        <w:t>[[@BibleTOBIBLE:Mk 9:42]]</w:t>
      </w:r>
      <w:r>
        <w:rPr>
          <w:b/>
        </w:rPr>
        <w:t>42</w:t>
      </w:r>
      <w:r>
        <w:rPr/>
        <w:t xml:space="preserve"> {{field-on:bible}}Wer aber </w:t>
      </w:r>
      <w:r>
        <w:rPr>
          <w:color w:val="808080"/>
        </w:rPr>
        <w:t>(und)</w:t>
      </w:r>
      <w:r>
        <w:rPr/>
        <w:t xml:space="preserve"> </w:t>
      </w:r>
      <w:r>
        <w:rPr>
          <w:rStyle w:val="Funotenanker"/>
        </w:rPr>
        <w:footnoteReference w:customMarkFollows="1" w:id="1825"/>
        <w:t>da</w:t>
      </w:r>
      <w:r>
        <w:rPr/>
        <w:t xml:space="preserve"> </w:t>
      </w:r>
      <w:r>
        <w:rPr>
          <w:b/>
          <w:color w:val="808080"/>
        </w:rPr>
        <w:t>[</w:t>
      </w:r>
      <w:r>
        <w:rPr/>
        <w:t>auch nur</w:t>
      </w:r>
      <w:r>
        <w:rPr>
          <w:b/>
          <w:color w:val="808080"/>
        </w:rPr>
        <w:t>]</w:t>
      </w:r>
      <w:r>
        <w:rPr/>
        <w:t xml:space="preserve"> einen dieser Kleinen </w:t>
      </w:r>
      <w:r>
        <w:rPr>
          <w:color w:val="808080"/>
        </w:rPr>
        <w:t>(einen der Geringen)</w:t>
      </w:r>
      <w:r>
        <w:rPr/>
        <w:t xml:space="preserve">, </w:t>
      </w:r>
      <w:r>
        <w:rPr>
          <w:rStyle w:val="Funotenanker"/>
        </w:rPr>
        <w:footnoteReference w:customMarkFollows="1" w:id="1826"/>
        <w:t>db</w:t>
      </w:r>
      <w:r>
        <w:rPr/>
        <w:t xml:space="preserve"> die an mich </w:t>
      </w:r>
      <w:r>
        <w:rPr>
          <w:color w:val="808080"/>
        </w:rPr>
        <w:t>(</w:t>
      </w:r>
      <w:r>
        <w:rPr>
          <w:strike/>
          <w:color w:val="808080"/>
        </w:rPr>
        <w:t>{an mich}</w:t>
      </w:r>
      <w:r>
        <w:rPr>
          <w:color w:val="808080"/>
        </w:rPr>
        <w:t>)</w:t>
      </w:r>
      <w:r>
        <w:rPr/>
        <w:t xml:space="preserve"> glauben, ärgert </w:t>
      </w:r>
      <w:r>
        <w:rPr>
          <w:color w:val="808080"/>
        </w:rPr>
        <w:t>(vom Glauben abbringt)</w:t>
      </w:r>
      <w:r>
        <w:rPr/>
        <w:t xml:space="preserve"> </w:t>
      </w:r>
      <w:r>
        <w:rPr>
          <w:rStyle w:val="Funotenanker"/>
        </w:rPr>
        <w:footnoteReference w:customMarkFollows="1" w:id="1827"/>
        <w:t>dc</w:t>
      </w:r>
      <w:r>
        <w:rPr/>
        <w:t xml:space="preserve"> - für den ist </w:t>
      </w:r>
      <w:r>
        <w:rPr>
          <w:color w:val="808080"/>
        </w:rPr>
        <w:t>(wäre)</w:t>
      </w:r>
      <w:r>
        <w:rPr/>
        <w:t xml:space="preserve"> </w:t>
      </w:r>
      <w:r>
        <w:rPr>
          <w:rStyle w:val="Funotenanker"/>
        </w:rPr>
        <w:footnoteReference w:customMarkFollows="1" w:id="1828"/>
        <w:t>dd</w:t>
      </w:r>
      <w:r>
        <w:rPr/>
        <w:t xml:space="preserve"> es gut </w:t>
      </w:r>
      <w:r>
        <w:rPr>
          <w:color w:val="808080"/>
        </w:rPr>
        <w:t>(besser)</w:t>
      </w:r>
      <w:r>
        <w:rPr/>
        <w:t xml:space="preserve">, </w:t>
      </w:r>
      <w:r>
        <w:rPr>
          <w:rStyle w:val="Funotenanker"/>
        </w:rPr>
        <w:footnoteReference w:customMarkFollows="1" w:id="1829"/>
        <w:t>de</w:t>
      </w:r>
      <w:r>
        <w:rPr/>
        <w:t xml:space="preserve"> wenn ein Eselsmühlstein um seinen Hals gehängt und er ins Meer geworfen würde. </w:t>
      </w:r>
      <w:r>
        <w:rPr>
          <w:rStyle w:val="Funotenanker"/>
        </w:rPr>
        <w:footnoteReference w:customMarkFollows="1" w:id="1830"/>
        <w:t>df</w:t>
      </w:r>
      <w:r>
        <w:rPr/>
        <w:t xml:space="preserve">“ </w:t>
      </w:r>
      <w:r>
        <w:rPr>
          <w:position w:val="8"/>
          <w:sz w:val="19"/>
        </w:rPr>
        <w:t>[[ ℘ &gt;&gt; BibleTOBIBLE:Mt 25:40]][[ ℘ &gt;&gt; BibleTOBIBLE:Mt 26:24]]</w:t>
      </w:r>
      <w:r>
        <w:rPr/>
        <w:t xml:space="preserve"> {{field-off:bible}} </w:t>
        <w:br/>
        <w:t>[[@BibleTOBIBLE:Mk 9:43]]</w:t>
      </w:r>
      <w:r>
        <w:rPr>
          <w:b/>
        </w:rPr>
        <w:t>43</w:t>
      </w:r>
      <w:r>
        <w:rPr/>
        <w:t xml:space="preserve"> {{field-on:bible}}„</w:t>
      </w:r>
      <w:r>
        <w:rPr>
          <w:strike/>
          <w:color w:val="808080"/>
        </w:rPr>
        <w:t>{Und}</w:t>
      </w:r>
      <w:r>
        <w:rPr/>
        <w:t xml:space="preserve"> Wenn deine Hand dich zur Sünde verführen will </w:t>
      </w:r>
      <w:r>
        <w:rPr>
          <w:color w:val="808080"/>
        </w:rPr>
        <w:t>(zur Sünde verführt, ärgert, vom Glauben abbringt)</w:t>
      </w:r>
      <w:r>
        <w:rPr/>
        <w:t xml:space="preserve">, </w:t>
      </w:r>
      <w:r>
        <w:rPr>
          <w:rStyle w:val="Funotenanker"/>
        </w:rPr>
        <w:footnoteReference w:customMarkFollows="1" w:id="1831"/>
        <w:t>dg</w:t>
      </w:r>
      <w:r>
        <w:rPr/>
        <w:t xml:space="preserve"> hau sie ab! </w:t>
      </w:r>
      <w:r>
        <w:rPr>
          <w:b/>
          <w:color w:val="808080"/>
        </w:rPr>
        <w:t>[</w:t>
      </w:r>
      <w:r>
        <w:rPr/>
        <w:t>Denn</w:t>
      </w:r>
      <w:r>
        <w:rPr>
          <w:b/>
          <w:color w:val="808080"/>
        </w:rPr>
        <w:t>]</w:t>
      </w:r>
      <w:r>
        <w:rPr/>
        <w:t xml:space="preserve"> </w:t>
      </w:r>
      <w:r>
        <w:rPr>
          <w:rStyle w:val="Funotenanker"/>
        </w:rPr>
        <w:footnoteReference w:customMarkFollows="1" w:id="1832"/>
        <w:t>dh</w:t>
      </w:r>
      <w:r>
        <w:rPr/>
        <w:t xml:space="preserve"> es ist gut </w:t>
      </w:r>
      <w:r>
        <w:rPr>
          <w:color w:val="808080"/>
        </w:rPr>
        <w:t>(besser)</w:t>
      </w:r>
      <w:r>
        <w:rPr/>
        <w:t xml:space="preserve">, dass du verstümmelt in das Leben </w:t>
      </w:r>
      <w:r>
        <w:rPr>
          <w:rStyle w:val="Funotenanker"/>
        </w:rPr>
        <w:footnoteReference w:customMarkFollows="1" w:id="1833"/>
        <w:t>di</w:t>
      </w:r>
      <w:r>
        <w:rPr/>
        <w:t xml:space="preserve"> eingehst, als die zwei Hände habend </w:t>
      </w:r>
      <w:r>
        <w:rPr>
          <w:color w:val="808080"/>
        </w:rPr>
        <w:t>(mit beiden Händen)</w:t>
      </w:r>
      <w:r>
        <w:rPr/>
        <w:t xml:space="preserve"> in die Gehenna </w:t>
      </w:r>
      <w:r>
        <w:rPr>
          <w:color w:val="808080"/>
        </w:rPr>
        <w:t>(Hölle)</w:t>
      </w:r>
      <w:r>
        <w:rPr/>
        <w:t xml:space="preserve"> </w:t>
      </w:r>
      <w:r>
        <w:rPr>
          <w:rStyle w:val="Funotenanker"/>
        </w:rPr>
        <w:footnoteReference w:customMarkFollows="1" w:id="1834"/>
        <w:t>dj</w:t>
      </w:r>
      <w:r>
        <w:rPr/>
        <w:t xml:space="preserve"> einzugehen </w:t>
      </w:r>
      <w:r>
        <w:rPr>
          <w:color w:val="808080"/>
        </w:rPr>
        <w:t>(geworfen zu werden)</w:t>
      </w:r>
      <w:r>
        <w:rPr/>
        <w:t xml:space="preserve">: </w:t>
      </w:r>
      <w:r>
        <w:rPr>
          <w:rStyle w:val="Funotenanker"/>
        </w:rPr>
        <w:footnoteReference w:customMarkFollows="1" w:id="1835"/>
        <w:t>dk</w:t>
      </w:r>
      <w:r>
        <w:rPr/>
        <w:t xml:space="preserve"> in das unauslöschliche Feuer, </w:t>
      </w:r>
      <w:r>
        <w:rPr>
          <w:rStyle w:val="Funotenanker"/>
        </w:rPr>
        <w:footnoteReference w:customMarkFollows="1" w:id="1836"/>
        <w:t>dl</w:t>
      </w:r>
      <w:r>
        <w:rPr/>
        <w:t xml:space="preserve"> </w:t>
      </w:r>
      <w:r>
        <w:rPr>
          <w:position w:val="8"/>
          <w:sz w:val="19"/>
        </w:rPr>
        <w:t>[[ ℘ &gt;&gt; BibleTOBIBLE:Is 33:14]][[ ℘ &gt;&gt; BibleTOBIBLE:Mt 3:12]][[ ℘ &gt;&gt; BibleTOBIBLE:Mt 25:41]][[ ℘ &gt;&gt; BibleTOBIBLE:Re 14:10]][[ ℘ &gt;&gt; BibleTOBIBLE:Re 20:15]][[ ℘ &gt;&gt; BibleTOBIBLE:Re 21:8]]</w:t>
      </w:r>
      <w:r>
        <w:rPr/>
        <w:t xml:space="preserve"> {{field-off:bible}} </w:t>
        <w:br/>
        <w:t>[[@BibleTOBIBLE:Mk 9:44]]</w:t>
      </w:r>
      <w:r>
        <w:rPr>
          <w:b/>
        </w:rPr>
        <w:t>44</w:t>
      </w:r>
      <w:r>
        <w:rPr/>
        <w:t xml:space="preserve"> {{field-on:bible}}wo ihr Wurm nicht stirbt und das Feuer nicht erlischt. </w:t>
      </w:r>
      <w:r>
        <w:rPr>
          <w:rStyle w:val="Funotenanker"/>
        </w:rPr>
        <w:footnoteReference w:customMarkFollows="1" w:id="1837"/>
        <w:t>dm</w:t>
      </w:r>
      <w:r>
        <w:rPr/>
        <w:t xml:space="preserve"> {{field-off:bible}} </w:t>
        <w:br/>
        <w:t>[[@BibleTOBIBLE:Mk 9:45]]</w:t>
      </w:r>
      <w:r>
        <w:rPr>
          <w:b/>
        </w:rPr>
        <w:t>45</w:t>
      </w:r>
      <w:r>
        <w:rPr/>
        <w:t xml:space="preserve"> {{field-on:bible}}Und wenn dein Fuß dich zur Sünde verführen will </w:t>
      </w:r>
      <w:r>
        <w:rPr>
          <w:color w:val="808080"/>
        </w:rPr>
        <w:t>(zur Sünde verführt, ärgert, vom Glauben abbringt)</w:t>
      </w:r>
      <w:r>
        <w:rPr/>
        <w:t xml:space="preserve">, dann hau ihn ab! </w:t>
      </w:r>
      <w:r>
        <w:rPr>
          <w:b/>
          <w:color w:val="808080"/>
        </w:rPr>
        <w:t>[</w:t>
      </w:r>
      <w:r>
        <w:rPr/>
        <w:t>Denn</w:t>
      </w:r>
      <w:r>
        <w:rPr>
          <w:b/>
          <w:color w:val="808080"/>
        </w:rPr>
        <w:t>]</w:t>
      </w:r>
      <w:r>
        <w:rPr/>
        <w:t xml:space="preserve"> es ist gut </w:t>
      </w:r>
      <w:r>
        <w:rPr>
          <w:color w:val="808080"/>
        </w:rPr>
        <w:t>(besser)</w:t>
      </w:r>
      <w:r>
        <w:rPr/>
        <w:t xml:space="preserve">, dass du lahm in das Leben eingehst, als die zwei Füße habend </w:t>
      </w:r>
      <w:r>
        <w:rPr>
          <w:color w:val="808080"/>
        </w:rPr>
        <w:t>(mit beiden Füßen)</w:t>
      </w:r>
      <w:r>
        <w:rPr/>
        <w:t xml:space="preserve"> in die Gehenna </w:t>
      </w:r>
      <w:r>
        <w:rPr>
          <w:color w:val="808080"/>
        </w:rPr>
        <w:t>(Hölle)</w:t>
      </w:r>
      <w:r>
        <w:rPr/>
        <w:t xml:space="preserv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dein Auge dich zur Sünde verführen will </w:t>
      </w:r>
      <w:r>
        <w:rPr>
          <w:color w:val="808080"/>
        </w:rPr>
        <w:t>(zur Sünde verführt, ärgert, vom Glauben abbringt)</w:t>
      </w:r>
      <w:r>
        <w:rPr/>
        <w:t xml:space="preserve">, reiß es aus! </w:t>
      </w:r>
      <w:r>
        <w:rPr>
          <w:b/>
          <w:color w:val="808080"/>
        </w:rPr>
        <w:t>[</w:t>
      </w:r>
      <w:r>
        <w:rPr/>
        <w:t>Denn</w:t>
      </w:r>
      <w:r>
        <w:rPr>
          <w:b/>
          <w:color w:val="808080"/>
        </w:rPr>
        <w:t>]</w:t>
      </w:r>
      <w:r>
        <w:rPr/>
        <w:t xml:space="preserve"> es ist gut </w:t>
      </w:r>
      <w:r>
        <w:rPr>
          <w:color w:val="808080"/>
        </w:rPr>
        <w:t>(besser)</w:t>
      </w:r>
      <w:r>
        <w:rPr/>
        <w:t xml:space="preserve">, dass du einäugig in das Reich Gottes eingehst, als zwei Augen habend </w:t>
      </w:r>
      <w:r>
        <w:rPr>
          <w:color w:val="808080"/>
        </w:rPr>
        <w:t>(mit zwei Augen)</w:t>
      </w:r>
      <w:r>
        <w:rPr/>
        <w:t xml:space="preserve"> in die Gehenna </w:t>
      </w:r>
      <w:r>
        <w:rPr>
          <w:color w:val="808080"/>
        </w:rPr>
        <w:t>(Hölle)</w:t>
      </w:r>
      <w:r>
        <w:rPr/>
        <w:t xml:space="preserve"> geworfen zu werden,{{field-off:bible}} </w:t>
        <w:br/>
        <w:t>[[@BibleTOBIBLE:Mk 9:48]]</w:t>
      </w:r>
      <w:r>
        <w:rPr>
          <w:b/>
        </w:rPr>
        <w:t>48</w:t>
      </w:r>
      <w:r>
        <w:rPr/>
        <w:t xml:space="preserve"> {{field-on:bible}}'wo ihr Wurm nicht stirbt und das Feuer nicht erlischt'. </w:t>
      </w:r>
      <w:r>
        <w:rPr>
          <w:rStyle w:val="Funotenanker"/>
        </w:rPr>
        <w:footnoteReference w:customMarkFollows="1" w:id="1838"/>
        <w:t>dn</w:t>
      </w:r>
      <w:r>
        <w:rPr/>
        <w:t xml:space="preserve"> </w:t>
      </w:r>
      <w:r>
        <w:rPr>
          <w:position w:val="8"/>
          <w:sz w:val="19"/>
        </w:rPr>
        <w:t>[[ ℘ &gt;&gt; BibleTOBIBLE:Ro 8:13]][[ ℘ &gt;&gt; BibleTOBIBLE:1Co 9:27]][[ ℘ &gt;&gt; BibleTOBIBLE:Ga 5:24]][[ ℘ &gt;&gt; BibleTOBIBLE:Col 3:5]][[ ℘ &gt;&gt; BibleTOBIBLE:Tt 2:12]]</w:t>
      </w:r>
      <w:r>
        <w:rPr/>
        <w:t xml:space="preserve"> {{field-off:bible}} </w:t>
        <w:br/>
        <w:t>[[@BibleTOBIBLE:Mk 9:49]]</w:t>
      </w:r>
      <w:r>
        <w:rPr>
          <w:b/>
        </w:rPr>
        <w:t>49</w:t>
      </w:r>
      <w:r>
        <w:rPr/>
        <w:t xml:space="preserve"> {{field-on:bible}} </w:t>
      </w:r>
      <w:r>
        <w:rPr>
          <w:strike/>
          <w:color w:val="808080"/>
        </w:rPr>
        <w:t>{Denn}</w:t>
      </w:r>
      <w:r>
        <w:rPr/>
        <w:t xml:space="preserve"> </w:t>
      </w:r>
      <w:r>
        <w:rPr>
          <w:color w:val="808080"/>
        </w:rPr>
        <w:t>(Denn)</w:t>
      </w:r>
      <w:r>
        <w:rPr/>
        <w:t xml:space="preserve"> </w:t>
      </w:r>
      <w:r>
        <w:rPr>
          <w:rStyle w:val="Funotenanker"/>
        </w:rPr>
        <w:footnoteReference w:customMarkFollows="1" w:id="1839"/>
        <w:t>do</w:t>
      </w:r>
      <w:r>
        <w:rPr/>
        <w:t xml:space="preserve"> Jeder wird mit Feuer gesalzen werden. </w:t>
      </w:r>
      <w:r>
        <w:rPr>
          <w:rStyle w:val="Funotenanker"/>
        </w:rPr>
        <w:footnoteReference w:customMarkFollows="1" w:id="1840"/>
        <w:t>dp</w:t>
      </w:r>
      <w:r>
        <w:rPr/>
        <w:t xml:space="preserve"> {{field-off:bible}} </w:t>
        <w:br/>
        <w:t>[[@BibleTOBIBLE:Mk 9:50]]</w:t>
      </w:r>
      <w:r>
        <w:rPr>
          <w:b/>
        </w:rPr>
        <w:t>50</w:t>
      </w:r>
      <w:r>
        <w:rPr/>
        <w:t xml:space="preserve"> {{field-on:bible}}Gut </w:t>
      </w:r>
      <w:r>
        <w:rPr>
          <w:b/>
          <w:color w:val="808080"/>
        </w:rPr>
        <w:t>[</w:t>
      </w:r>
      <w:r>
        <w:rPr/>
        <w:t>ist</w:t>
      </w:r>
      <w:r>
        <w:rPr>
          <w:b/>
          <w:color w:val="808080"/>
        </w:rPr>
        <w:t>]</w:t>
      </w:r>
      <w:r>
        <w:rPr/>
        <w:t xml:space="preserve"> das Salz. </w:t>
      </w:r>
      <w:r>
        <w:rPr>
          <w:rStyle w:val="Funotenanker"/>
        </w:rPr>
        <w:footnoteReference w:customMarkFollows="1" w:id="1841"/>
        <w:t>dq</w:t>
      </w:r>
      <w:r>
        <w:rPr/>
        <w:t xml:space="preserve"> Aber wenn das Salz unsalzig </w:t>
      </w:r>
      <w:r>
        <w:rPr>
          <w:color w:val="808080"/>
        </w:rPr>
        <w:t>(salzlos, geschmacklos)</w:t>
      </w:r>
      <w:r>
        <w:rPr/>
        <w:t xml:space="preserve"> geworden ist - womit werdet </w:t>
      </w:r>
      <w:r>
        <w:rPr>
          <w:color w:val="808080"/>
        </w:rPr>
        <w:t>(wollt)</w:t>
      </w:r>
      <w:r>
        <w:rPr/>
        <w:t xml:space="preserve"> </w:t>
      </w:r>
      <w:r>
        <w:rPr>
          <w:rStyle w:val="Funotenanker"/>
        </w:rPr>
        <w:footnoteReference w:customMarkFollows="1" w:id="1842"/>
        <w:t>dr</w:t>
      </w:r>
      <w:r>
        <w:rPr/>
        <w:t xml:space="preserve"> ihr es würzen? Habt </w:t>
      </w:r>
      <w:r>
        <w:rPr>
          <w:color w:val="808080"/>
        </w:rPr>
        <w:t>(teilt)</w:t>
      </w:r>
      <w:r>
        <w:rPr/>
        <w:t xml:space="preserve"> Salz unter </w:t>
      </w:r>
      <w:r>
        <w:rPr>
          <w:color w:val="808080"/>
        </w:rPr>
        <w:t>(in)</w:t>
      </w:r>
      <w:r>
        <w:rPr/>
        <w:t xml:space="preserve"> </w:t>
      </w:r>
      <w:r>
        <w:rPr>
          <w:rStyle w:val="Funotenanker"/>
        </w:rPr>
        <w:footnoteReference w:customMarkFollows="1" w:id="1843"/>
        <w:t>ds</w:t>
      </w:r>
      <w:r>
        <w:rPr/>
        <w:t xml:space="preserve"> euch, und haltet </w:t>
      </w:r>
      <w:r>
        <w:rPr>
          <w:b/>
          <w:color w:val="808080"/>
        </w:rPr>
        <w:t>[</w:t>
      </w:r>
      <w:r>
        <w:rPr/>
        <w:t>so</w:t>
      </w:r>
      <w:r>
        <w:rPr>
          <w:b/>
          <w:color w:val="808080"/>
        </w:rPr>
        <w:t>]</w:t>
      </w:r>
      <w:r>
        <w:rPr/>
        <w:t xml:space="preserve"> </w:t>
      </w:r>
      <w:r>
        <w:rPr>
          <w:rStyle w:val="Funotenanker"/>
        </w:rPr>
        <w:footnoteReference w:customMarkFollows="1" w:id="1844"/>
        <w:t>dt</w:t>
      </w:r>
      <w:r>
        <w:rPr/>
        <w:t xml:space="preserve"> untereinander Frieden!“ </w:t>
      </w:r>
      <w:r>
        <w:rPr>
          <w:position w:val="8"/>
          <w:sz w:val="19"/>
        </w:rPr>
        <w:t>[[ ℘ &gt;&gt; BibleTOBIBLE:Ro 12:18]][[ ℘ &gt;&gt; BibleTOBIBLE:2Co 13:11]][[ ℘ &gt;&gt; BibleTOBIBLE:Col 4:6]][[ ℘ &gt;&gt; BibleTOBIBLE:Heb 12:14]]</w:t>
      </w:r>
      <w:r>
        <w:rPr/>
        <w:t xml:space="preserve">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1845"/>
        <w:t>Status</w:t>
      </w:r>
      <w:r>
        <w:rPr/>
        <w:t xml:space="preserve"> Und von dort brach </w:t>
      </w:r>
      <w:r>
        <w:rPr>
          <w:color w:val="808080"/>
        </w:rPr>
        <w:t>(stand)</w:t>
      </w:r>
      <w:r>
        <w:rPr/>
        <w:t xml:space="preserve"> er auf und </w:t>
      </w:r>
      <w:r>
        <w:rPr>
          <w:rStyle w:val="Funotenanker"/>
        </w:rPr>
        <w:footnoteReference w:customMarkFollows="1" w:id="1846"/>
        <w:t>a</w:t>
      </w:r>
      <w:r>
        <w:rPr/>
        <w:t xml:space="preserve"> zog </w:t>
      </w:r>
      <w:r>
        <w:rPr>
          <w:color w:val="808080"/>
        </w:rPr>
        <w:t>(kam)</w:t>
      </w:r>
      <w:r>
        <w:rPr/>
        <w:t xml:space="preserve"> in das Gebiet von Judäa und </w:t>
      </w:r>
      <w:r>
        <w:rPr>
          <w:color w:val="808080"/>
        </w:rPr>
        <w:t>(und zwar)</w:t>
      </w:r>
      <w:r>
        <w:rPr/>
        <w:t xml:space="preserve"> das </w:t>
      </w:r>
      <w:r>
        <w:rPr>
          <w:b/>
          <w:color w:val="808080"/>
        </w:rPr>
        <w:t>[</w:t>
      </w:r>
      <w:r>
        <w:rPr/>
        <w:t>Land</w:t>
      </w:r>
      <w:r>
        <w:rPr>
          <w:b/>
          <w:color w:val="808080"/>
        </w:rPr>
        <w:t>]</w:t>
      </w:r>
      <w:r>
        <w:rPr/>
        <w:t xml:space="preserve"> jenseits des Jordans, und wieder einmal </w:t>
      </w:r>
      <w:r>
        <w:rPr>
          <w:color w:val="808080"/>
        </w:rPr>
        <w:t>(erneut)</w:t>
      </w:r>
      <w:r>
        <w:rPr/>
        <w:t xml:space="preserve"> liefen Menschenmengen bei ihm zusammen, und wie es seine Gewohnheit war, lehrte er sie auch diesmal </w:t>
      </w:r>
      <w:r>
        <w:rPr>
          <w:color w:val="808080"/>
        </w:rPr>
        <w:t>(wieder)</w:t>
      </w:r>
      <w:r>
        <w:rPr/>
        <w:t xml:space="preserve">.{{field-off:bible}} </w:t>
        <w:br/>
        <w:t>[[@BibleTOBIBLE:Mk 10:2]]</w:t>
      </w:r>
      <w:r>
        <w:rPr>
          <w:b/>
        </w:rPr>
        <w:t>2</w:t>
      </w:r>
      <w:r>
        <w:rPr/>
        <w:t xml:space="preserve"> {{field-on:bible}}Daraufhin </w:t>
      </w:r>
      <w:r>
        <w:rPr>
          <w:color w:val="808080"/>
        </w:rPr>
        <w:t>(Und)</w:t>
      </w:r>
      <w:r>
        <w:rPr/>
        <w:t xml:space="preserve"> kamen einige Pharisäer herbei und wollten von ihm wissen </w:t>
      </w:r>
      <w:r>
        <w:rPr>
          <w:color w:val="808080"/>
        </w:rPr>
        <w:t>(erkundigten sich)</w:t>
      </w:r>
      <w:r>
        <w:rPr/>
        <w:t xml:space="preserve">, ob es einem Mann erlaubt sei, sich von </w:t>
      </w:r>
      <w:r>
        <w:rPr>
          <w:b/>
          <w:color w:val="808080"/>
        </w:rPr>
        <w:t>[</w:t>
      </w:r>
      <w:r>
        <w:rPr/>
        <w:t>seiner</w:t>
      </w:r>
      <w:r>
        <w:rPr>
          <w:b/>
          <w:color w:val="808080"/>
        </w:rPr>
        <w:t>]</w:t>
      </w:r>
      <w:r>
        <w:rPr/>
        <w:t xml:space="preserve"> Frau zu scheiden </w:t>
      </w:r>
      <w:r>
        <w:rPr>
          <w:color w:val="808080"/>
        </w:rPr>
        <w:t>(wegzuschicken)</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847"/>
        <w:t>b</w:t>
      </w:r>
      <w:r>
        <w:rPr/>
        <w:t xml:space="preserve"> {{field-off:bible}} </w:t>
        <w:br/>
        <w:t>[[@BibleTOBIBLE:Mk 10:3]]</w:t>
      </w:r>
      <w:r>
        <w:rPr>
          <w:b/>
        </w:rPr>
        <w:t>3</w:t>
      </w:r>
      <w:r>
        <w:rPr/>
        <w:t xml:space="preserve"> {{field-on:bible}}Er jedoch erwiderte </w:t>
      </w:r>
      <w:r>
        <w:rPr>
          <w:strike/>
          <w:color w:val="808080"/>
        </w:rPr>
        <w:t>{und sagte zu ihnen}</w:t>
      </w:r>
      <w:r>
        <w:rPr/>
        <w:t xml:space="preserve">: </w:t>
      </w:r>
      <w:r>
        <w:rPr>
          <w:rStyle w:val="Funotenanker"/>
        </w:rPr>
        <w:footnoteReference w:customMarkFollows="1" w:id="1848"/>
        <w:t>c</w:t>
      </w:r>
      <w:r>
        <w:rPr/>
        <w:t xml:space="preserve"> „Was hat euch Mose vorgeschrieben </w:t>
      </w:r>
      <w:r>
        <w:rPr>
          <w:color w:val="808080"/>
        </w:rPr>
        <w:t>(geboten)</w:t>
      </w:r>
      <w:r>
        <w:rPr/>
        <w:t xml:space="preserve">?“{{field-off:bible}} </w:t>
        <w:br/>
        <w:t>[[@BibleTOBIBLE:Mk 10:4]]</w:t>
      </w:r>
      <w:r>
        <w:rPr>
          <w:b/>
        </w:rPr>
        <w:t>4</w:t>
      </w:r>
      <w:r>
        <w:rPr/>
        <w:t xml:space="preserve"> {{field-on:bible}}Und sie sagten: „Mose hat es zugelassen, </w:t>
      </w:r>
      <w:r>
        <w:rPr>
          <w:b/>
          <w:color w:val="808080"/>
        </w:rPr>
        <w:t>[</w:t>
      </w:r>
      <w:r>
        <w:rPr/>
        <w:t>der Frau</w:t>
      </w:r>
      <w:r>
        <w:rPr>
          <w:b/>
          <w:color w:val="808080"/>
        </w:rPr>
        <w:t>]</w:t>
      </w:r>
      <w:r>
        <w:rPr/>
        <w:t xml:space="preserve"> einen Scheidungsbrief zu schreiben und </w:t>
      </w:r>
      <w:r>
        <w:rPr>
          <w:b/>
          <w:color w:val="808080"/>
        </w:rPr>
        <w:t>[</w:t>
      </w:r>
      <w:r>
        <w:rPr/>
        <w:t>sich dann von ihr</w:t>
      </w:r>
      <w:r>
        <w:rPr>
          <w:b/>
          <w:color w:val="808080"/>
        </w:rPr>
        <w:t>]</w:t>
      </w:r>
      <w:r>
        <w:rPr/>
        <w:t xml:space="preserve"> zu scheiden </w:t>
      </w:r>
      <w:r>
        <w:rPr>
          <w:color w:val="808080"/>
        </w:rPr>
        <w:t>(wegzuschicken)</w:t>
      </w:r>
      <w:r>
        <w:rPr/>
        <w:t>.“</w:t>
      </w:r>
      <w:r>
        <w:rPr>
          <w:position w:val="8"/>
          <w:sz w:val="19"/>
        </w:rPr>
        <w:t>[[ ℘ &gt;&gt; BibleTOBIBLE:Dt 24:1]]</w:t>
      </w:r>
      <w:r>
        <w:rPr/>
        <w:t xml:space="preserve"> {{field-off:bible}} </w:t>
        <w:br/>
        <w:t>[[@BibleTOBIBLE:Mk 10:5]]</w:t>
      </w:r>
      <w:r>
        <w:rPr>
          <w:b/>
        </w:rPr>
        <w:t>5</w:t>
      </w:r>
      <w:r>
        <w:rPr/>
        <w:t xml:space="preserve"> {{field-on:bible}}Aber Jesus sagte zu ihnen: „Angesichts </w:t>
      </w:r>
      <w:r>
        <w:rPr>
          <w:color w:val="808080"/>
        </w:rPr>
        <w:t>(wegen, mit Rücksicht auf)</w:t>
      </w:r>
      <w:r>
        <w:rPr/>
        <w:t xml:space="preserve"> eurer Sturheit </w:t>
      </w:r>
      <w:r>
        <w:rPr>
          <w:color w:val="808080"/>
        </w:rPr>
        <w:t>(Herzenshärte)</w:t>
      </w:r>
      <w:r>
        <w:rPr/>
        <w:t xml:space="preserve"> </w:t>
      </w:r>
      <w:r>
        <w:rPr>
          <w:rStyle w:val="Funotenanker"/>
        </w:rPr>
        <w:footnoteReference w:customMarkFollows="1" w:id="1849"/>
        <w:t>d</w:t>
      </w:r>
      <w:r>
        <w:rPr/>
        <w:t xml:space="preserve"> hat er euch dieses Gebot </w:t>
      </w:r>
      <w:r>
        <w:rPr>
          <w:color w:val="808080"/>
        </w:rPr>
        <w:t>(Vorschrift)</w:t>
      </w:r>
      <w:r>
        <w:rPr/>
        <w:t xml:space="preserve"> aufgeschrieben </w:t>
      </w:r>
      <w:r>
        <w:rPr>
          <w:color w:val="808080"/>
        </w:rPr>
        <w:t>(gegeben)</w:t>
      </w:r>
      <w:r>
        <w:rPr/>
        <w:t xml:space="preserve">.{{field-off:bible}} </w:t>
        <w:br/>
        <w:t>[[@BibleTOBIBLE:Mk 10:6]]</w:t>
      </w:r>
      <w:r>
        <w:rPr>
          <w:b/>
        </w:rPr>
        <w:t>6</w:t>
      </w:r>
      <w:r>
        <w:rPr/>
        <w:t xml:space="preserve"> {{field-on:bible}}Aber seit </w:t>
      </w:r>
      <w:r>
        <w:rPr>
          <w:b/>
          <w:color w:val="808080"/>
        </w:rPr>
        <w:t>[</w:t>
      </w:r>
      <w:r>
        <w:rPr/>
        <w:t>dem</w:t>
      </w:r>
      <w:r>
        <w:rPr>
          <w:b/>
          <w:color w:val="808080"/>
        </w:rPr>
        <w:t>]</w:t>
      </w:r>
      <w:r>
        <w:rPr/>
        <w:t xml:space="preserve"> Beginn der Schöpfung »hat er sie männlich und weiblich gemacht.«</w:t>
      </w:r>
      <w:r>
        <w:rPr>
          <w:position w:val="8"/>
          <w:sz w:val="19"/>
        </w:rPr>
        <w:t>[[ ℘ &gt;&gt; BibleTOBIBLE:Ge 1:27]][[ ℘ &gt;&gt; BibleTOBIBLE:Ge 5:2]]</w:t>
      </w:r>
      <w:r>
        <w:rPr/>
        <w:t xml:space="preserve"> {{field-off:bible}} </w:t>
        <w:br/>
        <w:t>[[@BibleTOBIBLE:Mk 10:7]]</w:t>
      </w:r>
      <w:r>
        <w:rPr>
          <w:b/>
        </w:rPr>
        <w:t>7</w:t>
      </w:r>
      <w:r>
        <w:rPr/>
        <w:t xml:space="preserve"> {{field-on:bible}}»Aus diesem Grund wird ein Mann seinen Vater und seine Mutter verlassen, und er wird sich mit seiner Frau vereinen </w:t>
      </w:r>
      <w:r>
        <w:rPr>
          <w:color w:val="808080"/>
        </w:rPr>
        <w:t>(zusammenschließen)</w:t>
      </w:r>
      <w:r>
        <w:rPr/>
        <w:t xml:space="preserve"> {{field-off:bible}} </w:t>
        <w:br/>
        <w:t>[[@BibleTOBIBLE:Mk 10:8]]</w:t>
      </w:r>
      <w:r>
        <w:rPr>
          <w:b/>
        </w:rPr>
        <w:t>8</w:t>
      </w:r>
      <w:r>
        <w:rPr/>
        <w:t xml:space="preserve"> {{field-on:bible}}und die beiden </w:t>
      </w:r>
      <w:r>
        <w:rPr>
          <w:color w:val="808080"/>
        </w:rPr>
        <w:t>(zwei)</w:t>
      </w:r>
      <w:r>
        <w:rPr/>
        <w:t xml:space="preserve"> werden zu einem Fleisch </w:t>
      </w:r>
      <w:r>
        <w:rPr>
          <w:color w:val="808080"/>
        </w:rPr>
        <w:t>(Körper)</w:t>
      </w:r>
      <w:r>
        <w:rPr/>
        <w:t xml:space="preserve"> </w:t>
      </w:r>
      <w:r>
        <w:rPr>
          <w:rStyle w:val="Funotenanker"/>
        </w:rPr>
        <w:footnoteReference w:customMarkFollows="1" w:id="1850"/>
        <w:t>e</w:t>
      </w:r>
      <w:r>
        <w:rPr/>
        <w:t xml:space="preserve"> sein </w:t>
      </w:r>
      <w:r>
        <w:rPr>
          <w:color w:val="808080"/>
        </w:rPr>
        <w:t>(werden)</w:t>
      </w:r>
      <w:r>
        <w:rPr/>
        <w:t>«,</w:t>
      </w:r>
      <w:r>
        <w:rPr>
          <w:position w:val="8"/>
          <w:sz w:val="19"/>
        </w:rPr>
        <w:t>[[ ℘ &gt;&gt; BibleTOBIBLE:Ge 2:24]]</w:t>
      </w:r>
      <w:r>
        <w:rPr/>
        <w:t xml:space="preserve"> daher sind sie nicht länger zwei, sondern ein Fleisch </w:t>
      </w:r>
      <w:r>
        <w:rPr>
          <w:color w:val="808080"/>
        </w:rPr>
        <w:t>(Körper)</w:t>
      </w:r>
      <w:r>
        <w:rPr/>
        <w:t xml:space="preserve">.{{field-off:bible}} </w:t>
        <w:br/>
        <w:t>[[@BibleTOBIBLE:Mk 10:9]]</w:t>
      </w:r>
      <w:r>
        <w:rPr>
          <w:b/>
        </w:rPr>
        <w:t>9</w:t>
      </w:r>
      <w:r>
        <w:rPr/>
        <w:t xml:space="preserve"> {{field-on:bible}}Was Gott verbunden </w:t>
      </w:r>
      <w:r>
        <w:rPr>
          <w:color w:val="808080"/>
        </w:rPr>
        <w:t>(vereinigt, zusammengefügt)</w:t>
      </w:r>
      <w:r>
        <w:rPr/>
        <w:t xml:space="preserve"> hat, das soll </w:t>
      </w:r>
      <w:r>
        <w:rPr>
          <w:color w:val="808080"/>
        </w:rPr>
        <w:t>(darf)</w:t>
      </w:r>
      <w:r>
        <w:rPr/>
        <w:t xml:space="preserve"> </w:t>
      </w:r>
      <w:r>
        <w:rPr>
          <w:rStyle w:val="Funotenanker"/>
        </w:rPr>
        <w:footnoteReference w:customMarkFollows="1" w:id="1851"/>
        <w:t>f</w:t>
      </w:r>
      <w:r>
        <w:rPr/>
        <w:t xml:space="preserve"> darum ein </w:t>
      </w:r>
      <w:r>
        <w:rPr>
          <w:color w:val="808080"/>
        </w:rPr>
        <w:t>(</w:t>
      </w:r>
      <w:r>
        <w:rPr>
          <w:b/>
          <w:color w:val="808080"/>
        </w:rPr>
        <w:t>[</w:t>
      </w:r>
      <w:r>
        <w:rPr>
          <w:color w:val="808080"/>
        </w:rPr>
        <w:t>der</w:t>
      </w:r>
      <w:r>
        <w:rPr>
          <w:b/>
          <w:color w:val="808080"/>
        </w:rPr>
        <w:t>]</w:t>
      </w:r>
      <w:r>
        <w:rPr>
          <w:color w:val="808080"/>
        </w:rPr>
        <w:t>)</w:t>
      </w:r>
      <w:r>
        <w:rPr/>
        <w:t xml:space="preserve"> Mensch nicht trennen.“{{field-off:bible}} </w:t>
        <w:br/>
        <w:t>[[@BibleTOBIBLE:Mk 10:10]]</w:t>
      </w:r>
      <w:r>
        <w:rPr>
          <w:b/>
        </w:rPr>
        <w:t>10</w:t>
      </w:r>
      <w:r>
        <w:rPr/>
        <w:t xml:space="preserve"> {{field-on:bible}}Als </w:t>
      </w:r>
      <w:r>
        <w:rPr>
          <w:color w:val="808080"/>
        </w:rPr>
        <w:t>(Und)</w:t>
      </w:r>
      <w:r>
        <w:rPr/>
        <w:t xml:space="preserve"> </w:t>
      </w:r>
      <w:r>
        <w:rPr>
          <w:rStyle w:val="Funotenanker"/>
        </w:rPr>
        <w:footnoteReference w:customMarkFollows="1" w:id="1852"/>
        <w:t>g</w:t>
      </w:r>
      <w:r>
        <w:rPr/>
        <w:t xml:space="preserve"> sich die Jünger im Haus </w:t>
      </w:r>
      <w:r>
        <w:rPr>
          <w:color w:val="808080"/>
        </w:rPr>
        <w:t>(zu Hause)</w:t>
      </w:r>
      <w:r>
        <w:rPr/>
        <w:t xml:space="preserve"> bei ihm noch einmal </w:t>
      </w:r>
      <w:r>
        <w:rPr>
          <w:color w:val="808080"/>
        </w:rPr>
        <w:t>(wieder)</w:t>
      </w:r>
      <w:r>
        <w:rPr/>
        <w:t xml:space="preserve"> danach erkundigten </w:t>
      </w:r>
      <w:r>
        <w:rPr>
          <w:color w:val="808080"/>
        </w:rPr>
        <w:t>(fragten)</w:t>
      </w:r>
      <w:r>
        <w:rPr/>
        <w:t xml:space="preserve">,{{field-off:bible}} </w:t>
        <w:br/>
        <w:t>[[@BibleTOBIBLE:Mk 10:11]]</w:t>
      </w:r>
      <w:r>
        <w:rPr>
          <w:b/>
        </w:rPr>
        <w:t>11</w:t>
      </w:r>
      <w:r>
        <w:rPr/>
        <w:t xml:space="preserve"> {{field-on:bible}}da </w:t>
      </w:r>
      <w:r>
        <w:rPr>
          <w:color w:val="808080"/>
        </w:rPr>
        <w:t>(und)</w:t>
      </w:r>
      <w:r>
        <w:rPr/>
        <w:t xml:space="preserve"> sagte er zu ihnen: „Jeder, der </w:t>
      </w:r>
      <w:r>
        <w:rPr>
          <w:color w:val="808080"/>
        </w:rPr>
        <w:t>(Wer immer)</w:t>
      </w:r>
      <w:r>
        <w:rPr/>
        <w:t xml:space="preserve"> sich von seiner Frau scheidet und eine andere heiratet, bricht an ihr die Ehe, </w:t>
      </w:r>
      <w:r>
        <w:rPr>
          <w:rStyle w:val="Funotenanker"/>
        </w:rPr>
        <w:footnoteReference w:customMarkFollows="1" w:id="1853"/>
        <w:t>h</w:t>
      </w:r>
      <w:r>
        <w:rPr/>
        <w:t xml:space="preserve"> {{field-off:bible}} </w:t>
        <w:br/>
        <w:t>[[@BibleTOBIBLE:Mk 10:12]]</w:t>
      </w:r>
      <w:r>
        <w:rPr>
          <w:b/>
        </w:rPr>
        <w:t>12</w:t>
      </w:r>
      <w:r>
        <w:rPr/>
        <w:t xml:space="preserve"> {{field-on:bible}}und wenn sie sich von ihrem Mann geschieden hat und </w:t>
      </w:r>
      <w:r>
        <w:rPr>
          <w:rStyle w:val="Funotenanker"/>
        </w:rPr>
        <w:footnoteReference w:customMarkFollows="1" w:id="1854"/>
        <w:t>i</w:t>
      </w:r>
      <w:r>
        <w:rPr/>
        <w:t xml:space="preserve"> einen anderen heiratet, bricht sie die Ehe.“{{field-off:bible}} </w:t>
        <w:br/>
        <w:t>[[@BibleTOBIBLE:Mk 10:13]]</w:t>
      </w:r>
      <w:r>
        <w:rPr>
          <w:b/>
        </w:rPr>
        <w:t>13</w:t>
      </w:r>
      <w:r>
        <w:rPr/>
        <w:t xml:space="preserve"> {{field-on:bible}}Und </w:t>
      </w:r>
      <w:r>
        <w:rPr>
          <w:b/>
          <w:color w:val="808080"/>
        </w:rPr>
        <w:t>[</w:t>
      </w:r>
      <w:r>
        <w:rPr/>
        <w:t>die Leute</w:t>
      </w:r>
      <w:r>
        <w:rPr>
          <w:b/>
          <w:color w:val="808080"/>
        </w:rPr>
        <w:t>]</w:t>
      </w:r>
      <w:r>
        <w:rPr/>
        <w:t xml:space="preserve"> versuchten, Kinder zu ihm zu bringen </w:t>
      </w:r>
      <w:r>
        <w:rPr>
          <w:color w:val="808080"/>
        </w:rPr>
        <w:t>(brachten)</w:t>
      </w:r>
      <w:r>
        <w:rPr/>
        <w:t xml:space="preserve">, um </w:t>
      </w:r>
      <w:r>
        <w:rPr>
          <w:strike/>
          <w:color w:val="808080"/>
        </w:rPr>
        <w:t>{er}</w:t>
      </w:r>
      <w:r>
        <w:rPr/>
        <w:t xml:space="preserve"> sie zu berühren, </w:t>
      </w:r>
      <w:r>
        <w:rPr>
          <w:rStyle w:val="Funotenanker"/>
        </w:rPr>
        <w:footnoteReference w:customMarkFollows="1" w:id="1855"/>
        <w:t>j</w:t>
      </w:r>
      <w:r>
        <w:rPr/>
        <w:t xml:space="preserve"> aber die Jünger wiesen sie unfreundlich ab </w:t>
      </w:r>
      <w:r>
        <w:rPr>
          <w:color w:val="808080"/>
        </w:rPr>
        <w:t>(schimpften sie)</w:t>
      </w:r>
      <w:r>
        <w:rPr/>
        <w:t xml:space="preserve"> </w:t>
      </w:r>
      <w:r>
        <w:rPr>
          <w:rStyle w:val="Funotenanker"/>
        </w:rPr>
        <w:footnoteReference w:customMarkFollows="1" w:id="1856"/>
        <w:t>k</w:t>
      </w:r>
      <w:r>
        <w:rPr/>
        <w:t xml:space="preserve">.{{field-off:bible}} </w:t>
        <w:br/>
        <w:t>[[@BibleTOBIBLE:Mk 10:14]]</w:t>
      </w:r>
      <w:r>
        <w:rPr>
          <w:b/>
        </w:rPr>
        <w:t>14</w:t>
      </w:r>
      <w:r>
        <w:rPr/>
        <w:t xml:space="preserve"> {{field-on:bible}}Doch als Jesus </w:t>
      </w:r>
      <w:r>
        <w:rPr>
          <w:b/>
          <w:color w:val="808080"/>
        </w:rPr>
        <w:t>[</w:t>
      </w:r>
      <w:r>
        <w:rPr/>
        <w:t>das</w:t>
      </w:r>
      <w:r>
        <w:rPr>
          <w:b/>
          <w:color w:val="808080"/>
        </w:rPr>
        <w:t>]</w:t>
      </w:r>
      <w:r>
        <w:rPr/>
        <w:t xml:space="preserve"> sah, </w:t>
      </w:r>
      <w:r>
        <w:rPr>
          <w:rStyle w:val="Funotenanker"/>
        </w:rPr>
        <w:footnoteReference w:customMarkFollows="1" w:id="1857"/>
        <w:t>l</w:t>
      </w:r>
      <w:r>
        <w:rPr/>
        <w:t xml:space="preserve"> wurde er ärgerlich </w:t>
      </w:r>
      <w:r>
        <w:rPr>
          <w:color w:val="808080"/>
        </w:rPr>
        <w:t>(ungehalten)</w:t>
      </w:r>
      <w:r>
        <w:rPr/>
        <w:t xml:space="preserve"> und sagte zu ihnen: „Lasst die Kinder zu mir kommen! Haltet sie nicht auf, denn solchen </w:t>
      </w:r>
      <w:r>
        <w:rPr>
          <w:b/>
          <w:color w:val="808080"/>
        </w:rPr>
        <w:t>[</w:t>
      </w:r>
      <w:r>
        <w:rPr/>
        <w:t>wie ihnen</w:t>
      </w:r>
      <w:r>
        <w:rPr>
          <w:b/>
          <w:color w:val="808080"/>
        </w:rPr>
        <w:t>]</w:t>
      </w:r>
      <w:r>
        <w:rPr/>
        <w:t xml:space="preserve"> gehört Gottes Reich </w:t>
      </w:r>
      <w:r>
        <w:rPr>
          <w:color w:val="808080"/>
        </w:rPr>
        <w:t>(Herrschaft)</w:t>
      </w:r>
      <w:r>
        <w:rPr/>
        <w:t xml:space="preserve">.{{field-off:bible}} </w:t>
        <w:br/>
        <w:t>[[@BibleTOBIBLE:Mk 10:15]]</w:t>
      </w:r>
      <w:r>
        <w:rPr>
          <w:b/>
        </w:rPr>
        <w:t>15</w:t>
      </w:r>
      <w:r>
        <w:rPr/>
        <w:t xml:space="preserve"> {{field-on:bible}}Ja </w:t>
      </w:r>
      <w:r>
        <w:rPr>
          <w:color w:val="808080"/>
        </w:rPr>
        <w:t>(Amen, Wahrlich)</w:t>
      </w:r>
      <w:r>
        <w:rPr/>
        <w:t xml:space="preserve">, ich sage euch: </w:t>
      </w:r>
      <w:r>
        <w:rPr>
          <w:rStyle w:val="Funotenanker"/>
        </w:rPr>
        <w:footnoteReference w:customMarkFollows="1" w:id="1858"/>
        <w:t>m</w:t>
      </w:r>
      <w:r>
        <w:rPr/>
        <w:t xml:space="preserve"> Jeder, der </w:t>
      </w:r>
      <w:r>
        <w:rPr>
          <w:color w:val="808080"/>
        </w:rPr>
        <w:t>(Wer immer)</w:t>
      </w:r>
      <w:r>
        <w:rPr/>
        <w:t xml:space="preserve"> Gottes Reich </w:t>
      </w:r>
      <w:r>
        <w:rPr>
          <w:color w:val="808080"/>
        </w:rPr>
        <w:t>(Herrschaft)</w:t>
      </w:r>
      <w:r>
        <w:rPr/>
        <w:t xml:space="preserve"> nicht wie ein Kind annimmt, </w:t>
      </w:r>
      <w:r>
        <w:rPr>
          <w:rStyle w:val="Funotenanker"/>
        </w:rPr>
        <w:footnoteReference w:customMarkFollows="1" w:id="1859"/>
        <w:t>n</w:t>
      </w:r>
      <w:r>
        <w:rPr/>
        <w:t xml:space="preserve"> kommt bestimmt nicht hinein.“{{field-off:bible}} </w:t>
        <w:br/>
        <w:t>[[@BibleTOBIBLE:Mk 10:16]]</w:t>
      </w:r>
      <w:r>
        <w:rPr>
          <w:b/>
        </w:rPr>
        <w:t>16</w:t>
      </w:r>
      <w:r>
        <w:rPr/>
        <w:t xml:space="preserve"> {{field-on:bible}}Und er nahm sie in die Arme und </w:t>
      </w:r>
      <w:r>
        <w:rPr>
          <w:rStyle w:val="Funotenanker"/>
        </w:rPr>
        <w:footnoteReference w:customMarkFollows="1" w:id="1860"/>
        <w:t>o</w:t>
      </w:r>
      <w:r>
        <w:rPr/>
        <w:t xml:space="preserve"> segnete sie, indem er ihnen die Hände auflegte. </w:t>
      </w:r>
      <w:r>
        <w:rPr>
          <w:rStyle w:val="Funotenanker"/>
        </w:rPr>
        <w:footnoteReference w:customMarkFollows="1" w:id="1861"/>
        <w:t>p</w:t>
      </w:r>
      <w:r>
        <w:rPr/>
        <w:t xml:space="preserve"> {{field-off:bible}} </w:t>
        <w:br/>
        <w:t>[[@BibleTOBIBLE:Mk 10:17]]</w:t>
      </w:r>
      <w:r>
        <w:rPr>
          <w:b/>
        </w:rPr>
        <w:t>17</w:t>
      </w:r>
      <w:r>
        <w:rPr/>
        <w:t xml:space="preserve"> {{field-on:bible}}Und als er nach draußen auf die Straße kam </w:t>
      </w:r>
      <w:r>
        <w:rPr>
          <w:color w:val="808080"/>
        </w:rPr>
        <w:t>(sich auf den Weg machte)</w:t>
      </w:r>
      <w:r>
        <w:rPr/>
        <w:t xml:space="preserve">, kam einer angerannt und kniete sich vor ihm hin. </w:t>
      </w:r>
      <w:r>
        <w:rPr>
          <w:rStyle w:val="Funotenanker"/>
        </w:rPr>
        <w:footnoteReference w:customMarkFollows="1" w:id="1862"/>
        <w:t>q</w:t>
      </w:r>
      <w:r>
        <w:rPr/>
        <w:t xml:space="preserve"> Er fragte ihn: „Guter Lehrer, was muss </w:t>
      </w:r>
      <w:r>
        <w:rPr>
          <w:color w:val="808080"/>
        </w:rPr>
        <w:t>(soll)</w:t>
      </w:r>
      <w:r>
        <w:rPr/>
        <w:t xml:space="preserve"> ich tun, um </w:t>
      </w:r>
      <w:r>
        <w:rPr>
          <w:strike/>
          <w:color w:val="808080"/>
        </w:rPr>
        <w:t>{ich}</w:t>
      </w:r>
      <w:r>
        <w:rPr/>
        <w:t xml:space="preserve"> ewiges Leben zu bekommen </w:t>
      </w:r>
      <w:r>
        <w:rPr>
          <w:color w:val="808080"/>
        </w:rPr>
        <w:t>(Anteil am … zu erhalten; erben)</w:t>
      </w:r>
      <w:r>
        <w:rPr/>
        <w:t xml:space="preserve">?“{{field-off:bible}}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w:t>
      </w:r>
      <w:r>
        <w:rPr>
          <w:color w:val="808080"/>
        </w:rPr>
        <w:t>(morde)</w:t>
      </w:r>
      <w:r>
        <w:rPr/>
        <w:t xml:space="preserve"> nicht, brich die Ehe nicht, stiehl nicht, mache keine Falschaussage;</w:t>
      </w:r>
      <w:r>
        <w:rPr>
          <w:position w:val="8"/>
          <w:sz w:val="19"/>
        </w:rPr>
        <w:t>[[ ℘ &gt;&gt; BibleTOBIBLE:Ex 20:13]]</w:t>
      </w:r>
      <w:r>
        <w:rPr/>
        <w:t xml:space="preserve"> unterschlage </w:t>
      </w:r>
      <w:r>
        <w:rPr>
          <w:color w:val="808080"/>
        </w:rPr>
        <w:t>(betrüge, enthalte vor, raube)</w:t>
      </w:r>
      <w:r>
        <w:rPr/>
        <w:t xml:space="preserve"> nicht; </w:t>
      </w:r>
      <w:r>
        <w:rPr>
          <w:rStyle w:val="Funotenanker"/>
        </w:rPr>
        <w:footnoteReference w:customMarkFollows="1" w:id="1863"/>
        <w:t>r</w:t>
      </w:r>
      <w:r>
        <w:rPr/>
        <w:t xml:space="preserve"> ehre deinen Vater und deine Mutter.«</w:t>
      </w:r>
      <w:r>
        <w:rPr>
          <w:position w:val="8"/>
          <w:sz w:val="19"/>
        </w:rPr>
        <w:t>[[ ℘ &gt;&gt; BibleTOBIBLE:Ex 20:12]]</w:t>
      </w:r>
      <w:r>
        <w:rPr/>
        <w:t xml:space="preserve"> {{field-off:bible}} </w:t>
        <w:br/>
        <w:t>[[@BibleTOBIBLE:Mk 10:20]]</w:t>
      </w:r>
      <w:r>
        <w:rPr>
          <w:b/>
        </w:rPr>
        <w:t>20</w:t>
      </w:r>
      <w:r>
        <w:rPr/>
        <w:t xml:space="preserve"> {{field-on:bible}}Der </w:t>
      </w:r>
      <w:r>
        <w:rPr>
          <w:b/>
          <w:color w:val="808080"/>
        </w:rPr>
        <w:t>[</w:t>
      </w:r>
      <w:r>
        <w:rPr/>
        <w:t>Mann</w:t>
      </w:r>
      <w:r>
        <w:rPr>
          <w:b/>
          <w:color w:val="808080"/>
        </w:rPr>
        <w:t>]</w:t>
      </w:r>
      <w:r>
        <w:rPr/>
        <w:t xml:space="preserve"> </w:t>
      </w:r>
      <w:r>
        <w:rPr>
          <w:strike/>
          <w:color w:val="808080"/>
        </w:rPr>
        <w:t>{aber}</w:t>
      </w:r>
      <w:r>
        <w:rPr/>
        <w:t xml:space="preserve"> entgegnete </w:t>
      </w:r>
      <w:r>
        <w:rPr>
          <w:color w:val="808080"/>
        </w:rPr>
        <w:t>(sagte)</w:t>
      </w:r>
      <w:r>
        <w:rPr/>
        <w:t xml:space="preserve"> </w:t>
      </w:r>
      <w:r>
        <w:rPr>
          <w:strike/>
          <w:color w:val="808080"/>
        </w:rPr>
        <w:t>{ihm}</w:t>
      </w:r>
      <w:r>
        <w:rPr/>
        <w:t xml:space="preserve">: »Lehrer, das alles habe ich seit meiner Jugend befolgt </w:t>
      </w:r>
      <w:r>
        <w:rPr>
          <w:color w:val="808080"/>
        </w:rPr>
        <w:t>(beachtet)</w:t>
      </w:r>
      <w:r>
        <w:rPr/>
        <w:t xml:space="preserve"> </w:t>
      </w:r>
      <w:r>
        <w:rPr>
          <w:rStyle w:val="Funotenanker"/>
        </w:rPr>
        <w:footnoteReference w:customMarkFollows="1" w:id="1864"/>
        <w:t>s</w:t>
      </w:r>
      <w:r>
        <w:rPr/>
        <w:t xml:space="preserve">.«{{field-off:bible}} </w:t>
        <w:br/>
        <w:t>[[@BibleTOBIBLE:Mk 10:21]]</w:t>
      </w:r>
      <w:r>
        <w:rPr>
          <w:b/>
        </w:rPr>
        <w:t>21</w:t>
      </w:r>
      <w:r>
        <w:rPr/>
        <w:t xml:space="preserve"> {{field-on:bible}}Jesus </w:t>
      </w:r>
      <w:r>
        <w:rPr>
          <w:strike/>
          <w:color w:val="808080"/>
        </w:rPr>
        <w:t>{aber}</w:t>
      </w:r>
      <w:r>
        <w:rPr/>
        <w:t xml:space="preserve"> sah ihn an und </w:t>
      </w:r>
      <w:r>
        <w:rPr>
          <w:rStyle w:val="Funotenanker"/>
        </w:rPr>
        <w:footnoteReference w:customMarkFollows="1" w:id="1865"/>
        <w:t>t</w:t>
      </w:r>
      <w:r>
        <w:rPr/>
        <w:t xml:space="preserve"> gewann ihn lieb </w:t>
      </w:r>
      <w:r>
        <w:rPr>
          <w:rStyle w:val="Funotenanker"/>
        </w:rPr>
        <w:footnoteReference w:customMarkFollows="1" w:id="1866"/>
        <w:t>u</w:t>
      </w:r>
      <w:r>
        <w:rPr/>
        <w:t xml:space="preserve">, und er sagte zu ihm: »Eins fehlt dir </w:t>
      </w:r>
      <w:r>
        <w:rPr>
          <w:b/>
          <w:color w:val="808080"/>
        </w:rPr>
        <w:t>[</w:t>
      </w:r>
      <w:r>
        <w:rPr/>
        <w:t>noch</w:t>
      </w:r>
      <w:r>
        <w:rPr>
          <w:b/>
          <w:color w:val="808080"/>
        </w:rPr>
        <w:t>]</w:t>
      </w:r>
      <w:r>
        <w:rPr/>
        <w:t xml:space="preserve">: Geh, verkaufe alles, was du hast, und gib </w:t>
      </w:r>
      <w:r>
        <w:rPr>
          <w:b/>
          <w:color w:val="808080"/>
        </w:rPr>
        <w:t>[</w:t>
      </w:r>
      <w:r>
        <w:rPr/>
        <w:t>den Erlös</w:t>
      </w:r>
      <w:r>
        <w:rPr>
          <w:b/>
          <w:color w:val="808080"/>
        </w:rPr>
        <w:t>]</w:t>
      </w:r>
      <w:r>
        <w:rPr/>
        <w:t xml:space="preserve"> den Armen, dann </w:t>
      </w:r>
      <w:r>
        <w:rPr>
          <w:color w:val="808080"/>
        </w:rPr>
        <w:t>(und)</w:t>
      </w:r>
      <w:r>
        <w:rPr/>
        <w:t xml:space="preserve"> wirst du einen Schatz im Himmel haben. Und </w:t>
      </w:r>
      <w:r>
        <w:rPr>
          <w:b/>
          <w:color w:val="808080"/>
        </w:rPr>
        <w:t>[</w:t>
      </w:r>
      <w:r>
        <w:rPr/>
        <w:t>dann</w:t>
      </w:r>
      <w:r>
        <w:rPr>
          <w:b/>
          <w:color w:val="808080"/>
        </w:rPr>
        <w:t>]</w:t>
      </w:r>
      <w:r>
        <w:rPr/>
        <w:t xml:space="preserve"> komm, folge mir nach!«{{field-off:bible}} </w:t>
        <w:br/>
        <w:t>[[@BibleTOBIBLE:Mk 10:22]]</w:t>
      </w:r>
      <w:r>
        <w:rPr>
          <w:b/>
        </w:rPr>
        <w:t>22</w:t>
      </w:r>
      <w:r>
        <w:rPr/>
        <w:t xml:space="preserve"> {{field-on:bible}}Doch der </w:t>
      </w:r>
      <w:r>
        <w:rPr>
          <w:b/>
          <w:color w:val="808080"/>
        </w:rPr>
        <w:t>[</w:t>
      </w:r>
      <w:r>
        <w:rPr/>
        <w:t>Mann</w:t>
      </w:r>
      <w:r>
        <w:rPr>
          <w:b/>
          <w:color w:val="808080"/>
        </w:rPr>
        <w:t>]</w:t>
      </w:r>
      <w:r>
        <w:rPr/>
        <w:t xml:space="preserve"> war erschüttert </w:t>
      </w:r>
      <w:r>
        <w:rPr>
          <w:color w:val="808080"/>
        </w:rPr>
        <w:t>(getroffen; enttäuscht)</w:t>
      </w:r>
      <w:r>
        <w:rPr/>
        <w:t xml:space="preserve"> </w:t>
      </w:r>
      <w:r>
        <w:rPr>
          <w:rStyle w:val="Funotenanker"/>
        </w:rPr>
        <w:footnoteReference w:customMarkFollows="1" w:id="1867"/>
        <w:t>v</w:t>
      </w:r>
      <w:r>
        <w:rPr/>
        <w:t xml:space="preserve"> über diese Forderung </w:t>
      </w:r>
      <w:r>
        <w:rPr>
          <w:color w:val="808080"/>
        </w:rPr>
        <w:t>(das Gesagte; Wort)</w:t>
      </w:r>
      <w:r>
        <w:rPr/>
        <w:t xml:space="preserve"> und </w:t>
      </w:r>
      <w:r>
        <w:rPr>
          <w:rStyle w:val="Funotenanker"/>
        </w:rPr>
        <w:footnoteReference w:customMarkFollows="1" w:id="1868"/>
        <w:t>w</w:t>
      </w:r>
      <w:r>
        <w:rPr/>
        <w:t xml:space="preserve"> ging traurig davon, denn er besaß </w:t>
      </w:r>
      <w:r>
        <w:rPr>
          <w:rStyle w:val="Funotenanker"/>
        </w:rPr>
        <w:footnoteReference w:customMarkFollows="1" w:id="1869"/>
        <w:t>x</w:t>
      </w:r>
      <w:r>
        <w:rPr/>
        <w:t xml:space="preserve"> viele Güter.{{field-off:bible}} </w:t>
        <w:br/>
        <w:t>[[@BibleTOBIBLE:Mk 10:23]]</w:t>
      </w:r>
      <w:r>
        <w:rPr>
          <w:b/>
        </w:rPr>
        <w:t>23</w:t>
      </w:r>
      <w:r>
        <w:rPr/>
        <w:t xml:space="preserve"> {{field-on:bible}}Und Jesus schaute sich um und </w:t>
      </w:r>
      <w:r>
        <w:rPr>
          <w:rStyle w:val="Funotenanker"/>
        </w:rPr>
        <w:footnoteReference w:customMarkFollows="1" w:id="1870"/>
        <w:t>y</w:t>
      </w:r>
      <w:r>
        <w:rPr/>
        <w:t xml:space="preserve"> sagte zu seinen Jüngern </w:t>
      </w:r>
      <w:r>
        <w:rPr>
          <w:color w:val="808080"/>
        </w:rPr>
        <w:t>(Schülern)</w:t>
      </w:r>
      <w:r>
        <w:rPr/>
        <w:t xml:space="preserve">: »Wie schwer werden </w:t>
      </w:r>
      <w:r>
        <w:rPr>
          <w:b/>
          <w:color w:val="808080"/>
        </w:rPr>
        <w:t>[</w:t>
      </w:r>
      <w:r>
        <w:rPr/>
        <w:t>es</w:t>
      </w:r>
      <w:r>
        <w:rPr>
          <w:b/>
          <w:color w:val="808080"/>
        </w:rPr>
        <w:t>]</w:t>
      </w:r>
      <w:r>
        <w:rPr/>
        <w:t xml:space="preserve"> die Wohlhabenden </w:t>
      </w:r>
      <w:r>
        <w:rPr>
          <w:rStyle w:val="Funotenanker"/>
        </w:rPr>
        <w:footnoteReference w:customMarkFollows="1" w:id="1871"/>
        <w:t>z</w:t>
      </w:r>
      <w:r>
        <w:rPr/>
        <w:t xml:space="preserve"> </w:t>
      </w:r>
      <w:r>
        <w:rPr>
          <w:b/>
          <w:color w:val="808080"/>
        </w:rPr>
        <w:t>[</w:t>
      </w:r>
      <w:r>
        <w:rPr/>
        <w:t>haben</w:t>
      </w:r>
      <w:r>
        <w:rPr>
          <w:b/>
          <w:color w:val="808080"/>
        </w:rPr>
        <w:t>]</w:t>
      </w:r>
      <w:r>
        <w:rPr/>
        <w:t xml:space="preserve">, in Gottes Reich </w:t>
      </w:r>
      <w:r>
        <w:rPr>
          <w:color w:val="808080"/>
        </w:rPr>
        <w:t>(Königsherrschaft)</w:t>
      </w:r>
      <w:r>
        <w:rPr/>
        <w:t xml:space="preserve"> zu kommen!«{{field-off:bible}} </w:t>
        <w:br/>
        <w:t>[[@BibleTOBIBLE:Mk 10:24]]</w:t>
      </w:r>
      <w:r>
        <w:rPr>
          <w:b/>
        </w:rPr>
        <w:t>24</w:t>
      </w:r>
      <w:r>
        <w:rPr/>
        <w:t xml:space="preserve"> {{field-on:bible}}Die Jünger </w:t>
      </w:r>
      <w:r>
        <w:rPr>
          <w:strike/>
          <w:color w:val="808080"/>
        </w:rPr>
        <w:t>{aber}</w:t>
      </w:r>
      <w:r>
        <w:rPr/>
        <w:t xml:space="preserve"> waren von seinen Worten überrascht </w:t>
      </w:r>
      <w:r>
        <w:rPr>
          <w:color w:val="808080"/>
        </w:rPr>
        <w:t>(bestürzt, entgeistert)</w:t>
      </w:r>
      <w:r>
        <w:rPr/>
        <w:t xml:space="preserve"> </w:t>
      </w:r>
      <w:r>
        <w:rPr>
          <w:rStyle w:val="Funotenanker"/>
        </w:rPr>
        <w:footnoteReference w:customMarkFollows="1" w:id="1872"/>
        <w:t>aa</w:t>
      </w:r>
      <w:r>
        <w:rPr/>
        <w:t xml:space="preserve">. Doch Jesus sagte noch einmal zu ihnen </w:t>
      </w:r>
      <w:r>
        <w:rPr>
          <w:rStyle w:val="Funotenanker"/>
        </w:rPr>
        <w:footnoteReference w:customMarkFollows="1" w:id="1873"/>
        <w:t>ab</w:t>
      </w:r>
      <w:r>
        <w:rPr/>
        <w:t xml:space="preserve">: »Kinder </w:t>
      </w:r>
      <w:r>
        <w:rPr>
          <w:rStyle w:val="Funotenanker"/>
        </w:rPr>
        <w:footnoteReference w:customMarkFollows="1" w:id="1874"/>
        <w:t>ac</w:t>
      </w:r>
      <w:r>
        <w:rPr/>
        <w:t xml:space="preserve">, wie schwer ist es, in Gottes Reich </w:t>
      </w:r>
      <w:r>
        <w:rPr>
          <w:color w:val="808080"/>
        </w:rPr>
        <w:t>(Königsherrschaft)</w:t>
      </w:r>
      <w:r>
        <w:rPr/>
        <w:t xml:space="preserve"> zu kommen!{{field-off:bible}} </w:t>
        <w:br/>
        <w:t>[[@BibleTOBIBLE:Mk 10:25]]</w:t>
      </w:r>
      <w:r>
        <w:rPr>
          <w:b/>
        </w:rPr>
        <w:t>25</w:t>
      </w:r>
      <w:r>
        <w:rPr/>
        <w:t xml:space="preserve"> {{field-on:bible}}Es ist leichter </w:t>
      </w:r>
      <w:r>
        <w:rPr>
          <w:b/>
          <w:color w:val="808080"/>
        </w:rPr>
        <w:t>[</w:t>
      </w:r>
      <w:r>
        <w:rPr/>
        <w:t>für</w:t>
      </w:r>
      <w:r>
        <w:rPr>
          <w:b/>
          <w:color w:val="808080"/>
        </w:rPr>
        <w:t>]</w:t>
      </w:r>
      <w:r>
        <w:rPr/>
        <w:t xml:space="preserve"> ein Kamel </w:t>
      </w:r>
      <w:r>
        <w:rPr>
          <w:rStyle w:val="Funotenanker"/>
        </w:rPr>
        <w:footnoteReference w:customMarkFollows="1" w:id="1875"/>
        <w:t>ad</w:t>
      </w:r>
      <w:r>
        <w:rPr/>
        <w:t xml:space="preserve">, durch das Nadelöhr </w:t>
      </w:r>
      <w:r>
        <w:rPr>
          <w:rStyle w:val="Funotenanker"/>
        </w:rPr>
        <w:footnoteReference w:customMarkFollows="1" w:id="1876"/>
        <w:t>ae</w:t>
      </w:r>
      <w:r>
        <w:rPr/>
        <w:t xml:space="preserve"> zu kommen, als </w:t>
      </w:r>
      <w:r>
        <w:rPr>
          <w:b/>
          <w:color w:val="808080"/>
        </w:rPr>
        <w:t>[</w:t>
      </w:r>
      <w:r>
        <w:rPr/>
        <w:t>für</w:t>
      </w:r>
      <w:r>
        <w:rPr>
          <w:b/>
          <w:color w:val="808080"/>
        </w:rPr>
        <w:t>]</w:t>
      </w:r>
      <w:r>
        <w:rPr/>
        <w:t xml:space="preserve"> einen Reichen, in Gottes Reich </w:t>
      </w:r>
      <w:r>
        <w:rPr>
          <w:color w:val="808080"/>
        </w:rPr>
        <w:t>(Königsherrschaft)</w:t>
      </w:r>
      <w:r>
        <w:rPr/>
        <w:t xml:space="preserve"> zu kommen.«{{field-off:bible}} </w:t>
        <w:br/>
        <w:t>[[@BibleTOBIBLE:Mk 10:26]]</w:t>
      </w:r>
      <w:r>
        <w:rPr>
          <w:b/>
        </w:rPr>
        <w:t>26</w:t>
      </w:r>
      <w:r>
        <w:rPr/>
        <w:t xml:space="preserve"> {{field-on:bible}}Da waren sie völlig entgeistert </w:t>
      </w:r>
      <w:r>
        <w:rPr>
          <w:color w:val="808080"/>
        </w:rPr>
        <w:t>(außer sich, erstaunt, überwältigt)</w:t>
      </w:r>
      <w:r>
        <w:rPr/>
        <w:t xml:space="preserve"> und sagten </w:t>
      </w:r>
      <w:r>
        <w:rPr>
          <w:rStyle w:val="Funotenanker"/>
        </w:rPr>
        <w:footnoteReference w:customMarkFollows="1" w:id="1877"/>
        <w:t>af</w:t>
      </w:r>
      <w:r>
        <w:rPr/>
        <w:t xml:space="preserve"> zu einander: »Wer kann dann gerettet werden?!?«{{field-off:bible}} </w:t>
        <w:br/>
        <w:t>[[@BibleTOBIBLE:Mk 10:27]]</w:t>
      </w:r>
      <w:r>
        <w:rPr>
          <w:b/>
        </w:rPr>
        <w:t>27</w:t>
      </w:r>
      <w:r>
        <w:rPr/>
        <w:t xml:space="preserve"> {{field-on:bible}}Jesus sah sie an und </w:t>
      </w:r>
      <w:r>
        <w:rPr>
          <w:rStyle w:val="Funotenanker"/>
        </w:rPr>
        <w:footnoteReference w:customMarkFollows="1" w:id="1878"/>
        <w:t>ag</w:t>
      </w:r>
      <w:r>
        <w:rPr/>
        <w:t xml:space="preserve"> sagte: »Bei Menschen </w:t>
      </w:r>
      <w:r>
        <w:rPr>
          <w:b/>
          <w:color w:val="808080"/>
        </w:rPr>
        <w:t>[</w:t>
      </w:r>
      <w:r>
        <w:rPr/>
        <w:t>ist es</w:t>
      </w:r>
      <w:r>
        <w:rPr>
          <w:b/>
          <w:color w:val="808080"/>
        </w:rPr>
        <w:t>]</w:t>
      </w:r>
      <w:r>
        <w:rPr/>
        <w:t xml:space="preserve"> unmöglich, aber nicht bei Gott: Denn bei Gott </w:t>
      </w:r>
      <w:r>
        <w:rPr>
          <w:b/>
          <w:color w:val="808080"/>
        </w:rPr>
        <w:t>[</w:t>
      </w:r>
      <w:r>
        <w:rPr/>
        <w:t>ist</w:t>
      </w:r>
      <w:r>
        <w:rPr>
          <w:b/>
          <w:color w:val="808080"/>
        </w:rPr>
        <w:t>]</w:t>
      </w:r>
      <w:r>
        <w:rPr/>
        <w:t xml:space="preserve"> alles möglich.«{{field-off:bible}} </w:t>
        <w:br/>
        <w:t>[[@BibleTOBIBLE:Mk 10:28]]</w:t>
      </w:r>
      <w:r>
        <w:rPr>
          <w:b/>
        </w:rPr>
        <w:t>28</w:t>
      </w:r>
      <w:r>
        <w:rPr/>
        <w:t xml:space="preserve"> {{field-on:bible}}Petrus sagte </w:t>
      </w:r>
      <w:r>
        <w:rPr>
          <w:rStyle w:val="Funotenanker"/>
        </w:rPr>
        <w:footnoteReference w:customMarkFollows="1" w:id="1879"/>
        <w:t>ah</w:t>
      </w:r>
      <w:r>
        <w:rPr/>
        <w:t xml:space="preserve"> zu ihm: »Du weißt </w:t>
      </w:r>
      <w:r>
        <w:rPr>
          <w:color w:val="808080"/>
        </w:rPr>
        <w:t>(Siehe)</w:t>
      </w:r>
      <w:r>
        <w:rPr/>
        <w:t xml:space="preserve">, </w:t>
      </w:r>
      <w:r>
        <w:rPr>
          <w:rStyle w:val="Funotenanker"/>
        </w:rPr>
        <w:footnoteReference w:customMarkFollows="1" w:id="1880"/>
        <w:t>ai</w:t>
      </w:r>
      <w:r>
        <w:rPr/>
        <w:t xml:space="preserve"> wir haben alles verlassen und sind dir nachgefolgt </w:t>
      </w:r>
      <w:r>
        <w:rPr>
          <w:color w:val="808080"/>
        </w:rPr>
        <w:t>(haben uns dir angeschlossen)</w:t>
      </w:r>
      <w:r>
        <w:rPr/>
        <w:t xml:space="preserve">!«{{field-off:bible}} </w:t>
        <w:br/>
        <w:t>[[@BibleTOBIBLE:Mk 10:29]]</w:t>
      </w:r>
      <w:r>
        <w:rPr>
          <w:b/>
        </w:rPr>
        <w:t>29</w:t>
      </w:r>
      <w:r>
        <w:rPr/>
        <w:t xml:space="preserve"> {{field-on:bible}}Jesus sagte: »Ja </w:t>
      </w:r>
      <w:r>
        <w:rPr>
          <w:color w:val="808080"/>
        </w:rPr>
        <w:t>(Amen, Wahrlich)</w:t>
      </w:r>
      <w:r>
        <w:rPr/>
        <w:t xml:space="preserve">, ich sage euch: </w:t>
      </w:r>
      <w:r>
        <w:rPr>
          <w:rStyle w:val="Funotenanker"/>
        </w:rPr>
        <w:footnoteReference w:customMarkFollows="1" w:id="1881"/>
        <w:t>aj</w:t>
      </w:r>
      <w:r>
        <w:rPr/>
        <w:t xml:space="preserve"> Es gibt niemanden, der Haus </w:t>
      </w:r>
      <w:r>
        <w:rPr>
          <w:color w:val="808080"/>
        </w:rPr>
        <w:t>(Haushalt)</w:t>
      </w:r>
      <w:r>
        <w:rPr/>
        <w:t xml:space="preserve">, </w:t>
      </w:r>
      <w:r>
        <w:rPr>
          <w:strike/>
          <w:color w:val="808080"/>
        </w:rPr>
        <w:t>{oder}</w:t>
      </w:r>
      <w:r>
        <w:rPr/>
        <w:t xml:space="preserve"> Brüder oder Schwestern, </w:t>
      </w:r>
      <w:r>
        <w:rPr>
          <w:strike/>
          <w:color w:val="808080"/>
        </w:rPr>
        <w:t>{oder}</w:t>
      </w:r>
      <w:r>
        <w:rPr/>
        <w:t xml:space="preserve"> Mutter, </w:t>
      </w:r>
      <w:r>
        <w:rPr>
          <w:strike/>
          <w:color w:val="808080"/>
        </w:rPr>
        <w:t>{oder}</w:t>
      </w:r>
      <w:r>
        <w:rPr/>
        <w:t xml:space="preserve"> Vater oder Kinder oder Felder wegen mir und wegen des Evangeliums </w:t>
      </w:r>
      <w:r>
        <w:rPr>
          <w:color w:val="808080"/>
        </w:rPr>
        <w:t>(der Heilsbotschaft)</w:t>
      </w:r>
      <w:r>
        <w:rPr/>
        <w:t xml:space="preserve"> zurückgelassen </w:t>
      </w:r>
      <w:r>
        <w:rPr>
          <w:color w:val="808080"/>
        </w:rPr>
        <w:t>(verlassen)</w:t>
      </w:r>
      <w:r>
        <w:rPr/>
        <w:t xml:space="preserve"> hat,{{field-off:bible}} </w:t>
        <w:br/>
        <w:t>[[@BibleTOBIBLE:Mk 10:30]]</w:t>
      </w:r>
      <w:r>
        <w:rPr>
          <w:b/>
        </w:rPr>
        <w:t>30</w:t>
      </w:r>
      <w:r>
        <w:rPr/>
        <w:t xml:space="preserve"> {{field-on:bible}}der nicht </w:t>
      </w:r>
      <w:r>
        <w:rPr>
          <w:rStyle w:val="Funotenanker"/>
        </w:rPr>
        <w:footnoteReference w:customMarkFollows="1" w:id="1882"/>
        <w:t>ak</w:t>
      </w:r>
      <w:r>
        <w:rPr/>
        <w:t xml:space="preserve"> </w:t>
      </w:r>
      <w:r>
        <w:rPr>
          <w:b/>
          <w:color w:val="808080"/>
        </w:rPr>
        <w:t>[</w:t>
      </w:r>
      <w:r>
        <w:rPr/>
        <w:t>das</w:t>
      </w:r>
      <w:r>
        <w:rPr>
          <w:b/>
          <w:color w:val="808080"/>
        </w:rPr>
        <w:t>]</w:t>
      </w:r>
      <w:r>
        <w:rPr/>
        <w:t xml:space="preserve"> Hundertfache </w:t>
      </w:r>
      <w:r>
        <w:rPr>
          <w:b/>
          <w:color w:val="808080"/>
        </w:rPr>
        <w:t>[</w:t>
      </w:r>
      <w:r>
        <w:rPr/>
        <w:t>dafür</w:t>
      </w:r>
      <w:r>
        <w:rPr>
          <w:b/>
          <w:color w:val="808080"/>
        </w:rPr>
        <w:t>]</w:t>
      </w:r>
      <w:r>
        <w:rPr/>
        <w:t xml:space="preserve"> bekommen wird </w:t>
      </w:r>
      <w:r>
        <w:rPr>
          <w:color w:val="808080"/>
        </w:rPr>
        <w:t>(bekommt)</w:t>
      </w:r>
      <w:r>
        <w:rPr/>
        <w:t xml:space="preserve">: jetzt, in dieser Zeit, Häuser und Brüder, </w:t>
      </w:r>
      <w:r>
        <w:rPr>
          <w:strike/>
          <w:color w:val="808080"/>
        </w:rPr>
        <w:t>{und}</w:t>
      </w:r>
      <w:r>
        <w:rPr/>
        <w:t xml:space="preserve"> Schwestern, </w:t>
      </w:r>
      <w:r>
        <w:rPr>
          <w:strike/>
          <w:color w:val="808080"/>
        </w:rPr>
        <w:t>{und}</w:t>
      </w:r>
      <w:r>
        <w:rPr/>
        <w:t xml:space="preserve"> Mütter, </w:t>
      </w:r>
      <w:r>
        <w:rPr>
          <w:strike/>
          <w:color w:val="808080"/>
        </w:rPr>
        <w:t>{und}</w:t>
      </w:r>
      <w:r>
        <w:rPr/>
        <w:t xml:space="preserve"> Kinder und Felder, </w:t>
      </w:r>
      <w:r>
        <w:rPr>
          <w:b/>
          <w:color w:val="808080"/>
        </w:rPr>
        <w:t>[</w:t>
      </w:r>
      <w:r>
        <w:rPr/>
        <w:t>wenn auch</w:t>
      </w:r>
      <w:r>
        <w:rPr>
          <w:b/>
          <w:color w:val="808080"/>
        </w:rPr>
        <w:t>]</w:t>
      </w:r>
      <w:r>
        <w:rPr/>
        <w:t xml:space="preserve"> unter Verfolgungen, </w:t>
      </w:r>
      <w:r>
        <w:rPr>
          <w:rStyle w:val="Funotenanker"/>
        </w:rPr>
        <w:footnoteReference w:customMarkFollows="1" w:id="1883"/>
        <w:t>al</w:t>
      </w:r>
      <w:r>
        <w:rPr/>
        <w:t xml:space="preserve"> und im kommenden Zeitalter </w:t>
      </w:r>
      <w:r>
        <w:rPr>
          <w:color w:val="808080"/>
        </w:rPr>
        <w:t>(Welt)</w:t>
      </w:r>
      <w:r>
        <w:rPr/>
        <w:t xml:space="preserve"> ewiges Leben.{{field-off:bible}} </w:t>
        <w:br/>
        <w:t>[[@BibleTOBIBLE:Mk 10:31]]</w:t>
      </w:r>
      <w:r>
        <w:rPr>
          <w:b/>
        </w:rPr>
        <w:t>31</w:t>
      </w:r>
      <w:r>
        <w:rPr/>
        <w:t xml:space="preserve"> {{field-on:bible}}Und </w:t>
      </w:r>
      <w:r>
        <w:rPr>
          <w:color w:val="808080"/>
        </w:rPr>
        <w:t>(Aber)</w:t>
      </w:r>
      <w:r>
        <w:rPr/>
        <w:t xml:space="preserve"> viele Erste werden Letzte sein und die Letzten Erste.«</w:t>
      </w:r>
      <w:r>
        <w:rPr>
          <w:position w:val="8"/>
          <w:sz w:val="19"/>
        </w:rPr>
        <w:t>[[ ℘ &gt;&gt; BibleTOBIBLE:Mk 10:44]]</w:t>
      </w:r>
      <w:r>
        <w:rPr/>
        <w:t xml:space="preserve"> {{field-off:bible}} </w:t>
        <w:br/>
        <w:t>[[@BibleTOBIBLE:Mk 10:32]]</w:t>
      </w:r>
      <w:r>
        <w:rPr>
          <w:b/>
        </w:rPr>
        <w:t>32</w:t>
      </w:r>
      <w:r>
        <w:rPr/>
        <w:t xml:space="preserve"> {{field-on:bible}}Sie </w:t>
      </w:r>
      <w:r>
        <w:rPr>
          <w:strike/>
          <w:color w:val="808080"/>
        </w:rPr>
        <w:t>{aber}</w:t>
      </w:r>
      <w:r>
        <w:rPr/>
        <w:t xml:space="preserve"> waren auf dem Weg nach Jerusalem, und Jesus ging ihnen voran, </w:t>
      </w:r>
      <w:r>
        <w:rPr>
          <w:rStyle w:val="Funotenanker"/>
        </w:rPr>
        <w:footnoteReference w:customMarkFollows="1" w:id="1884"/>
        <w:t>am</w:t>
      </w:r>
      <w:r>
        <w:rPr/>
        <w:t xml:space="preserve"> und </w:t>
      </w:r>
      <w:r>
        <w:rPr>
          <w:color w:val="808080"/>
        </w:rPr>
        <w:t>(da)</w:t>
      </w:r>
      <w:r>
        <w:rPr/>
        <w:t xml:space="preserve"> </w:t>
      </w:r>
      <w:r>
        <w:rPr>
          <w:b/>
          <w:color w:val="808080"/>
        </w:rPr>
        <w:t>[</w:t>
      </w:r>
      <w:r>
        <w:rPr/>
        <w:t xml:space="preserve">die Jünger </w:t>
      </w:r>
      <w:r>
        <w:rPr>
          <w:color w:val="808080"/>
        </w:rPr>
        <w:t>(Leute)</w:t>
      </w:r>
      <w:r>
        <w:rPr>
          <w:b/>
          <w:color w:val="808080"/>
        </w:rPr>
        <w:t>]</w:t>
      </w:r>
      <w:r>
        <w:rPr/>
        <w:t xml:space="preserve"> wunderten sich darüber </w:t>
      </w:r>
      <w:r>
        <w:rPr>
          <w:color w:val="808080"/>
        </w:rPr>
        <w:t>(wurden von Beklommenheit erfasst; erschraken)</w:t>
      </w:r>
      <w:r>
        <w:rPr/>
        <w:t xml:space="preserve">, </w:t>
      </w:r>
      <w:r>
        <w:rPr>
          <w:rStyle w:val="Funotenanker"/>
        </w:rPr>
        <w:footnoteReference w:customMarkFollows="1" w:id="1885"/>
        <w:t>an</w:t>
      </w:r>
      <w:r>
        <w:rPr/>
        <w:t xml:space="preserve"> und </w:t>
      </w:r>
      <w:r>
        <w:rPr>
          <w:color w:val="808080"/>
        </w:rPr>
        <w:t>(aber)</w:t>
      </w:r>
      <w:r>
        <w:rPr/>
        <w:t xml:space="preserve"> die, die hinter ihm gingen </w:t>
      </w:r>
      <w:r>
        <w:rPr>
          <w:color w:val="808080"/>
        </w:rPr>
        <w:t>(die ihm Folgenden, seine Nachfolger)</w:t>
      </w:r>
      <w:r>
        <w:rPr/>
        <w:t xml:space="preserve">, </w:t>
      </w:r>
      <w:r>
        <w:rPr>
          <w:rStyle w:val="Funotenanker"/>
        </w:rPr>
        <w:footnoteReference w:customMarkFollows="1" w:id="1886"/>
        <w:t>ao</w:t>
      </w:r>
      <w:r>
        <w:rPr/>
        <w:t xml:space="preserve"> bekamen Angst. Da </w:t>
      </w:r>
      <w:r>
        <w:rPr>
          <w:color w:val="808080"/>
        </w:rPr>
        <w:t>(und)</w:t>
      </w:r>
      <w:r>
        <w:rPr/>
        <w:t xml:space="preserve"> nahm er die Zwölf noch einmal beiseite und teilte ihnen mit </w:t>
      </w:r>
      <w:r>
        <w:rPr>
          <w:rStyle w:val="Funotenanker"/>
        </w:rPr>
        <w:footnoteReference w:customMarkFollows="1" w:id="1887"/>
        <w:t>ap</w:t>
      </w:r>
      <w:r>
        <w:rPr/>
        <w:t xml:space="preserve">, was mit ihm geschehen würde:{{field-off:bible}} </w:t>
        <w:br/>
        <w:t>[[@BibleTOBIBLE:Mk 10:33]]</w:t>
      </w:r>
      <w:r>
        <w:rPr>
          <w:b/>
        </w:rPr>
        <w:t>33</w:t>
      </w:r>
      <w:r>
        <w:rPr/>
        <w:t xml:space="preserve"> {{field-on:bible}}»Wir gehen jetzt </w:t>
      </w:r>
      <w:r>
        <w:rPr>
          <w:rStyle w:val="Funotenanker"/>
        </w:rPr>
        <w:footnoteReference w:customMarkFollows="1" w:id="1888"/>
        <w:t>aq</w:t>
      </w:r>
      <w:r>
        <w:rPr/>
        <w:t xml:space="preserve"> </w:t>
      </w:r>
      <w:r>
        <w:rPr>
          <w:strike/>
          <w:color w:val="808080"/>
        </w:rPr>
        <w:t>{hinauf}</w:t>
      </w:r>
      <w:r>
        <w:rPr/>
        <w:t xml:space="preserve"> nach Jerusalem, dann wird der Menschensohn </w:t>
      </w:r>
      <w:r>
        <w:rPr>
          <w:color w:val="808080"/>
        </w:rPr>
        <w:t>(Sohn des Menschen; Mensch)</w:t>
      </w:r>
      <w:r>
        <w:rPr/>
        <w:t xml:space="preserve"> an die obersten </w:t>
      </w:r>
      <w:r>
        <w:rPr>
          <w:color w:val="808080"/>
        </w:rPr>
        <w:t>(führenden, Hohen)</w:t>
      </w:r>
      <w:r>
        <w:rPr/>
        <w:t xml:space="preserve"> Priester </w:t>
      </w:r>
      <w:r>
        <w:rPr>
          <w:rStyle w:val="Funotenanker"/>
        </w:rPr>
        <w:footnoteReference w:customMarkFollows="1" w:id="1889"/>
        <w:t>ar</w:t>
      </w:r>
      <w:r>
        <w:rPr/>
        <w:t xml:space="preserve"> und die Schriftgelehrten </w:t>
      </w:r>
      <w:r>
        <w:rPr>
          <w:color w:val="808080"/>
        </w:rPr>
        <w:t>(Schreibern)</w:t>
      </w:r>
      <w:r>
        <w:rPr/>
        <w:t xml:space="preserve"> ausgeliefert werden, und sie werden ihn </w:t>
      </w:r>
      <w:r>
        <w:rPr>
          <w:b/>
          <w:color w:val="808080"/>
        </w:rPr>
        <w:t>[</w:t>
      </w:r>
      <w:r>
        <w:rPr/>
        <w:t>zum</w:t>
      </w:r>
      <w:r>
        <w:rPr>
          <w:b/>
          <w:color w:val="808080"/>
        </w:rPr>
        <w:t>]</w:t>
      </w:r>
      <w:r>
        <w:rPr/>
        <w:t xml:space="preserve"> Tod verurteilen und ihn an die Heiden </w:t>
      </w:r>
      <w:r>
        <w:rPr>
          <w:color w:val="808080"/>
        </w:rPr>
        <w:t>(Nichtjuden)</w:t>
      </w:r>
      <w:r>
        <w:rPr/>
        <w:t xml:space="preserve"> ausliefern,{{field-off:bible}} </w:t>
        <w:br/>
        <w:t>[[@BibleTOBIBLE:Mk 10:34]]</w:t>
      </w:r>
      <w:r>
        <w:rPr>
          <w:b/>
        </w:rPr>
        <w:t>34</w:t>
      </w:r>
      <w:r>
        <w:rPr/>
        <w:t xml:space="preserve"> {{field-on:bible}}und sie werden ihn verspotten, und sie werden ihn anspucken, und sie werden ihn auspeitschen und töten, und nach drei Tagen wird er auferstehen.«{{field-off:bible}} </w:t>
        <w:br/>
        <w:t>[[@BibleTOBIBLE:Mk 10:35]]</w:t>
      </w:r>
      <w:r>
        <w:rPr>
          <w:b/>
        </w:rPr>
        <w:t>35</w:t>
      </w:r>
      <w:r>
        <w:rPr/>
        <w:t xml:space="preserve"> {{field-on:bible}}Und Jakobus und Johannes, die Söhne von Zebedäus, kamen auf ihn zu und sagten zu ihm: »Lehrer, wir wollen, dass du </w:t>
      </w:r>
      <w:r>
        <w:rPr>
          <w:b/>
          <w:color w:val="808080"/>
        </w:rPr>
        <w:t>[</w:t>
      </w:r>
      <w:r>
        <w:rPr/>
        <w:t>für</w:t>
      </w:r>
      <w:r>
        <w:rPr>
          <w:b/>
          <w:color w:val="808080"/>
        </w:rPr>
        <w:t>]</w:t>
      </w:r>
      <w:r>
        <w:rPr/>
        <w:t xml:space="preserve"> uns </w:t>
      </w:r>
      <w:r>
        <w:rPr>
          <w:rStyle w:val="Funotenanker"/>
        </w:rPr>
        <w:footnoteReference w:customMarkFollows="1" w:id="1890"/>
        <w:t>as</w:t>
      </w:r>
      <w:r>
        <w:rPr/>
        <w:t xml:space="preserve"> tust, worum wir dich auch bitten werden.«{{field-off:bible}} </w:t>
        <w:br/>
        <w:t>[[@BibleTOBIBLE:Mk 10:36]]</w:t>
      </w:r>
      <w:r>
        <w:rPr>
          <w:b/>
        </w:rPr>
        <w:t>36</w:t>
      </w:r>
      <w:r>
        <w:rPr/>
        <w:t xml:space="preserve"> {{field-on:bible}}Da sagte er zu ihnen: »Was wollt ihr, dass ich </w:t>
      </w:r>
      <w:r>
        <w:rPr>
          <w:b/>
          <w:color w:val="808080"/>
        </w:rPr>
        <w:t>[</w:t>
      </w:r>
      <w:r>
        <w:rPr/>
        <w:t>für</w:t>
      </w:r>
      <w:r>
        <w:rPr>
          <w:b/>
          <w:color w:val="808080"/>
        </w:rPr>
        <w:t>]</w:t>
      </w:r>
      <w:r>
        <w:rPr/>
        <w:t xml:space="preserve"> euch </w:t>
      </w:r>
      <w:r>
        <w:rPr>
          <w:rStyle w:val="Funotenanker"/>
        </w:rPr>
        <w:footnoteReference w:customMarkFollows="1" w:id="1891"/>
        <w:t>at</w:t>
      </w:r>
      <w:r>
        <w:rPr/>
        <w:t xml:space="preserve"> tun soll?«{{field-off:bible}} </w:t>
        <w:br/>
        <w:t>[[@BibleTOBIBLE:Mk 10:37]]</w:t>
      </w:r>
      <w:r>
        <w:rPr>
          <w:b/>
        </w:rPr>
        <w:t>37</w:t>
      </w:r>
      <w:r>
        <w:rPr/>
        <w:t xml:space="preserve"> {{field-on:bible}}Sie sagten zu ihm: »Gewähre uns </w:t>
      </w:r>
      <w:r>
        <w:rPr>
          <w:rStyle w:val="Funotenanker"/>
        </w:rPr>
        <w:footnoteReference w:customMarkFollows="1" w:id="1892"/>
        <w:t>au</w:t>
      </w:r>
      <w:r>
        <w:rPr/>
        <w:t xml:space="preserve">, </w:t>
      </w:r>
      <w:r>
        <w:rPr>
          <w:strike/>
          <w:color w:val="808080"/>
        </w:rPr>
        <w:t>{dass wir}</w:t>
      </w:r>
      <w:r>
        <w:rPr/>
        <w:t xml:space="preserve"> in deiner Herrlichkeit </w:t>
      </w:r>
      <w:r>
        <w:rPr>
          <w:color w:val="808080"/>
        </w:rPr>
        <w:t>(Herrschaft, Ehre)</w:t>
      </w:r>
      <w:r>
        <w:rPr/>
        <w:t xml:space="preserve"> </w:t>
      </w:r>
      <w:r>
        <w:rPr>
          <w:rStyle w:val="Funotenanker"/>
        </w:rPr>
        <w:footnoteReference w:customMarkFollows="1" w:id="1893"/>
        <w:t>av</w:t>
      </w:r>
      <w:r>
        <w:rPr/>
        <w:t xml:space="preserve"> einer an deiner rechten und einer an deiner linken </w:t>
      </w:r>
      <w:r>
        <w:rPr>
          <w:b/>
          <w:color w:val="808080"/>
        </w:rPr>
        <w:t>[</w:t>
      </w:r>
      <w:r>
        <w:rPr/>
        <w:t>Seite</w:t>
      </w:r>
      <w:r>
        <w:rPr>
          <w:b/>
          <w:color w:val="808080"/>
        </w:rPr>
        <w:t>]</w:t>
      </w:r>
      <w:r>
        <w:rPr/>
        <w:t xml:space="preserve"> zu sitzen!«{{field-off:bible}} </w:t>
        <w:br/>
        <w:t>[[@BibleTOBIBLE:Mk 10:38]]</w:t>
      </w:r>
      <w:r>
        <w:rPr>
          <w:b/>
        </w:rPr>
        <w:t>38</w:t>
      </w:r>
      <w:r>
        <w:rPr/>
        <w:t xml:space="preserve"> {{field-on:bible}}Da sagte Jesus zu ihnen: »Ihr wisst nicht, um was ihr </w:t>
      </w:r>
      <w:r>
        <w:rPr>
          <w:b/>
          <w:color w:val="808080"/>
        </w:rPr>
        <w:t>[</w:t>
      </w:r>
      <w:r>
        <w:rPr/>
        <w:t>da</w:t>
      </w:r>
      <w:r>
        <w:rPr>
          <w:b/>
          <w:color w:val="808080"/>
        </w:rPr>
        <w:t>]</w:t>
      </w:r>
      <w:r>
        <w:rPr/>
        <w:t xml:space="preserve"> bittet! Könnt ihr den Becher </w:t>
      </w:r>
      <w:r>
        <w:rPr>
          <w:color w:val="808080"/>
        </w:rPr>
        <w:t>(Kelch)</w:t>
      </w:r>
      <w:r>
        <w:rPr/>
        <w:t xml:space="preserve"> trinken, den ''ich'' trinke, oder </w:t>
      </w:r>
      <w:r>
        <w:rPr>
          <w:b/>
          <w:color w:val="808080"/>
        </w:rPr>
        <w:t>[</w:t>
      </w:r>
      <w:r>
        <w:rPr/>
        <w:t>mit</w:t>
      </w:r>
      <w:r>
        <w:rPr>
          <w:b/>
          <w:color w:val="808080"/>
        </w:rPr>
        <w:t>]</w:t>
      </w:r>
      <w:r>
        <w:rPr/>
        <w:t xml:space="preserve"> der Taufe getauft werden </w:t>
      </w:r>
      <w:r>
        <w:rPr>
          <w:rStyle w:val="Funotenanker"/>
        </w:rPr>
        <w:footnoteReference w:customMarkFollows="1" w:id="1894"/>
        <w:t>aw</w:t>
      </w:r>
      <w:r>
        <w:rPr/>
        <w:t xml:space="preserve">, mit der ''ich'' getauft werde?«{{field-off:bible}} </w:t>
        <w:br/>
        <w:t>[[@BibleTOBIBLE:Mk 10:39]]</w:t>
      </w:r>
      <w:r>
        <w:rPr>
          <w:b/>
        </w:rPr>
        <w:t>39</w:t>
      </w:r>
      <w:r>
        <w:rPr/>
        <w:t xml:space="preserve"> {{field-on:bible}}Sie aber sagten zu ihm: »</w:t>
      </w:r>
      <w:r>
        <w:rPr>
          <w:b/>
          <w:color w:val="808080"/>
        </w:rPr>
        <w:t>[</w:t>
      </w:r>
      <w:r>
        <w:rPr/>
        <w:t>Das</w:t>
      </w:r>
      <w:r>
        <w:rPr>
          <w:b/>
          <w:color w:val="808080"/>
        </w:rPr>
        <w:t>]</w:t>
      </w:r>
      <w:r>
        <w:rPr/>
        <w:t xml:space="preserve"> können wir!« Jesus aber sprach zu ihnen: »Den Becher </w:t>
      </w:r>
      <w:r>
        <w:rPr>
          <w:color w:val="808080"/>
        </w:rPr>
        <w:t>(Kelch)</w:t>
      </w:r>
      <w:r>
        <w:rPr/>
        <w:t xml:space="preserve">, den ich trinke, werdet ihr trinken, und </w:t>
      </w:r>
      <w:r>
        <w:rPr>
          <w:b/>
          <w:color w:val="808080"/>
        </w:rPr>
        <w:t>[</w:t>
      </w:r>
      <w:r>
        <w:rPr/>
        <w:t>mit</w:t>
      </w:r>
      <w:r>
        <w:rPr>
          <w:b/>
          <w:color w:val="808080"/>
        </w:rPr>
        <w:t>]</w:t>
      </w:r>
      <w:r>
        <w:rPr/>
        <w:t xml:space="preserve"> der Taufe, mit der ich getauft werde, werdet ihr getauft werden ,{{field-off:bible}} </w:t>
        <w:br/>
        <w:t>[[@BibleTOBIBLE:Mk 10:40]]</w:t>
      </w:r>
      <w:r>
        <w:rPr>
          <w:b/>
        </w:rPr>
        <w:t>40</w:t>
      </w:r>
      <w:r>
        <w:rPr/>
        <w:t xml:space="preserve"> {{field-on:bible}}aber es ist nicht meine Sache </w:t>
      </w:r>
      <w:r>
        <w:rPr>
          <w:color w:val="808080"/>
        </w:rPr>
        <w:t>(steht mir nicht zu)</w:t>
      </w:r>
      <w:r>
        <w:rPr/>
        <w:t xml:space="preserve">, </w:t>
      </w:r>
      <w:r>
        <w:rPr>
          <w:b/>
          <w:color w:val="808080"/>
        </w:rPr>
        <w:t>[</w:t>
      </w:r>
      <w:r>
        <w:rPr/>
        <w:t>euch</w:t>
      </w:r>
      <w:r>
        <w:rPr>
          <w:b/>
          <w:color w:val="808080"/>
        </w:rPr>
        <w:t>]</w:t>
      </w:r>
      <w:r>
        <w:rPr/>
        <w:t xml:space="preserve"> das Sitzen an meiner rechten oder linken </w:t>
      </w:r>
      <w:r>
        <w:rPr>
          <w:b/>
          <w:color w:val="808080"/>
        </w:rPr>
        <w:t>[</w:t>
      </w:r>
      <w:r>
        <w:rPr/>
        <w:t>Seite</w:t>
      </w:r>
      <w:r>
        <w:rPr>
          <w:b/>
          <w:color w:val="808080"/>
        </w:rPr>
        <w:t>]</w:t>
      </w:r>
      <w:r>
        <w:rPr/>
        <w:t xml:space="preserve"> zu gewähren, </w:t>
      </w:r>
      <w:r>
        <w:rPr>
          <w:rStyle w:val="Funotenanker"/>
        </w:rPr>
        <w:footnoteReference w:customMarkFollows="1" w:id="1895"/>
        <w:t>ax</w:t>
      </w:r>
      <w:r>
        <w:rPr/>
        <w:t xml:space="preserve">, sondern </w:t>
      </w:r>
      <w:r>
        <w:rPr>
          <w:b/>
          <w:color w:val="808080"/>
        </w:rPr>
        <w:t>[</w:t>
      </w:r>
      <w:r>
        <w:rPr/>
        <w:t>das Sitzen steht denjenigen zu</w:t>
      </w:r>
      <w:r>
        <w:rPr>
          <w:b/>
          <w:color w:val="808080"/>
        </w:rPr>
        <w:t>]</w:t>
      </w:r>
      <w:r>
        <w:rPr/>
        <w:t xml:space="preserve">, </w:t>
      </w:r>
      <w:r>
        <w:rPr>
          <w:b/>
          <w:color w:val="808080"/>
        </w:rPr>
        <w:t>[</w:t>
      </w:r>
      <w:r>
        <w:rPr/>
        <w:t>für</w:t>
      </w:r>
      <w:r>
        <w:rPr>
          <w:b/>
          <w:color w:val="808080"/>
        </w:rPr>
        <w:t>]</w:t>
      </w:r>
      <w:r>
        <w:rPr/>
        <w:t xml:space="preserve"> die es vorgesehen </w:t>
      </w:r>
      <w:r>
        <w:rPr>
          <w:color w:val="808080"/>
        </w:rPr>
        <w:t>(bestimmt, bereitet)</w:t>
      </w:r>
      <w:r>
        <w:rPr/>
        <w:t xml:space="preserve"> ist.« </w:t>
      </w:r>
      <w:r>
        <w:rPr>
          <w:rStyle w:val="Funotenanker"/>
        </w:rPr>
        <w:footnoteReference w:customMarkFollows="1" w:id="1896"/>
        <w:t>ay</w:t>
      </w:r>
      <w:r>
        <w:rPr/>
        <w:t xml:space="preserve"> {{field-off:bible}} </w:t>
        <w:br/>
        <w:t>[[@BibleTOBIBLE:Mk 10:41]]</w:t>
      </w:r>
      <w:r>
        <w:rPr>
          <w:b/>
        </w:rPr>
        <w:t>41</w:t>
      </w:r>
      <w:r>
        <w:rPr/>
        <w:t xml:space="preserve"> {{field-on:bible}}Und als die zehn </w:t>
      </w:r>
      <w:r>
        <w:rPr>
          <w:b/>
          <w:color w:val="808080"/>
        </w:rPr>
        <w:t>[</w:t>
      </w:r>
      <w:r>
        <w:rPr/>
        <w:t>anderen Jünger das</w:t>
      </w:r>
      <w:r>
        <w:rPr>
          <w:b/>
          <w:color w:val="808080"/>
        </w:rPr>
        <w:t>]</w:t>
      </w:r>
      <w:r>
        <w:rPr/>
        <w:t xml:space="preserve"> hörten, </w:t>
      </w:r>
      <w:r>
        <w:rPr>
          <w:rStyle w:val="Funotenanker"/>
        </w:rPr>
        <w:footnoteReference w:customMarkFollows="1" w:id="1897"/>
        <w:t>az</w:t>
      </w:r>
      <w:r>
        <w:rPr/>
        <w:t xml:space="preserve"> waren sie wütend </w:t>
      </w:r>
      <w:r>
        <w:rPr>
          <w:color w:val="808080"/>
        </w:rPr>
        <w:t>(ärgerten sie sich)</w:t>
      </w:r>
      <w:r>
        <w:rPr/>
        <w:t xml:space="preserve"> </w:t>
      </w:r>
      <w:r>
        <w:rPr>
          <w:rStyle w:val="Funotenanker"/>
        </w:rPr>
        <w:footnoteReference w:customMarkFollows="1" w:id="1898"/>
        <w:t>ba</w:t>
      </w:r>
      <w:r>
        <w:rPr/>
        <w:t xml:space="preserve"> auf Jakobus und Johannes.{{field-off:bible}} </w:t>
        <w:br/>
        <w:t>[[@BibleTOBIBLE:Mk 10:42]]</w:t>
      </w:r>
      <w:r>
        <w:rPr>
          <w:b/>
        </w:rPr>
        <w:t>42</w:t>
      </w:r>
      <w:r>
        <w:rPr/>
        <w:t xml:space="preserve"> {{field-on:bible}}Und </w:t>
      </w:r>
      <w:r>
        <w:rPr>
          <w:color w:val="808080"/>
        </w:rPr>
        <w:t>(da)</w:t>
      </w:r>
      <w:r>
        <w:rPr/>
        <w:t xml:space="preserve"> Jesus rief sie zu sich und sagte zu ihnen: »Ihr wisst, dass diejenigen, die als Regierende der Völker </w:t>
      </w:r>
      <w:r>
        <w:rPr>
          <w:color w:val="808080"/>
        </w:rPr>
        <w:t>(nichtjüdischen Völker, Nichtjuden)</w:t>
      </w:r>
      <w:r>
        <w:rPr/>
        <w:t xml:space="preserve"> angesehen sind </w:t>
      </w:r>
      <w:r>
        <w:rPr>
          <w:color w:val="808080"/>
        </w:rPr>
        <w:t>(gelten)</w:t>
      </w:r>
      <w:r>
        <w:rPr/>
        <w:t xml:space="preserve">, </w:t>
      </w:r>
      <w:r>
        <w:rPr>
          <w:rStyle w:val="Funotenanker"/>
        </w:rPr>
        <w:footnoteReference w:customMarkFollows="1" w:id="1899"/>
        <w:t>bb</w:t>
      </w:r>
      <w:r>
        <w:rPr/>
        <w:t xml:space="preserve"> die Menschen </w:t>
      </w:r>
      <w:r>
        <w:rPr>
          <w:rStyle w:val="Funotenanker"/>
        </w:rPr>
        <w:footnoteReference w:customMarkFollows="1" w:id="1900"/>
        <w:t>bc</w:t>
      </w:r>
      <w:r>
        <w:rPr/>
        <w:t xml:space="preserve"> beherrschen </w:t>
      </w:r>
      <w:r>
        <w:rPr>
          <w:color w:val="808080"/>
        </w:rPr>
        <w:t>(unterdrücken)</w:t>
      </w:r>
      <w:r>
        <w:rPr/>
        <w:t xml:space="preserve">, und </w:t>
      </w:r>
      <w:r>
        <w:rPr>
          <w:b/>
          <w:color w:val="808080"/>
        </w:rPr>
        <w:t>[</w:t>
      </w:r>
      <w:r>
        <w:rPr/>
        <w:t>dass</w:t>
      </w:r>
      <w:r>
        <w:rPr>
          <w:b/>
          <w:color w:val="808080"/>
        </w:rPr>
        <w:t>]</w:t>
      </w:r>
      <w:r>
        <w:rPr/>
        <w:t xml:space="preserve"> ihre Großen </w:t>
      </w:r>
      <w:r>
        <w:rPr>
          <w:color w:val="808080"/>
        </w:rPr>
        <w:t>(Mächtigen)</w:t>
      </w:r>
      <w:r>
        <w:rPr/>
        <w:t xml:space="preserve"> die Menschen ihre Macht spüren lassen </w:t>
      </w:r>
      <w:r>
        <w:rPr>
          <w:color w:val="808080"/>
        </w:rPr>
        <w:t>(ihre Macht über sie missbrauchen)</w:t>
      </w:r>
      <w:r>
        <w:rPr/>
        <w:t xml:space="preserve">.{{field-off:bible}} </w:t>
        <w:br/>
        <w:t>[[@BibleTOBIBLE:Mk 10:43]]</w:t>
      </w:r>
      <w:r>
        <w:rPr>
          <w:b/>
        </w:rPr>
        <w:t>43</w:t>
      </w:r>
      <w:r>
        <w:rPr/>
        <w:t xml:space="preserve"> {{field-on:bible}}Aber so ist es bei euch nicht! Wer </w:t>
      </w:r>
      <w:r>
        <w:rPr>
          <w:color w:val="808080"/>
        </w:rPr>
        <w:t>(Jeder, der)</w:t>
      </w:r>
      <w:r>
        <w:rPr/>
        <w:t xml:space="preserve"> bei </w:t>
      </w:r>
      <w:r>
        <w:rPr>
          <w:color w:val="808080"/>
        </w:rPr>
        <w:t>(unter)</w:t>
      </w:r>
      <w:r>
        <w:rPr/>
        <w:t xml:space="preserve"> euch groß sein </w:t>
      </w:r>
      <w:r>
        <w:rPr>
          <w:color w:val="808080"/>
        </w:rPr>
        <w:t>(werden)</w:t>
      </w:r>
      <w:r>
        <w:rPr/>
        <w:t xml:space="preserve"> möchte, soll vielmehr euer Diener sein,{{field-off:bible}} </w:t>
        <w:br/>
        <w:t>[[@BibleTOBIBLE:Mk 10:44]]</w:t>
      </w:r>
      <w:r>
        <w:rPr>
          <w:b/>
        </w:rPr>
        <w:t>44</w:t>
      </w:r>
      <w:r>
        <w:rPr/>
        <w:t xml:space="preserve"> {{field-on:bible}}und wer </w:t>
      </w:r>
      <w:r>
        <w:rPr>
          <w:color w:val="808080"/>
        </w:rPr>
        <w:t>(jeder, der)</w:t>
      </w:r>
      <w:r>
        <w:rPr/>
        <w:t xml:space="preserve"> bei </w:t>
      </w:r>
      <w:r>
        <w:rPr>
          <w:color w:val="808080"/>
        </w:rPr>
        <w:t>(unter)</w:t>
      </w:r>
      <w:r>
        <w:rPr/>
        <w:t xml:space="preserve"> euch bedeutend </w:t>
      </w:r>
      <w:r>
        <w:rPr>
          <w:color w:val="808080"/>
        </w:rPr>
        <w:t>(Erster)</w:t>
      </w:r>
      <w:r>
        <w:rPr/>
        <w:t xml:space="preserve"> sein </w:t>
      </w:r>
      <w:r>
        <w:rPr>
          <w:color w:val="808080"/>
        </w:rPr>
        <w:t>(werden)</w:t>
      </w:r>
      <w:r>
        <w:rPr/>
        <w:t xml:space="preserve"> möchte, soll Sklave aller </w:t>
      </w:r>
      <w:r>
        <w:rPr>
          <w:b/>
          <w:color w:val="808080"/>
        </w:rPr>
        <w:t>[</w:t>
      </w:r>
      <w:r>
        <w:rPr/>
        <w:t>anderen</w:t>
      </w:r>
      <w:r>
        <w:rPr>
          <w:b/>
          <w:color w:val="808080"/>
        </w:rPr>
        <w:t>]</w:t>
      </w:r>
      <w:r>
        <w:rPr/>
        <w:t xml:space="preserve"> sein.</w:t>
      </w:r>
      <w:r>
        <w:rPr>
          <w:position w:val="8"/>
          <w:sz w:val="19"/>
        </w:rPr>
        <w:t>[[ ℘ &gt;&gt; BibleTOBIBLE:Mk 9:35]][[ ℘ &gt;&gt; BibleTOBIBLE:Mk 10:31]]</w:t>
      </w:r>
      <w:r>
        <w:rPr/>
        <w:t xml:space="preserve"> {{field-off:bible}} </w:t>
        <w:br/>
        <w:t>[[@BibleTOBIBLE:Mk 10:45]]</w:t>
      </w:r>
      <w:r>
        <w:rPr>
          <w:b/>
        </w:rPr>
        <w:t>45</w:t>
      </w:r>
      <w:r>
        <w:rPr/>
        <w:t xml:space="preserve"> {{field-on:bible}}Denn auch der Menschensohn </w:t>
      </w:r>
      <w:r>
        <w:rPr>
          <w:color w:val="808080"/>
        </w:rPr>
        <w:t>(Sohn des Menschen; Mensch)</w:t>
      </w:r>
      <w:r>
        <w:rPr/>
        <w:t xml:space="preserve"> ist nicht gekommen, um sich dienen zu lassen, sondern um zu dienen und sein Leben als Lösegeld anstelle </w:t>
      </w:r>
      <w:r>
        <w:rPr>
          <w:color w:val="808080"/>
        </w:rPr>
        <w:t>(für)</w:t>
      </w:r>
      <w:r>
        <w:rPr/>
        <w:t xml:space="preserve"> vieler zu geben.«</w:t>
      </w:r>
      <w:r>
        <w:rPr>
          <w:position w:val="8"/>
          <w:sz w:val="19"/>
        </w:rPr>
        <w:t>[[ ℘ &gt;&gt; BibleTOBIBLE:Mk 14:24]][[ ℘ &gt;&gt; BibleTOBIBLE:Is 53:10]][[ ℘ &gt;&gt; BibleTOBIBLE:Da 7:13]][[ ℘ &gt;&gt; BibleTOBIBLE:Php 2:6]][[ ℘ &gt;&gt; BibleTOBIBLE:1Ti 2:5]][[ ℘ &gt;&gt; BibleTOBIBLE:Is 43:3]]</w:t>
      </w:r>
      <w:r>
        <w:rPr/>
        <w:t xml:space="preserve"> {{field-off:bible}} </w:t>
        <w:br/>
        <w:t>[[@BibleTOBIBLE:Mk 10:46]]</w:t>
      </w:r>
      <w:r>
        <w:rPr>
          <w:b/>
        </w:rPr>
        <w:t>46</w:t>
      </w:r>
      <w:r>
        <w:rPr/>
        <w:t xml:space="preserve"> {{field-on:bible}}Und sie kamen nach Jericho. Und als er von Jericho aufbrach, </w:t>
      </w:r>
      <w:r>
        <w:rPr>
          <w:b/>
          <w:color w:val="808080"/>
        </w:rPr>
        <w:t>[</w:t>
      </w:r>
      <w:r>
        <w:rPr/>
        <w:t>er</w:t>
      </w:r>
      <w:r>
        <w:rPr>
          <w:b/>
          <w:color w:val="808080"/>
        </w:rPr>
        <w:t>]</w:t>
      </w:r>
      <w:r>
        <w:rPr/>
        <w:t xml:space="preserve"> </w:t>
      </w:r>
      <w:r>
        <w:rPr>
          <w:rStyle w:val="Funotenanker"/>
        </w:rPr>
        <w:footnoteReference w:customMarkFollows="1" w:id="1901"/>
        <w:t>bd</w:t>
      </w:r>
      <w:r>
        <w:rPr/>
        <w:t xml:space="preserve"> und seine Jünger und eine beachtliche </w:t>
      </w:r>
      <w:r>
        <w:rPr>
          <w:color w:val="808080"/>
        </w:rPr>
        <w:t>(ansehnliche)</w:t>
      </w:r>
      <w:r>
        <w:rPr/>
        <w:t xml:space="preserve"> Menschenmenge, saß der Sohn von Timäus, Bartimäus, </w:t>
      </w:r>
      <w:r>
        <w:rPr>
          <w:rStyle w:val="Funotenanker"/>
        </w:rPr>
        <w:footnoteReference w:customMarkFollows="1" w:id="1902"/>
        <w:t>be</w:t>
      </w:r>
      <w:r>
        <w:rPr/>
        <w:t xml:space="preserve"> ein blinder Bettler, am Straßenrand </w:t>
      </w:r>
      <w:r>
        <w:rPr>
          <w:rStyle w:val="Funotenanker"/>
        </w:rPr>
        <w:footnoteReference w:customMarkFollows="1" w:id="1903"/>
        <w:t>bf</w:t>
      </w:r>
      <w:r>
        <w:rPr/>
        <w:t xml:space="preserve">,{{field-off:bible}} </w:t>
        <w:br/>
        <w:t>[[@BibleTOBIBLE:Mk 10:47]]</w:t>
      </w:r>
      <w:r>
        <w:rPr>
          <w:b/>
        </w:rPr>
        <w:t>47</w:t>
      </w:r>
      <w:r>
        <w:rPr/>
        <w:t xml:space="preserve"> {{field-on:bible}}Und als er hörte, </w:t>
      </w:r>
      <w:r>
        <w:rPr>
          <w:rStyle w:val="Funotenanker"/>
        </w:rPr>
        <w:footnoteReference w:customMarkFollows="1" w:id="1904"/>
        <w:t>bg</w:t>
      </w:r>
      <w:r>
        <w:rPr/>
        <w:t xml:space="preserve"> dass es Jesus der Nazarener war, fing er an zu schreien </w:t>
      </w:r>
      <w:r>
        <w:rPr>
          <w:strike/>
          <w:color w:val="808080"/>
        </w:rPr>
        <w:t>{und zu sagen}</w:t>
      </w:r>
      <w:r>
        <w:rPr/>
        <w:t xml:space="preserve">: »Sohn Davids, </w:t>
      </w:r>
      <w:r>
        <w:rPr>
          <w:rStyle w:val="Funotenanker"/>
        </w:rPr>
        <w:footnoteReference w:customMarkFollows="1" w:id="1905"/>
        <w:t>bh</w:t>
      </w:r>
      <w:r>
        <w:rPr/>
        <w:t xml:space="preserve"> Jesus, hab Erbarmen mit mir!«{{field-off:bible}} </w:t>
        <w:br/>
        <w:t>[[@BibleTOBIBLE:Mk 10:48]]</w:t>
      </w:r>
      <w:r>
        <w:rPr>
          <w:b/>
        </w:rPr>
        <w:t>48</w:t>
      </w:r>
      <w:r>
        <w:rPr/>
        <w:t xml:space="preserve"> {{field-on:bible}}Und viele herrschten ihn an, </w:t>
      </w:r>
      <w:r>
        <w:rPr>
          <w:strike/>
          <w:color w:val="808080"/>
        </w:rPr>
        <w:t>{damit}</w:t>
      </w:r>
      <w:r>
        <w:rPr/>
        <w:t xml:space="preserve"> still zu sein. Aber er schrie umso lauter </w:t>
      </w:r>
      <w:r>
        <w:rPr>
          <w:color w:val="808080"/>
        </w:rPr>
        <w:t>(mehr)</w:t>
      </w:r>
      <w:r>
        <w:rPr/>
        <w:t xml:space="preserve">: »Sohn Davids, hab Erbarmen mit mir!«{{field-off:bible}} </w:t>
        <w:br/>
        <w:t>[[@BibleTOBIBLE:Mk 10:49]]</w:t>
      </w:r>
      <w:r>
        <w:rPr>
          <w:b/>
        </w:rPr>
        <w:t>49</w:t>
      </w:r>
      <w:r>
        <w:rPr/>
        <w:t xml:space="preserve"> {{field-on:bible}}Da </w:t>
      </w:r>
      <w:r>
        <w:rPr>
          <w:color w:val="808080"/>
        </w:rPr>
        <w:t>(und)</w:t>
      </w:r>
      <w:r>
        <w:rPr/>
        <w:t xml:space="preserve"> blieb Jesus stehen </w:t>
      </w:r>
      <w:r>
        <w:rPr>
          <w:color w:val="808080"/>
        </w:rPr>
        <w:t>(stand auf)</w:t>
      </w:r>
      <w:r>
        <w:rPr/>
        <w:t xml:space="preserve"> und sagte: »Ruft ihn!« Und sie riefen den Blinden und sagten </w:t>
      </w:r>
      <w:r>
        <w:rPr>
          <w:rStyle w:val="Funotenanker"/>
        </w:rPr>
        <w:footnoteReference w:customMarkFollows="1" w:id="1906"/>
        <w:t>bi</w:t>
      </w:r>
      <w:r>
        <w:rPr/>
        <w:t xml:space="preserve"> zu ihm: »Keine Angst! </w:t>
      </w:r>
      <w:r>
        <w:rPr>
          <w:color w:val="808080"/>
        </w:rPr>
        <w:t>(Hab nur Mut!)</w:t>
      </w:r>
      <w:r>
        <w:rPr/>
        <w:t xml:space="preserve"> Steh auf, er ruft dich!«{{field-off:bible}} </w:t>
        <w:br/>
        <w:t>[[@BibleTOBIBLE:Mk 10:50]]</w:t>
      </w:r>
      <w:r>
        <w:rPr>
          <w:b/>
        </w:rPr>
        <w:t>50</w:t>
      </w:r>
      <w:r>
        <w:rPr/>
        <w:t xml:space="preserve"> {{field-on:bible}}Da warf er seinen Mantel </w:t>
      </w:r>
      <w:r>
        <w:rPr>
          <w:color w:val="808080"/>
        </w:rPr>
        <w:t>(Obergewand)</w:t>
      </w:r>
      <w:r>
        <w:rPr/>
        <w:t xml:space="preserve"> ab, sprang auf und </w:t>
      </w:r>
      <w:r>
        <w:rPr>
          <w:rStyle w:val="Funotenanker"/>
        </w:rPr>
        <w:footnoteReference w:customMarkFollows="1" w:id="1907"/>
        <w:t>bj</w:t>
      </w:r>
      <w:r>
        <w:rPr/>
        <w:t xml:space="preserve"> kam zu Jesus.{{field-off:bible}} </w:t>
        <w:br/>
        <w:t>[[@BibleTOBIBLE:Mk 10:51]]</w:t>
      </w:r>
      <w:r>
        <w:rPr>
          <w:b/>
        </w:rPr>
        <w:t>51</w:t>
      </w:r>
      <w:r>
        <w:rPr/>
        <w:t xml:space="preserve"> {{field-on:bible}}Und Jesus fragte ihn </w:t>
      </w:r>
      <w:r>
        <w:rPr>
          <w:rStyle w:val="Funotenanker"/>
        </w:rPr>
        <w:footnoteReference w:customMarkFollows="1" w:id="1908"/>
        <w:t>bk</w:t>
      </w:r>
      <w:r>
        <w:rPr/>
        <w:t xml:space="preserve">: »Was willst du, dass ich für dich tue?« Da sagte der Blinde zu ihm: »Rabbuni </w:t>
      </w:r>
      <w:r>
        <w:rPr>
          <w:rStyle w:val="Funotenanker"/>
        </w:rPr>
        <w:footnoteReference w:customMarkFollows="1" w:id="1909"/>
        <w:t>bl</w:t>
      </w:r>
      <w:r>
        <w:rPr/>
        <w:t xml:space="preserve">, dass ich sehen kann!«{{field-off:bible}} </w:t>
        <w:br/>
        <w:t>[[@BibleTOBIBLE:Mk 10:52]]</w:t>
      </w:r>
      <w:r>
        <w:rPr>
          <w:b/>
        </w:rPr>
        <w:t>52</w:t>
      </w:r>
      <w:r>
        <w:rPr/>
        <w:t xml:space="preserve"> {{field-on:bible}}Und Jesus sagte zu ihm: »Geh </w:t>
      </w:r>
      <w:r>
        <w:rPr>
          <w:rStyle w:val="Funotenanker"/>
        </w:rPr>
        <w:footnoteReference w:customMarkFollows="1" w:id="1910"/>
        <w:t>bm</w:t>
      </w:r>
      <w:r>
        <w:rPr/>
        <w:t xml:space="preserve">, dein Glaube hat dich geheilt </w:t>
      </w:r>
      <w:r>
        <w:rPr>
          <w:color w:val="808080"/>
        </w:rPr>
        <w:t>(gerettet)</w:t>
      </w:r>
      <w:r>
        <w:rPr/>
        <w:t xml:space="preserve">!«, und er konnte augenblicklich sehen, und er folgte </w:t>
      </w:r>
      <w:r>
        <w:rPr>
          <w:color w:val="808080"/>
        </w:rPr>
        <w:t>(schloss sich an)</w:t>
      </w:r>
      <w:r>
        <w:rPr/>
        <w:t xml:space="preserve"> ihm auf dem Weg. </w:t>
      </w:r>
      <w:r>
        <w:rPr>
          <w:rStyle w:val="Funotenanker"/>
        </w:rPr>
        <w:footnoteReference w:customMarkFollows="1" w:id="1911"/>
        <w:t>bn</w:t>
      </w:r>
      <w:r>
        <w:rPr/>
        <w:t xml:space="preserve">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1912"/>
        <w:t>Status</w:t>
      </w:r>
      <w:r>
        <w:rPr/>
        <w:t xml:space="preserve"> Und als sie in die Nähe von Jerusalem kamen </w:t>
      </w:r>
      <w:r>
        <w:rPr>
          <w:color w:val="808080"/>
        </w:rPr>
        <w:t>(näherten)</w:t>
      </w:r>
      <w:r>
        <w:rPr/>
        <w:t xml:space="preserve">, nach Betfage und Betanien beim Ölberg </w:t>
      </w:r>
      <w:r>
        <w:rPr>
          <w:rStyle w:val="Funotenanker"/>
        </w:rPr>
        <w:footnoteReference w:customMarkFollows="1" w:id="1913"/>
        <w:t>a</w:t>
      </w:r>
      <w:r>
        <w:rPr/>
        <w:t>, schickte er zwei seiner Jünger los.</w:t>
      </w:r>
      <w:r>
        <w:rPr>
          <w:position w:val="8"/>
          <w:sz w:val="19"/>
        </w:rPr>
        <w:t>[[ ℘ &gt;&gt; BibleTOBIBLE:Zec 14:4]]</w:t>
      </w:r>
      <w:r>
        <w:rPr/>
        <w:t xml:space="preserve"> {{field-off:bible}} </w:t>
        <w:br/>
        <w:t>[[@BibleTOBIBLE:Mk 11:2]]</w:t>
      </w:r>
      <w:r>
        <w:rPr>
          <w:b/>
        </w:rPr>
        <w:t>2</w:t>
      </w:r>
      <w:r>
        <w:rPr/>
        <w:t xml:space="preserve"> {{field-on:bible}}Er sagte zu ihnen </w:t>
      </w:r>
      <w:r>
        <w:rPr>
          <w:rStyle w:val="Funotenanker"/>
        </w:rPr>
        <w:footnoteReference w:customMarkFollows="1" w:id="1914"/>
        <w:t>b</w:t>
      </w:r>
      <w:r>
        <w:rPr/>
        <w:t xml:space="preserve"> „Geht in das Dorf, das vor euch </w:t>
      </w:r>
      <w:r>
        <w:rPr>
          <w:b/>
          <w:color w:val="808080"/>
        </w:rPr>
        <w:t>[</w:t>
      </w:r>
      <w:r>
        <w:rPr/>
        <w:t>liegt</w:t>
      </w:r>
      <w:r>
        <w:rPr>
          <w:b/>
          <w:color w:val="808080"/>
        </w:rPr>
        <w:t>]</w:t>
      </w:r>
      <w:r>
        <w:rPr/>
        <w:t xml:space="preserve">, und gleich, wenn ihr hineingeht, </w:t>
      </w:r>
      <w:r>
        <w:rPr>
          <w:rStyle w:val="Funotenanker"/>
        </w:rPr>
        <w:footnoteReference w:customMarkFollows="1" w:id="1915"/>
        <w:t>c</w:t>
      </w:r>
      <w:r>
        <w:rPr/>
        <w:t xml:space="preserve"> werdet ihr ein Eselsfohlen </w:t>
      </w:r>
      <w:r>
        <w:rPr>
          <w:color w:val="808080"/>
        </w:rPr>
        <w:t>(Fohlen)</w:t>
      </w:r>
      <w:r>
        <w:rPr/>
        <w:t xml:space="preserve"> </w:t>
      </w:r>
      <w:r>
        <w:rPr>
          <w:rStyle w:val="Funotenanker"/>
        </w:rPr>
        <w:footnoteReference w:customMarkFollows="1" w:id="1916"/>
        <w:t>d</w:t>
      </w:r>
      <w:r>
        <w:rPr/>
        <w:t xml:space="preserve"> angebunden finden, auf dem noch nie ein Mensch </w:t>
      </w:r>
      <w:r>
        <w:rPr>
          <w:rStyle w:val="Funotenanker"/>
        </w:rPr>
        <w:footnoteReference w:customMarkFollows="1" w:id="1917"/>
        <w:t>e</w:t>
      </w:r>
      <w:r>
        <w:rPr/>
        <w:t xml:space="preserve"> gesessen hat. Bindet es los und bringt es her!{{field-off:bible}} </w:t>
        <w:br/>
        <w:t>[[@BibleTOBIBLE:Mk 11:3]]</w:t>
      </w:r>
      <w:r>
        <w:rPr>
          <w:b/>
        </w:rPr>
        <w:t>3</w:t>
      </w:r>
      <w:r>
        <w:rPr/>
        <w:t xml:space="preserve"> {{field-on:bible}}Und falls euch jemand fragt: »Was macht ihr da </w:t>
      </w:r>
      <w:r>
        <w:rPr>
          <w:color w:val="808080"/>
        </w:rPr>
        <w:t>(Warum macht ihr das)</w:t>
      </w:r>
      <w:r>
        <w:rPr/>
        <w:t xml:space="preserve">?«, </w:t>
      </w:r>
      <w:r>
        <w:rPr>
          <w:b/>
          <w:color w:val="808080"/>
        </w:rPr>
        <w:t>[</w:t>
      </w:r>
      <w:r>
        <w:rPr/>
        <w:t>dann</w:t>
      </w:r>
      <w:r>
        <w:rPr>
          <w:b/>
          <w:color w:val="808080"/>
        </w:rPr>
        <w:t>]</w:t>
      </w:r>
      <w:r>
        <w:rPr/>
        <w:t xml:space="preserve"> sagt: »Der Herr braucht es und schickt es </w:t>
      </w:r>
      <w:r>
        <w:rPr>
          <w:b/>
          <w:color w:val="808080"/>
        </w:rPr>
        <w:t>[</w:t>
      </w:r>
      <w:r>
        <w:rPr/>
        <w:t>später</w:t>
      </w:r>
      <w:r>
        <w:rPr>
          <w:b/>
          <w:color w:val="808080"/>
        </w:rPr>
        <w:t>]</w:t>
      </w:r>
      <w:r>
        <w:rPr/>
        <w:t xml:space="preserve"> wieder zurück </w:t>
      </w:r>
      <w:r>
        <w:rPr>
          <w:color w:val="808080"/>
        </w:rPr>
        <w:t>(hierher)</w:t>
      </w:r>
      <w:r>
        <w:rPr/>
        <w:t xml:space="preserve">.«“ </w:t>
      </w:r>
      <w:r>
        <w:rPr>
          <w:rStyle w:val="Funotenanker"/>
        </w:rPr>
        <w:footnoteReference w:customMarkFollows="1" w:id="1918"/>
        <w:t>f</w:t>
      </w:r>
      <w:r>
        <w:rPr/>
        <w:t xml:space="preserve"> {{field-off:bible}} </w:t>
        <w:br/>
        <w:t>[[@BibleTOBIBLE:Mk 11:4]]</w:t>
      </w:r>
      <w:r>
        <w:rPr>
          <w:b/>
        </w:rPr>
        <w:t>4</w:t>
      </w:r>
      <w:r>
        <w:rPr/>
        <w:t xml:space="preserve"> {{field-on:bible}}Daraufhin </w:t>
      </w:r>
      <w:r>
        <w:rPr>
          <w:color w:val="808080"/>
        </w:rPr>
        <w:t>(Und)</w:t>
      </w:r>
      <w:r>
        <w:rPr/>
        <w:t xml:space="preserve"> gingen sie los und fanden das Eselsfohlen </w:t>
      </w:r>
      <w:r>
        <w:rPr>
          <w:color w:val="808080"/>
        </w:rPr>
        <w:t>(Fohlen)</w:t>
      </w:r>
      <w:r>
        <w:rPr/>
        <w:t xml:space="preserve">, das draußen auf der Straße an eine Tür </w:t>
      </w:r>
      <w:r>
        <w:rPr>
          <w:color w:val="808080"/>
        </w:rPr>
        <w:t>(Tor)</w:t>
      </w:r>
      <w:r>
        <w:rPr/>
        <w:t xml:space="preserve"> gebunden war, und </w:t>
      </w:r>
      <w:r>
        <w:rPr>
          <w:color w:val="808080"/>
        </w:rPr>
        <w:t>(als)</w:t>
      </w:r>
      <w:r>
        <w:rPr/>
        <w:t xml:space="preserve"> sie banden es los.{{field-off:bible}} </w:t>
        <w:br/>
        <w:t>[[@BibleTOBIBLE:Mk 11:5]]</w:t>
      </w:r>
      <w:r>
        <w:rPr>
          <w:b/>
        </w:rPr>
        <w:t>5</w:t>
      </w:r>
      <w:r>
        <w:rPr/>
        <w:t xml:space="preserve"> {{field-on:bible}}Und </w:t>
      </w:r>
      <w:r>
        <w:rPr>
          <w:color w:val="808080"/>
        </w:rPr>
        <w:t>(da)</w:t>
      </w:r>
      <w:r>
        <w:rPr/>
        <w:t xml:space="preserve"> einige von den </w:t>
      </w:r>
      <w:r>
        <w:rPr>
          <w:b/>
          <w:color w:val="808080"/>
        </w:rPr>
        <w:t>[</w:t>
      </w:r>
      <w:r>
        <w:rPr/>
        <w:t>Leuten</w:t>
      </w:r>
      <w:r>
        <w:rPr>
          <w:b/>
          <w:color w:val="808080"/>
        </w:rPr>
        <w:t>]</w:t>
      </w:r>
      <w:r>
        <w:rPr/>
        <w:t xml:space="preserve">, die dort herumstanden, fragten sie: „Was macht ihr </w:t>
      </w:r>
      <w:r>
        <w:rPr>
          <w:b/>
          <w:color w:val="808080"/>
        </w:rPr>
        <w:t>[</w:t>
      </w:r>
      <w:r>
        <w:rPr/>
        <w:t>da</w:t>
      </w:r>
      <w:r>
        <w:rPr>
          <w:b/>
          <w:color w:val="808080"/>
        </w:rPr>
        <w:t>]</w:t>
      </w:r>
      <w:r>
        <w:rPr/>
        <w:t xml:space="preserve">, dass ihr das Eselsfohlen </w:t>
      </w:r>
      <w:r>
        <w:rPr>
          <w:color w:val="808080"/>
        </w:rPr>
        <w:t>(Fohlen)</w:t>
      </w:r>
      <w:r>
        <w:rPr/>
        <w:t xml:space="preserve"> losbindet </w:t>
      </w:r>
      <w:r>
        <w:rPr>
          <w:rStyle w:val="Funotenanker"/>
        </w:rPr>
        <w:footnoteReference w:customMarkFollows="1" w:id="1919"/>
        <w:t>g</w:t>
      </w:r>
      <w:r>
        <w:rPr/>
        <w:t xml:space="preserve">?“{{field-off:bible}} </w:t>
        <w:br/>
        <w:t>[[@BibleTOBIBLE:Mk 11:6]]</w:t>
      </w:r>
      <w:r>
        <w:rPr>
          <w:b/>
        </w:rPr>
        <w:t>6</w:t>
      </w:r>
      <w:r>
        <w:rPr/>
        <w:t xml:space="preserve"> {{field-on:bible}}Da sagten sie ihnen genau </w:t>
      </w:r>
      <w:r>
        <w:rPr>
          <w:b/>
          <w:color w:val="808080"/>
        </w:rPr>
        <w:t>[</w:t>
      </w:r>
      <w:r>
        <w:rPr/>
        <w:t>das, was</w:t>
      </w:r>
      <w:r>
        <w:rPr>
          <w:b/>
          <w:color w:val="808080"/>
        </w:rPr>
        <w:t>]</w:t>
      </w:r>
      <w:r>
        <w:rPr/>
        <w:t xml:space="preserve"> Jesus gesagt hatte, und </w:t>
      </w:r>
      <w:r>
        <w:rPr>
          <w:b/>
          <w:color w:val="808080"/>
        </w:rPr>
        <w:t>[</w:t>
      </w:r>
      <w:r>
        <w:rPr/>
        <w:t>die Leute</w:t>
      </w:r>
      <w:r>
        <w:rPr>
          <w:b/>
          <w:color w:val="808080"/>
        </w:rPr>
        <w:t>]</w:t>
      </w:r>
      <w:r>
        <w:rPr/>
        <w:t xml:space="preserve"> ließen sie machen.{{field-off:bible}} </w:t>
        <w:br/>
        <w:t>[[@BibleTOBIBLE:Mk 11:7]]</w:t>
      </w:r>
      <w:r>
        <w:rPr>
          <w:b/>
        </w:rPr>
        <w:t>7</w:t>
      </w:r>
      <w:r>
        <w:rPr/>
        <w:t xml:space="preserve"> {{field-on:bible}}Und sie führten das Eselsfohlen </w:t>
      </w:r>
      <w:r>
        <w:rPr>
          <w:color w:val="808080"/>
        </w:rPr>
        <w:t>(Fohlen)</w:t>
      </w:r>
      <w:r>
        <w:rPr/>
        <w:t xml:space="preserve"> zu Jesus und legten ihre Kleider </w:t>
      </w:r>
      <w:r>
        <w:rPr>
          <w:color w:val="808080"/>
        </w:rPr>
        <w:t>(Mäntel, Obergewänder)</w:t>
      </w:r>
      <w:r>
        <w:rPr/>
        <w:t xml:space="preserve"> über </w:t>
      </w:r>
      <w:r>
        <w:rPr>
          <w:b/>
          <w:color w:val="808080"/>
        </w:rPr>
        <w:t>[</w:t>
      </w:r>
      <w:r>
        <w:rPr/>
        <w:t>das Tier</w:t>
      </w:r>
      <w:r>
        <w:rPr>
          <w:b/>
          <w:color w:val="808080"/>
        </w:rPr>
        <w:t>]</w:t>
      </w:r>
      <w:r>
        <w:rPr/>
        <w:t xml:space="preserve">, und er setzte sich darauf.{{field-off:bible}} </w:t>
        <w:br/>
        <w:t>[[@BibleTOBIBLE:Mk 11:8]]</w:t>
      </w:r>
      <w:r>
        <w:rPr>
          <w:b/>
        </w:rPr>
        <w:t>8</w:t>
      </w:r>
      <w:r>
        <w:rPr/>
        <w:t xml:space="preserve"> {{field-on:bible}}Und viele breiteten ihre Kleider </w:t>
      </w:r>
      <w:r>
        <w:rPr>
          <w:color w:val="808080"/>
        </w:rPr>
        <w:t>(Mäntel, Obergewänder)</w:t>
      </w:r>
      <w:r>
        <w:rPr/>
        <w:t xml:space="preserve"> auf dem Weg aus, andere </w:t>
      </w:r>
      <w:r>
        <w:rPr>
          <w:strike/>
          <w:color w:val="808080"/>
        </w:rPr>
        <w:t>{aber}</w:t>
      </w:r>
      <w:r>
        <w:rPr/>
        <w:t xml:space="preserve"> Zweige </w:t>
      </w:r>
      <w:r>
        <w:rPr>
          <w:color w:val="808080"/>
        </w:rPr>
        <w:t>(lange Gräser, Laubbüschel)</w:t>
      </w:r>
      <w:r>
        <w:rPr/>
        <w:t xml:space="preserve">, die sie auf den Feldern abgeschnitten </w:t>
      </w:r>
      <w:r>
        <w:rPr>
          <w:color w:val="808080"/>
        </w:rPr>
        <w:t>(abgerissen)</w:t>
      </w:r>
      <w:r>
        <w:rPr/>
        <w:t xml:space="preserve"> hatten. </w:t>
      </w:r>
      <w:r>
        <w:rPr>
          <w:rStyle w:val="Funotenanker"/>
        </w:rPr>
        <w:footnoteReference w:customMarkFollows="1" w:id="1920"/>
        <w:t>h</w:t>
      </w:r>
      <w:r>
        <w:rPr/>
        <w:t xml:space="preserve"> {{field-off:bible}} </w:t>
        <w:br/>
        <w:t>[[@BibleTOBIBLE:Mk 11:9]]</w:t>
      </w:r>
      <w:r>
        <w:rPr>
          <w:b/>
        </w:rPr>
        <w:t>9</w:t>
      </w:r>
      <w:r>
        <w:rPr/>
        <w:t xml:space="preserve"> {{field-on:bible}}Und die </w:t>
      </w:r>
      <w:r>
        <w:rPr>
          <w:b/>
          <w:color w:val="808080"/>
        </w:rPr>
        <w:t>[</w:t>
      </w:r>
      <w:r>
        <w:rPr/>
        <w:t>Menschen</w:t>
      </w:r>
      <w:r>
        <w:rPr>
          <w:b/>
          <w:color w:val="808080"/>
        </w:rPr>
        <w:t>]</w:t>
      </w:r>
      <w:r>
        <w:rPr/>
        <w:t xml:space="preserve">, die vor </w:t>
      </w:r>
      <w:r>
        <w:rPr>
          <w:b/>
          <w:color w:val="808080"/>
        </w:rPr>
        <w:t>[</w:t>
      </w:r>
      <w:r>
        <w:rPr/>
        <w:t>ihm</w:t>
      </w:r>
      <w:r>
        <w:rPr>
          <w:b/>
          <w:color w:val="808080"/>
        </w:rPr>
        <w:t>]</w:t>
      </w:r>
      <w:r>
        <w:rPr/>
        <w:t xml:space="preserve"> hergingen und </w:t>
      </w:r>
      <w:r>
        <w:rPr>
          <w:b/>
          <w:color w:val="808080"/>
        </w:rPr>
        <w:t>[</w:t>
      </w:r>
      <w:r>
        <w:rPr/>
        <w:t>ihm</w:t>
      </w:r>
      <w:r>
        <w:rPr>
          <w:b/>
          <w:color w:val="808080"/>
        </w:rPr>
        <w:t>]</w:t>
      </w:r>
      <w:r>
        <w:rPr/>
        <w:t xml:space="preserve"> folgten, riefen immer wieder </w:t>
      </w:r>
      <w:r>
        <w:rPr>
          <w:rStyle w:val="Funotenanker"/>
        </w:rPr>
        <w:footnoteReference w:customMarkFollows="1" w:id="1921"/>
        <w:t>i</w:t>
      </w:r>
      <w:r>
        <w:rPr/>
        <w:t xml:space="preserve">: „Hosanna! </w:t>
      </w:r>
      <w:r>
        <w:rPr>
          <w:rStyle w:val="Funotenanker"/>
        </w:rPr>
        <w:footnoteReference w:customMarkFollows="1" w:id="1922"/>
        <w:t>j</w:t>
      </w:r>
      <w:r>
        <w:rPr/>
        <w:t xml:space="preserve"> Gepriesen </w:t>
      </w:r>
      <w:r>
        <w:rPr>
          <w:color w:val="808080"/>
        </w:rPr>
        <w:t>(Gesegnet)</w:t>
      </w:r>
      <w:r>
        <w:rPr/>
        <w:t xml:space="preserve"> </w:t>
      </w:r>
      <w:r>
        <w:rPr>
          <w:b/>
          <w:color w:val="808080"/>
        </w:rPr>
        <w:t>[</w:t>
      </w:r>
      <w:r>
        <w:rPr/>
        <w:t>sei</w:t>
      </w:r>
      <w:r>
        <w:rPr>
          <w:b/>
          <w:color w:val="808080"/>
        </w:rPr>
        <w:t>]</w:t>
      </w:r>
      <w:r>
        <w:rPr/>
        <w:t>, der im Namen des Herrn kommt!</w:t>
      </w:r>
      <w:r>
        <w:rPr>
          <w:position w:val="8"/>
          <w:sz w:val="19"/>
        </w:rPr>
        <w:t>[[ ℘ &gt;&gt; BibleTOBIBLE:Ps 118:25]]</w:t>
      </w:r>
      <w:r>
        <w:rPr/>
        <w:t xml:space="preserve"> {{field-off:bible}} </w:t>
        <w:br/>
        <w:t>[[@BibleTOBIBLE:Mk 11:10]]</w:t>
      </w:r>
      <w:r>
        <w:rPr>
          <w:b/>
        </w:rPr>
        <w:t>10</w:t>
      </w:r>
      <w:r>
        <w:rPr/>
        <w:t xml:space="preserve"> {{field-on:bible}}Gepriesen </w:t>
      </w:r>
      <w:r>
        <w:rPr>
          <w:color w:val="808080"/>
        </w:rPr>
        <w:t>(Gesegnet)</w:t>
      </w:r>
      <w:r>
        <w:rPr/>
        <w:t xml:space="preserve"> </w:t>
      </w:r>
      <w:r>
        <w:rPr>
          <w:b/>
          <w:color w:val="808080"/>
        </w:rPr>
        <w:t>[</w:t>
      </w:r>
      <w:r>
        <w:rPr/>
        <w:t>sei</w:t>
      </w:r>
      <w:r>
        <w:rPr>
          <w:b/>
          <w:color w:val="808080"/>
        </w:rPr>
        <w:t>]</w:t>
      </w:r>
      <w:r>
        <w:rPr/>
        <w:t xml:space="preserve"> das kommende Reich </w:t>
      </w:r>
      <w:r>
        <w:rPr>
          <w:color w:val="808080"/>
        </w:rPr>
        <w:t>(Herrschaft)</w:t>
      </w:r>
      <w:r>
        <w:rPr/>
        <w:t xml:space="preserve"> unseres Vaters </w:t>
      </w:r>
      <w:r>
        <w:rPr>
          <w:color w:val="808080"/>
        </w:rPr>
        <w:t>(Vorfahren)</w:t>
      </w:r>
      <w:r>
        <w:rPr/>
        <w:t xml:space="preserve"> David! Hosanna in den höchsten </w:t>
      </w:r>
      <w:r>
        <w:rPr>
          <w:b/>
          <w:color w:val="808080"/>
        </w:rPr>
        <w:t>[</w:t>
      </w:r>
      <w:r>
        <w:rPr/>
        <w:t>Höhen</w:t>
      </w:r>
      <w:r>
        <w:rPr>
          <w:b/>
          <w:color w:val="808080"/>
        </w:rPr>
        <w:t>]</w:t>
      </w:r>
      <w:r>
        <w:rPr/>
        <w:t>!“</w:t>
      </w:r>
      <w:r>
        <w:rPr>
          <w:position w:val="8"/>
          <w:sz w:val="19"/>
        </w:rPr>
        <w:t>[[ ℘ &gt;&gt; BibleTOBIBLE:Ps 148:1]]</w:t>
      </w:r>
      <w:r>
        <w:rPr/>
        <w:t xml:space="preserve"> {{field-off:bible}} </w:t>
        <w:br/>
        <w:t>[[@BibleTOBIBLE:Mk 11:11]]</w:t>
      </w:r>
      <w:r>
        <w:rPr>
          <w:b/>
        </w:rPr>
        <w:t>11</w:t>
      </w:r>
      <w:r>
        <w:rPr/>
        <w:t xml:space="preserve"> {{field-on:bible}}So </w:t>
      </w:r>
      <w:r>
        <w:rPr>
          <w:color w:val="808080"/>
        </w:rPr>
        <w:t>(Danach, Und)</w:t>
      </w:r>
      <w:r>
        <w:rPr/>
        <w:t xml:space="preserve"> zog </w:t>
      </w:r>
      <w:r>
        <w:rPr>
          <w:color w:val="808080"/>
        </w:rPr>
        <w:t>(ging)</w:t>
      </w:r>
      <w:r>
        <w:rPr/>
        <w:t xml:space="preserve"> er hinein nach Jerusalem, in den Tempel </w:t>
      </w:r>
      <w:r>
        <w:rPr>
          <w:color w:val="808080"/>
        </w:rPr>
        <w:t>(Tempelbezirk)</w:t>
      </w:r>
      <w:r>
        <w:rPr/>
        <w:t xml:space="preserve">. Dann </w:t>
      </w:r>
      <w:r>
        <w:rPr>
          <w:color w:val="808080"/>
        </w:rPr>
        <w:t>(Und)</w:t>
      </w:r>
      <w:r>
        <w:rPr/>
        <w:t xml:space="preserve">, nachdem er sich alles angesehen hatte, begab sich mit den Zwölf nach Betanien, weil </w:t>
      </w:r>
      <w:r>
        <w:rPr>
          <w:color w:val="808080"/>
        </w:rPr>
        <w:t>(als)</w:t>
      </w:r>
      <w:r>
        <w:rPr/>
        <w:t xml:space="preserve"> die Stunde schon spät war. </w:t>
      </w:r>
      <w:r>
        <w:rPr>
          <w:rStyle w:val="Funotenanker"/>
        </w:rPr>
        <w:footnoteReference w:customMarkFollows="1" w:id="1923"/>
        <w:t>k</w:t>
      </w:r>
      <w:r>
        <w:rPr/>
        <w:t xml:space="preserve"> {{field-off:bible}} </w:t>
        <w:br/>
        <w:t>[[@BibleTOBIBLE:Mk 11:12]]</w:t>
      </w:r>
      <w:r>
        <w:rPr>
          <w:b/>
        </w:rPr>
        <w:t>12</w:t>
      </w:r>
      <w:r>
        <w:rPr/>
        <w:t xml:space="preserve"> {{field-on:bible}} </w:t>
      </w:r>
      <w:r>
        <w:rPr>
          <w:strike/>
          <w:color w:val="808080"/>
        </w:rPr>
        <w:t>{Und}</w:t>
      </w:r>
      <w:r>
        <w:rPr/>
        <w:t xml:space="preserve"> Als sie am folgenden Tag Betanien verließen, wurde er hungrig </w:t>
      </w:r>
      <w:r>
        <w:rPr>
          <w:rStyle w:val="Funotenanker"/>
        </w:rPr>
        <w:footnoteReference w:customMarkFollows="1" w:id="1924"/>
        <w:t>l</w:t>
      </w:r>
      <w:r>
        <w:rPr/>
        <w:t xml:space="preserve">.{{field-off:bible}} </w:t>
        <w:br/>
        <w:t>[[@BibleTOBIBLE:Mk 11:13]]</w:t>
      </w:r>
      <w:r>
        <w:rPr>
          <w:b/>
        </w:rPr>
        <w:t>13</w:t>
      </w:r>
      <w:r>
        <w:rPr/>
        <w:t xml:space="preserve"> {{field-on:bible}}Und als er von weitem einen Feigenbaum mit Blättern sah, </w:t>
      </w:r>
      <w:r>
        <w:rPr>
          <w:rStyle w:val="Funotenanker"/>
        </w:rPr>
        <w:footnoteReference w:customMarkFollows="1" w:id="1925"/>
        <w:t>m</w:t>
      </w:r>
      <w:r>
        <w:rPr/>
        <w:t xml:space="preserve"> er ging hin, </w:t>
      </w:r>
      <w:r>
        <w:rPr>
          <w:b/>
          <w:color w:val="808080"/>
        </w:rPr>
        <w:t>[</w:t>
      </w:r>
      <w:r>
        <w:rPr/>
        <w:t>um zu sehen</w:t>
      </w:r>
      <w:r>
        <w:rPr>
          <w:b/>
          <w:color w:val="808080"/>
        </w:rPr>
        <w:t>]</w:t>
      </w:r>
      <w:r>
        <w:rPr/>
        <w:t xml:space="preserve">, ob er vielleicht etwas daran fände. Doch </w:t>
      </w:r>
      <w:r>
        <w:rPr>
          <w:color w:val="808080"/>
        </w:rPr>
        <w:t>(Und)</w:t>
      </w:r>
      <w:r>
        <w:rPr/>
        <w:t xml:space="preserve"> als er hinkam, fand er nur </w:t>
      </w:r>
      <w:r>
        <w:rPr>
          <w:color w:val="808080"/>
        </w:rPr>
        <w:t>(nichts außer)</w:t>
      </w:r>
      <w:r>
        <w:rPr/>
        <w:t xml:space="preserve"> Blätter, es war nämlich nicht die Zeit für Feigen.</w:t>
      </w:r>
      <w:r>
        <w:rPr>
          <w:position w:val="8"/>
          <w:sz w:val="19"/>
        </w:rPr>
        <w:t>[[ ℘ &gt;&gt; BibleTOBIBLE:Mic 7:1]]</w:t>
      </w:r>
      <w:r>
        <w:rPr/>
        <w:t xml:space="preserve"> {{field-off:bible}} </w:t>
        <w:br/>
        <w:t>[[@BibleTOBIBLE:Mk 11:14]]</w:t>
      </w:r>
      <w:r>
        <w:rPr>
          <w:b/>
        </w:rPr>
        <w:t>14</w:t>
      </w:r>
      <w:r>
        <w:rPr/>
        <w:t xml:space="preserve"> {{field-on:bible}}Da </w:t>
      </w:r>
      <w:r>
        <w:rPr>
          <w:color w:val="808080"/>
        </w:rPr>
        <w:t>(Und)</w:t>
      </w:r>
      <w:r>
        <w:rPr/>
        <w:t xml:space="preserve"> sagte er zu </w:t>
      </w:r>
      <w:r>
        <w:rPr>
          <w:b/>
          <w:color w:val="808080"/>
        </w:rPr>
        <w:t>[</w:t>
      </w:r>
      <w:r>
        <w:rPr/>
        <w:t>dem Baum</w:t>
      </w:r>
      <w:r>
        <w:rPr>
          <w:b/>
          <w:color w:val="808080"/>
        </w:rPr>
        <w:t>]</w:t>
      </w:r>
      <w:r>
        <w:rPr/>
        <w:t xml:space="preserve">: </w:t>
      </w:r>
      <w:r>
        <w:rPr>
          <w:rStyle w:val="Funotenanker"/>
        </w:rPr>
        <w:footnoteReference w:customMarkFollows="1" w:id="1926"/>
        <w:t>n</w:t>
      </w:r>
      <w:r>
        <w:rPr/>
        <w:t xml:space="preserve"> „Nie mehr, bis in Ewigkeit, soll jemand </w:t>
      </w:r>
      <w:r>
        <w:rPr>
          <w:rStyle w:val="Funotenanker"/>
        </w:rPr>
        <w:footnoteReference w:customMarkFollows="1" w:id="1927"/>
        <w:t>o</w:t>
      </w:r>
      <w:r>
        <w:rPr/>
        <w:t xml:space="preserve"> von dir Frucht essen!“ Und seine Jünger hörten das.{{field-off:bible}} </w:t>
        <w:br/>
        <w:t>[[@BibleTOBIBLE:Mk 11:15]]</w:t>
      </w:r>
      <w:r>
        <w:rPr>
          <w:b/>
        </w:rPr>
        <w:t>15</w:t>
      </w:r>
      <w:r>
        <w:rPr/>
        <w:t xml:space="preserve"> {{field-on:bible}}Als </w:t>
      </w:r>
      <w:r>
        <w:rPr>
          <w:color w:val="808080"/>
        </w:rPr>
        <w:t>(Und)</w:t>
      </w:r>
      <w:r>
        <w:rPr/>
        <w:t xml:space="preserve"> sie nach Jerusalem kamen, </w:t>
      </w:r>
      <w:r>
        <w:rPr>
          <w:strike/>
          <w:color w:val="808080"/>
        </w:rPr>
        <w:t>{und}</w:t>
      </w:r>
      <w:r>
        <w:rPr/>
        <w:t xml:space="preserve"> </w:t>
      </w:r>
      <w:r>
        <w:rPr>
          <w:rStyle w:val="Funotenanker"/>
        </w:rPr>
        <w:footnoteReference w:customMarkFollows="1" w:id="1928"/>
        <w:t>p</w:t>
      </w:r>
      <w:r>
        <w:rPr/>
        <w:t xml:space="preserve"> ging er in den Tempel </w:t>
      </w:r>
      <w:r>
        <w:rPr>
          <w:color w:val="808080"/>
        </w:rPr>
        <w:t>(Tempelbezirk)</w:t>
      </w:r>
      <w:r>
        <w:rPr/>
        <w:t xml:space="preserve"> und </w:t>
      </w:r>
      <w:r>
        <w:rPr>
          <w:rStyle w:val="Funotenanker"/>
        </w:rPr>
        <w:footnoteReference w:customMarkFollows="1" w:id="1929"/>
        <w:t>q</w:t>
      </w:r>
      <w:r>
        <w:rPr/>
        <w:t xml:space="preserve"> fing an, </w:t>
      </w:r>
      <w:r>
        <w:rPr>
          <w:b/>
          <w:color w:val="808080"/>
        </w:rPr>
        <w:t>[</w:t>
      </w:r>
      <w:r>
        <w:rPr/>
        <w:t>alle</w:t>
      </w:r>
      <w:r>
        <w:rPr>
          <w:b/>
          <w:color w:val="808080"/>
        </w:rPr>
        <w:t>]</w:t>
      </w:r>
      <w:r>
        <w:rPr/>
        <w:t xml:space="preserve">, die im Tempel verkauften und kauften, hinauszutreiben. </w:t>
      </w:r>
      <w:r>
        <w:rPr>
          <w:strike/>
          <w:color w:val="808080"/>
        </w:rPr>
        <w:t>{und}</w:t>
      </w:r>
      <w:r>
        <w:rPr/>
        <w:t xml:space="preserve"> Er warf die Tische der Geldwechsler und die Stände </w:t>
      </w:r>
      <w:r>
        <w:rPr>
          <w:color w:val="808080"/>
        </w:rPr>
        <w:t>(Sitze)</w:t>
      </w:r>
      <w:r>
        <w:rPr/>
        <w:t xml:space="preserve"> der Taubenverkäufer </w:t>
      </w:r>
      <w:r>
        <w:rPr>
          <w:rStyle w:val="Funotenanker"/>
        </w:rPr>
        <w:footnoteReference w:customMarkFollows="1" w:id="1930"/>
        <w:t>r</w:t>
      </w:r>
      <w:r>
        <w:rPr/>
        <w:t xml:space="preserve"> um</w:t>
      </w:r>
      <w:r>
        <w:rPr>
          <w:position w:val="8"/>
          <w:sz w:val="19"/>
        </w:rPr>
        <w:t>[[ ℘ &gt;&gt; BibleTOBIBLE:Ho 9:15]][[ ℘ &gt;&gt; BibleTOBIBLE:Jn 2:15]]</w:t>
      </w:r>
      <w:r>
        <w:rPr/>
        <w:t xml:space="preserve"> {{field-off:bible}} </w:t>
        <w:br/>
        <w:t>[[@BibleTOBIBLE:Mk 11:16]]</w:t>
      </w:r>
      <w:r>
        <w:rPr>
          <w:b/>
        </w:rPr>
        <w:t>16</w:t>
      </w:r>
      <w:r>
        <w:rPr/>
        <w:t xml:space="preserve"> {{field-on:bible}}und ließ nicht zu, dass irgendjemand einen Gegenstand </w:t>
      </w:r>
      <w:r>
        <w:rPr>
          <w:color w:val="808080"/>
        </w:rPr>
        <w:t>(etwas)</w:t>
      </w:r>
      <w:r>
        <w:rPr/>
        <w:t xml:space="preserve"> </w:t>
      </w:r>
      <w:r>
        <w:rPr>
          <w:rStyle w:val="Funotenanker"/>
        </w:rPr>
        <w:footnoteReference w:customMarkFollows="1" w:id="1931"/>
        <w:t>s</w:t>
      </w:r>
      <w:r>
        <w:rPr/>
        <w:t xml:space="preserve"> durch den Tempelhof </w:t>
      </w:r>
      <w:r>
        <w:rPr>
          <w:color w:val="808080"/>
        </w:rPr>
        <w:t>(Tempel)</w:t>
      </w:r>
      <w:r>
        <w:rPr/>
        <w:t xml:space="preserve"> trug.</w:t>
      </w:r>
      <w:r>
        <w:rPr>
          <w:position w:val="8"/>
          <w:sz w:val="19"/>
        </w:rPr>
        <w:t>[[ ℘ &gt;&gt; BibleTOBIBLE:Zec 14:21]]</w:t>
      </w:r>
      <w:r>
        <w:rPr/>
        <w:t xml:space="preserve"> {{field-off:bible}} </w:t>
        <w:br/>
        <w:t>[[@BibleTOBIBLE:Mk 11:17]]</w:t>
      </w:r>
      <w:r>
        <w:rPr>
          <w:b/>
        </w:rPr>
        <w:t>17</w:t>
      </w:r>
      <w:r>
        <w:rPr/>
        <w:t xml:space="preserve"> {{field-on:bible}}Dabei lehrte er sie: </w:t>
      </w:r>
      <w:r>
        <w:rPr>
          <w:rStyle w:val="Funotenanker"/>
        </w:rPr>
        <w:footnoteReference w:customMarkFollows="1" w:id="1932"/>
        <w:t>t</w:t>
      </w:r>
      <w:r>
        <w:rPr/>
        <w:t xml:space="preserve"> „Heißt es nicht </w:t>
      </w:r>
      <w:r>
        <w:rPr>
          <w:color w:val="808080"/>
        </w:rPr>
        <w:t>(Steht nicht geschrieben)</w:t>
      </w:r>
      <w:r>
        <w:rPr/>
        <w:t>: »Mein Haus wird ein Haus des Gebets für alle Völker</w:t>
      </w:r>
      <w:r>
        <w:rPr>
          <w:rStyle w:val="Funotenanker"/>
        </w:rPr>
        <w:footnoteReference w:customMarkFollows="1" w:id="1933"/>
        <w:t>u</w:t>
      </w:r>
      <w:r>
        <w:rPr/>
        <w:t xml:space="preserve"> </w:t>
      </w:r>
      <w:r>
        <w:rPr>
          <w:color w:val="808080"/>
        </w:rPr>
        <w:t>(Nichtjuden)</w:t>
      </w:r>
      <w:r>
        <w:rPr/>
        <w:t xml:space="preserve"> genannt werden«?</w:t>
      </w:r>
      <w:r>
        <w:rPr>
          <w:position w:val="8"/>
          <w:sz w:val="19"/>
        </w:rPr>
        <w:t>[[ ℘ &gt;&gt; BibleTOBIBLE:Is 56:7]]</w:t>
      </w:r>
      <w:r>
        <w:rPr/>
        <w:t xml:space="preserve"> Ihr aber habt daraus eine Räuberhöhle gemacht!“</w:t>
      </w:r>
      <w:r>
        <w:rPr>
          <w:position w:val="8"/>
          <w:sz w:val="19"/>
        </w:rPr>
        <w:t>[[ ℘ &gt;&gt; BibleTOBIBLE:Je 7:11]]</w:t>
      </w:r>
      <w:r>
        <w:rPr/>
        <w:t xml:space="preserve"> </w:t>
      </w:r>
      <w:r>
        <w:rPr>
          <w:rStyle w:val="Funotenanker"/>
        </w:rPr>
        <w:footnoteReference w:customMarkFollows="1" w:id="1934"/>
        <w:t>v</w:t>
      </w:r>
      <w:r>
        <w:rPr/>
        <w:t xml:space="preserve"> {{field-off:bible}} </w:t>
        <w:br/>
        <w:t>[[@BibleTOBIBLE:Mk 11:18]]</w:t>
      </w:r>
      <w:r>
        <w:rPr>
          <w:b/>
        </w:rPr>
        <w:t>18</w:t>
      </w:r>
      <w:r>
        <w:rPr/>
        <w:t xml:space="preserve"> {{field-on:bible}}Als </w:t>
      </w:r>
      <w:r>
        <w:rPr>
          <w:color w:val="808080"/>
        </w:rPr>
        <w:t>(Und)</w:t>
      </w:r>
      <w:r>
        <w:rPr/>
        <w:t xml:space="preserve"> die obersten </w:t>
      </w:r>
      <w:r>
        <w:rPr>
          <w:color w:val="808080"/>
        </w:rPr>
        <w:t>(führenden, Hohen)</w:t>
      </w:r>
      <w:r>
        <w:rPr/>
        <w:t xml:space="preserve"> Priester </w:t>
      </w:r>
      <w:r>
        <w:rPr>
          <w:rStyle w:val="Funotenanker"/>
        </w:rPr>
        <w:footnoteReference w:customMarkFollows="1" w:id="1935"/>
        <w:t>w</w:t>
      </w:r>
      <w:r>
        <w:rPr/>
        <w:t xml:space="preserve"> und die Schriftgelehrten </w:t>
      </w:r>
      <w:r>
        <w:rPr>
          <w:color w:val="808080"/>
        </w:rPr>
        <w:t>(Schreiber)</w:t>
      </w:r>
      <w:r>
        <w:rPr/>
        <w:t xml:space="preserve"> </w:t>
      </w:r>
      <w:r>
        <w:rPr>
          <w:b/>
          <w:color w:val="808080"/>
        </w:rPr>
        <w:t>[</w:t>
      </w:r>
      <w:r>
        <w:rPr/>
        <w:t xml:space="preserve">davon </w:t>
      </w:r>
      <w:r>
        <w:rPr>
          <w:color w:val="808080"/>
        </w:rPr>
        <w:t>(das)</w:t>
      </w:r>
      <w:r>
        <w:rPr>
          <w:b/>
          <w:color w:val="808080"/>
        </w:rPr>
        <w:t>]</w:t>
      </w:r>
      <w:r>
        <w:rPr/>
        <w:t xml:space="preserve"> hörten, </w:t>
      </w:r>
      <w:r>
        <w:rPr>
          <w:strike/>
          <w:color w:val="808080"/>
        </w:rPr>
        <w:t>{und}</w:t>
      </w:r>
      <w:r>
        <w:rPr/>
        <w:t xml:space="preserve"> suchten sie </w:t>
      </w:r>
      <w:r>
        <w:rPr>
          <w:b/>
          <w:color w:val="808080"/>
        </w:rPr>
        <w:t>[</w:t>
      </w:r>
      <w:r>
        <w:rPr/>
        <w:t>nach einer Möglichkeit</w:t>
      </w:r>
      <w:r>
        <w:rPr>
          <w:b/>
          <w:color w:val="808080"/>
        </w:rPr>
        <w:t>]</w:t>
      </w:r>
      <w:r>
        <w:rPr/>
        <w:t xml:space="preserve"> </w:t>
      </w:r>
      <w:r>
        <w:rPr>
          <w:rStyle w:val="Funotenanker"/>
        </w:rPr>
        <w:footnoteReference w:customMarkFollows="1" w:id="1936"/>
        <w:t>x</w:t>
      </w:r>
      <w:r>
        <w:rPr/>
        <w:t xml:space="preserve">, wie sie ihn aus dem Weg räumen </w:t>
      </w:r>
      <w:r>
        <w:rPr>
          <w:color w:val="808080"/>
        </w:rPr>
        <w:t>(umbringen, beseitigen, loswerden)</w:t>
      </w:r>
      <w:r>
        <w:rPr/>
        <w:t xml:space="preserve"> </w:t>
      </w:r>
      <w:r>
        <w:rPr>
          <w:b/>
          <w:color w:val="808080"/>
        </w:rPr>
        <w:t>[</w:t>
      </w:r>
      <w:r>
        <w:rPr/>
        <w:t>könnten</w:t>
      </w:r>
      <w:r>
        <w:rPr>
          <w:b/>
          <w:color w:val="808080"/>
        </w:rPr>
        <w:t>]</w:t>
      </w:r>
      <w:r>
        <w:rPr/>
        <w:t xml:space="preserve">. Sie fürchteten ihn nämlich, denn das ganze Volk </w:t>
      </w:r>
      <w:r>
        <w:rPr>
          <w:rStyle w:val="Funotenanker"/>
        </w:rPr>
        <w:footnoteReference w:customMarkFollows="1" w:id="1937"/>
        <w:t>y</w:t>
      </w:r>
      <w:r>
        <w:rPr/>
        <w:t xml:space="preserve"> war von seiner Lehre fasziniert </w:t>
      </w:r>
      <w:r>
        <w:rPr>
          <w:color w:val="808080"/>
        </w:rPr>
        <w:t>(beeindruckt)</w:t>
      </w:r>
      <w:r>
        <w:rPr/>
        <w:t xml:space="preserve">.{{field-off:bible}} </w:t>
        <w:br/>
        <w:t>[[@BibleTOBIBLE:Mk 11:19]]</w:t>
      </w:r>
      <w:r>
        <w:rPr>
          <w:b/>
        </w:rPr>
        <w:t>19</w:t>
      </w:r>
      <w:r>
        <w:rPr/>
        <w:t xml:space="preserve"> {{field-on:bible}}Und als es Abend </w:t>
      </w:r>
      <w:r>
        <w:rPr>
          <w:color w:val="808080"/>
        </w:rPr>
        <w:t>(spät)</w:t>
      </w:r>
      <w:r>
        <w:rPr/>
        <w:t xml:space="preserve"> wurde, gingen </w:t>
      </w:r>
      <w:r>
        <w:rPr>
          <w:rStyle w:val="Funotenanker"/>
        </w:rPr>
        <w:footnoteReference w:customMarkFollows="1" w:id="1938"/>
        <w:t>z</w:t>
      </w:r>
      <w:r>
        <w:rPr/>
        <w:t xml:space="preserve"> sie aus der Stadt hinaus.{{field-off:bible}} </w:t>
        <w:br/>
        <w:t>[[@BibleTOBIBLE:Mk 11:20]]</w:t>
      </w:r>
      <w:r>
        <w:rPr>
          <w:b/>
        </w:rPr>
        <w:t>20</w:t>
      </w:r>
      <w:r>
        <w:rPr/>
        <w:t xml:space="preserve"> {{field-on:bible}}Und als sie morgens </w:t>
      </w:r>
      <w:r>
        <w:rPr>
          <w:b/>
          <w:color w:val="808080"/>
        </w:rPr>
        <w:t>[</w:t>
      </w:r>
      <w:r>
        <w:rPr/>
        <w:t>daran</w:t>
      </w:r>
      <w:r>
        <w:rPr>
          <w:b/>
          <w:color w:val="808080"/>
        </w:rPr>
        <w:t>]</w:t>
      </w:r>
      <w:r>
        <w:rPr/>
        <w:t xml:space="preserve"> vorbeikamen, </w:t>
      </w:r>
      <w:r>
        <w:rPr>
          <w:rStyle w:val="Funotenanker"/>
        </w:rPr>
        <w:footnoteReference w:customMarkFollows="1" w:id="1939"/>
        <w:t>aa</w:t>
      </w:r>
      <w:r>
        <w:rPr/>
        <w:t xml:space="preserve"> sahen sie, dass der Feigenbaum von den Wurzeln her verdorrt war.</w:t>
      </w:r>
      <w:r>
        <w:rPr>
          <w:position w:val="8"/>
          <w:sz w:val="19"/>
        </w:rPr>
        <w:t>[[ ℘ &gt;&gt; BibleTOBIBLE:Job 18:16]]</w:t>
      </w:r>
      <w:r>
        <w:rPr/>
        <w:t xml:space="preserve"> {{field-off:bible}} </w:t>
        <w:br/>
        <w:t>[[@BibleTOBIBLE:Mk 11:21]]</w:t>
      </w:r>
      <w:r>
        <w:rPr>
          <w:b/>
        </w:rPr>
        <w:t>21</w:t>
      </w:r>
      <w:r>
        <w:rPr/>
        <w:t xml:space="preserve"> {{field-on:bible}}Und Petrus erinnerte sich und sagte </w:t>
      </w:r>
      <w:r>
        <w:rPr>
          <w:color w:val="808080"/>
        </w:rPr>
        <w:t>(rief)</w:t>
      </w:r>
      <w:r>
        <w:rPr/>
        <w:t xml:space="preserve"> zu ihm: „Rabbi, schau, der Feigenbaum, den du verflucht hast, ist verdorrt!“{{field-off:bible}} </w:t>
        <w:br/>
        <w:t>[[@BibleTOBIBLE:Mk 11:22]]</w:t>
      </w:r>
      <w:r>
        <w:rPr>
          <w:b/>
        </w:rPr>
        <w:t>22</w:t>
      </w:r>
      <w:r>
        <w:rPr/>
        <w:t xml:space="preserve"> {{field-on:bible}}Und Jesus entgegnete </w:t>
      </w:r>
      <w:r>
        <w:rPr>
          <w:strike/>
          <w:color w:val="808080"/>
        </w:rPr>
        <w:t>{und sagte zu ihnen}</w:t>
      </w:r>
      <w:r>
        <w:rPr/>
        <w:t xml:space="preserve">: „Habt Glauben </w:t>
      </w:r>
      <w:r>
        <w:rPr>
          <w:color w:val="808080"/>
        </w:rPr>
        <w:t>(Vertrauen)</w:t>
      </w:r>
      <w:r>
        <w:rPr/>
        <w:t xml:space="preserve"> </w:t>
      </w:r>
      <w:r>
        <w:rPr>
          <w:b/>
          <w:color w:val="808080"/>
        </w:rPr>
        <w:t>[</w:t>
      </w:r>
      <w:r>
        <w:rPr/>
        <w:t>an</w:t>
      </w:r>
      <w:r>
        <w:rPr>
          <w:b/>
          <w:color w:val="808080"/>
        </w:rPr>
        <w:t>]</w:t>
      </w:r>
      <w:r>
        <w:rPr/>
        <w:t xml:space="preserve"> Gott </w:t>
      </w:r>
      <w:r>
        <w:rPr>
          <w:rStyle w:val="Funotenanker"/>
        </w:rPr>
        <w:footnoteReference w:customMarkFollows="1" w:id="1940"/>
        <w:t>ab</w:t>
      </w:r>
      <w:r>
        <w:rPr/>
        <w:t xml:space="preserve">!{{field-off:bible}} </w:t>
        <w:br/>
        <w:t>[[@BibleTOBIBLE:Mk 11:23]]</w:t>
      </w:r>
      <w:r>
        <w:rPr>
          <w:b/>
        </w:rPr>
        <w:t>23</w:t>
      </w:r>
      <w:r>
        <w:rPr/>
        <w:t xml:space="preserve"> {{field-on:bible}}Ja, </w:t>
      </w:r>
      <w:r>
        <w:rPr>
          <w:color w:val="808080"/>
        </w:rPr>
        <w:t>(Amen, Wahrlich)</w:t>
      </w:r>
      <w:r>
        <w:rPr/>
        <w:t xml:space="preserve"> ich sage euch: </w:t>
      </w:r>
      <w:r>
        <w:rPr>
          <w:rStyle w:val="Funotenanker"/>
        </w:rPr>
        <w:footnoteReference w:customMarkFollows="1" w:id="1941"/>
        <w:t>ac</w:t>
      </w:r>
      <w:r>
        <w:rPr/>
        <w:t xml:space="preserve"> »Jeder, der </w:t>
      </w:r>
      <w:r>
        <w:rPr>
          <w:color w:val="808080"/>
        </w:rPr>
        <w:t>(Wer)</w:t>
      </w:r>
      <w:r>
        <w:rPr/>
        <w:t xml:space="preserve"> zu diesem Berg hier sagt: »Erhebe dich und stürze dich ins Meer!«, und in seinem Herzen nicht zweifelt, sondern glaubt </w:t>
      </w:r>
      <w:r>
        <w:rPr>
          <w:color w:val="808080"/>
        </w:rPr>
        <w:t>(vertraut)</w:t>
      </w:r>
      <w:r>
        <w:rPr/>
        <w:t xml:space="preserve">, dass geschieht, was er sagt, für den wird es eintreffen! </w:t>
      </w:r>
      <w:r>
        <w:rPr>
          <w:rStyle w:val="Funotenanker"/>
        </w:rPr>
        <w:footnoteReference w:customMarkFollows="1" w:id="1942"/>
        <w:t>ad</w:t>
      </w:r>
      <w:r>
        <w:rPr/>
        <w:t xml:space="preserve"> {{field-off:bible}} </w:t>
        <w:br/>
        <w:t>[[@BibleTOBIBLE:Mk 11:24]]</w:t>
      </w:r>
      <w:r>
        <w:rPr>
          <w:b/>
        </w:rPr>
        <w:t>24</w:t>
      </w:r>
      <w:r>
        <w:rPr/>
        <w:t xml:space="preserve"> {{field-on:bible}}Daher sage ich euch: Glaubt </w:t>
      </w:r>
      <w:r>
        <w:rPr>
          <w:color w:val="808080"/>
        </w:rPr>
        <w:t>(Vertraut)</w:t>
      </w:r>
      <w:r>
        <w:rPr/>
        <w:t xml:space="preserve"> </w:t>
      </w:r>
      <w:r>
        <w:rPr>
          <w:rStyle w:val="Funotenanker"/>
        </w:rPr>
        <w:footnoteReference w:customMarkFollows="1" w:id="1943"/>
        <w:t>ae</w:t>
      </w:r>
      <w:r>
        <w:rPr/>
        <w:t xml:space="preserve"> </w:t>
      </w:r>
      <w:r>
        <w:rPr>
          <w:b/>
          <w:color w:val="808080"/>
        </w:rPr>
        <w:t>[</w:t>
      </w:r>
      <w:r>
        <w:rPr/>
        <w:t>bei</w:t>
      </w:r>
      <w:r>
        <w:rPr>
          <w:b/>
          <w:color w:val="808080"/>
        </w:rPr>
        <w:t>]</w:t>
      </w:r>
      <w:r>
        <w:rPr/>
        <w:t xml:space="preserve"> allen </w:t>
      </w:r>
      <w:r>
        <w:rPr>
          <w:b/>
          <w:color w:val="808080"/>
        </w:rPr>
        <w:t>[</w:t>
      </w:r>
      <w:r>
        <w:rPr/>
        <w:t>Dingen</w:t>
      </w:r>
      <w:r>
        <w:rPr>
          <w:b/>
          <w:color w:val="808080"/>
        </w:rPr>
        <w:t>]</w:t>
      </w:r>
      <w:r>
        <w:rPr/>
        <w:t xml:space="preserve">, für die ihr betet und bittet, dass ihr </w:t>
      </w:r>
      <w:r>
        <w:rPr>
          <w:b/>
          <w:color w:val="808080"/>
        </w:rPr>
        <w:t>[</w:t>
      </w:r>
      <w:r>
        <w:rPr/>
        <w:t>sie schon</w:t>
      </w:r>
      <w:r>
        <w:rPr>
          <w:b/>
          <w:color w:val="808080"/>
        </w:rPr>
        <w:t>]</w:t>
      </w:r>
      <w:r>
        <w:rPr/>
        <w:t xml:space="preserve"> erhalten habt, </w:t>
      </w:r>
      <w:r>
        <w:rPr>
          <w:rStyle w:val="Funotenanker"/>
        </w:rPr>
        <w:footnoteReference w:customMarkFollows="1" w:id="1944"/>
        <w:t>af</w:t>
      </w:r>
      <w:r>
        <w:rPr/>
        <w:t xml:space="preserve"> dann werden sie </w:t>
      </w:r>
      <w:r>
        <w:rPr>
          <w:strike/>
          <w:color w:val="808080"/>
        </w:rPr>
        <w:t>{für euch}</w:t>
      </w:r>
      <w:r>
        <w:rPr/>
        <w:t xml:space="preserve"> eintreffen. </w:t>
      </w:r>
      <w:r>
        <w:rPr>
          <w:rStyle w:val="Funotenanker"/>
        </w:rPr>
        <w:footnoteReference w:customMarkFollows="1" w:id="1945"/>
        <w:t>ag</w:t>
      </w:r>
      <w:r>
        <w:rPr/>
        <w:t xml:space="preserve"> {{field-off:bible}} </w:t>
        <w:br/>
        <w:t>[[@BibleTOBIBLE:Mk 11:25]]</w:t>
      </w:r>
      <w:r>
        <w:rPr>
          <w:b/>
        </w:rPr>
        <w:t>25</w:t>
      </w:r>
      <w:r>
        <w:rPr/>
        <w:t xml:space="preserve"> {{field-on:bible}}Und immer wenn ihr dasteht und betet </w:t>
      </w:r>
      <w:r>
        <w:rPr>
          <w:color w:val="808080"/>
        </w:rPr>
        <w:t>(zum Beten steht)</w:t>
      </w:r>
      <w:r>
        <w:rPr/>
        <w:t xml:space="preserve"> </w:t>
      </w:r>
      <w:r>
        <w:rPr>
          <w:rStyle w:val="Funotenanker"/>
        </w:rPr>
        <w:footnoteReference w:customMarkFollows="1" w:id="1946"/>
        <w:t>ah</w:t>
      </w:r>
      <w:r>
        <w:rPr/>
        <w:t xml:space="preserve">, </w:t>
      </w:r>
      <w:r>
        <w:rPr>
          <w:b/>
          <w:color w:val="808080"/>
        </w:rPr>
        <w:t>[</w:t>
      </w:r>
      <w:r>
        <w:rPr/>
        <w:t>dann</w:t>
      </w:r>
      <w:r>
        <w:rPr>
          <w:b/>
          <w:color w:val="808080"/>
        </w:rPr>
        <w:t>]</w:t>
      </w:r>
      <w:r>
        <w:rPr/>
        <w:t xml:space="preserve"> vergebt </w:t>
      </w:r>
      <w:r>
        <w:rPr>
          <w:b/>
          <w:color w:val="808080"/>
        </w:rPr>
        <w:t>[</w:t>
      </w:r>
      <w:r>
        <w:rPr/>
        <w:t>den betreffenden Menschen</w:t>
      </w:r>
      <w:r>
        <w:rPr>
          <w:b/>
          <w:color w:val="808080"/>
        </w:rPr>
        <w:t>]</w:t>
      </w:r>
      <w:r>
        <w:rPr/>
        <w:t xml:space="preserve">, wenn ihr etwas gegen jemanden habt, damit auch euer Vater im Himmel euch eure Verfehlungen vergibt.{{field-off:bible}} </w:t>
        <w:br/>
        <w:t>[[@BibleTOBIBLE:Mk 11:26]]</w:t>
      </w:r>
      <w:r>
        <w:rPr>
          <w:b/>
        </w:rPr>
        <w:t>26</w:t>
      </w:r>
      <w:r>
        <w:rPr/>
        <w:t xml:space="preserve"> {{field-on:bible}}Doch wenn ihr nicht vergebt, dann wird auch euer Vater im Himmel eure Verfehlungen nicht vergeben. </w:t>
      </w:r>
      <w:r>
        <w:rPr>
          <w:rStyle w:val="Funotenanker"/>
        </w:rPr>
        <w:footnoteReference w:customMarkFollows="1" w:id="1947"/>
        <w:t>ai</w:t>
      </w:r>
      <w:r>
        <w:rPr/>
        <w:t xml:space="preserve">«{{field-off:bible}} </w:t>
        <w:br/>
        <w:t>[[@BibleTOBIBLE:Mk 11:27]]</w:t>
      </w:r>
      <w:r>
        <w:rPr>
          <w:b/>
        </w:rPr>
        <w:t>27</w:t>
      </w:r>
      <w:r>
        <w:rPr/>
        <w:t xml:space="preserve"> {{field-on:bible}}Und sie kamen wieder nach Jerusalem. Und während er sich im Tempel aufhielt </w:t>
      </w:r>
      <w:r>
        <w:rPr>
          <w:color w:val="808080"/>
        </w:rPr>
        <w:t>(durch den Tempel ging)</w:t>
      </w:r>
      <w:r>
        <w:rPr/>
        <w:t xml:space="preserve">, kamen die obersten </w:t>
      </w:r>
      <w:r>
        <w:rPr>
          <w:color w:val="808080"/>
        </w:rPr>
        <w:t>(führenden, Hohen)</w:t>
      </w:r>
      <w:r>
        <w:rPr/>
        <w:t xml:space="preserve"> Priester , </w:t>
      </w:r>
      <w:r>
        <w:rPr>
          <w:strike/>
          <w:color w:val="808080"/>
        </w:rPr>
        <w:t>{und}</w:t>
      </w:r>
      <w:r>
        <w:rPr/>
        <w:t xml:space="preserve"> die Schriftgelehrten </w:t>
      </w:r>
      <w:r>
        <w:rPr>
          <w:color w:val="808080"/>
        </w:rPr>
        <w:t>(Schreiber)</w:t>
      </w:r>
      <w:r>
        <w:rPr/>
        <w:t xml:space="preserve"> und die Ältesten auf ihn zu{{field-off:bible}} </w:t>
        <w:br/>
        <w:t>[[@BibleTOBIBLE:Mk 11:28]]</w:t>
      </w:r>
      <w:r>
        <w:rPr>
          <w:b/>
        </w:rPr>
        <w:t>28</w:t>
      </w:r>
      <w:r>
        <w:rPr/>
        <w:t xml:space="preserve"> {{field-on:bible}}und fragen ihn: »Mit welchem Recht </w:t>
      </w:r>
      <w:r>
        <w:rPr>
          <w:color w:val="808080"/>
        </w:rPr>
        <w:t>(Befugnis, Vollmacht, Autorität)</w:t>
      </w:r>
      <w:r>
        <w:rPr/>
        <w:t xml:space="preserve"> tust du so etwas </w:t>
      </w:r>
      <w:r>
        <w:rPr>
          <w:color w:val="808080"/>
        </w:rPr>
        <w:t xml:space="preserve">(diese </w:t>
      </w:r>
      <w:r>
        <w:rPr>
          <w:b/>
          <w:color w:val="808080"/>
        </w:rPr>
        <w:t>[</w:t>
      </w:r>
      <w:r>
        <w:rPr>
          <w:color w:val="808080"/>
        </w:rPr>
        <w:t>Dinge</w:t>
      </w:r>
      <w:r>
        <w:rPr>
          <w:b/>
          <w:color w:val="808080"/>
        </w:rPr>
        <w:t>]</w:t>
      </w:r>
      <w:r>
        <w:rPr>
          <w:color w:val="808080"/>
        </w:rPr>
        <w:t>)</w:t>
      </w:r>
      <w:r>
        <w:rPr/>
        <w:t xml:space="preserve">? Oder wer hat dir dieses Recht </w:t>
      </w:r>
      <w:r>
        <w:rPr>
          <w:color w:val="808080"/>
        </w:rPr>
        <w:t>(Befugnis, Vollmacht, Autorität)</w:t>
      </w:r>
      <w:r>
        <w:rPr/>
        <w:t xml:space="preserve"> dazu gegeben, so etwas </w:t>
      </w:r>
      <w:r>
        <w:rPr>
          <w:color w:val="808080"/>
        </w:rPr>
        <w:t xml:space="preserve">(solche </w:t>
      </w:r>
      <w:r>
        <w:rPr>
          <w:b/>
          <w:color w:val="808080"/>
        </w:rPr>
        <w:t>[</w:t>
      </w:r>
      <w:r>
        <w:rPr>
          <w:color w:val="808080"/>
        </w:rPr>
        <w:t>Dinge</w:t>
      </w:r>
      <w:r>
        <w:rPr>
          <w:b/>
          <w:color w:val="808080"/>
        </w:rPr>
        <w:t>]</w:t>
      </w:r>
      <w:r>
        <w:rPr>
          <w:color w:val="808080"/>
        </w:rPr>
        <w:t>)</w:t>
      </w:r>
      <w:r>
        <w:rPr/>
        <w:t xml:space="preserve"> zu tun?« </w:t>
      </w:r>
      <w:r>
        <w:rPr>
          <w:rStyle w:val="Funotenanker"/>
        </w:rPr>
        <w:footnoteReference w:customMarkFollows="1" w:id="1948"/>
        <w:t>aj</w:t>
      </w:r>
      <w:r>
        <w:rPr/>
        <w:t xml:space="preserve"> {{field-off:bible}} </w:t>
        <w:br/>
        <w:t>[[@BibleTOBIBLE:Mk 11:29]]</w:t>
      </w:r>
      <w:r>
        <w:rPr>
          <w:b/>
        </w:rPr>
        <w:t>29</w:t>
      </w:r>
      <w:r>
        <w:rPr/>
        <w:t xml:space="preserve"> {{field-on:bible}}Doch Jesus sagte zu ihnen: »Eines möchte ich von euch wissen. </w:t>
      </w:r>
      <w:r>
        <w:rPr>
          <w:rStyle w:val="Funotenanker"/>
        </w:rPr>
        <w:footnoteReference w:customMarkFollows="1" w:id="1949"/>
        <w:t>ak</w:t>
      </w:r>
      <w:r>
        <w:rPr/>
        <w:t xml:space="preserve"> </w:t>
      </w:r>
      <w:r>
        <w:rPr>
          <w:strike/>
          <w:color w:val="808080"/>
        </w:rPr>
        <w:t>{und}</w:t>
      </w:r>
      <w:r>
        <w:rPr/>
        <w:t xml:space="preserve"> Antwortet mir, </w:t>
      </w:r>
      <w:r>
        <w:rPr>
          <w:rStyle w:val="Funotenanker"/>
        </w:rPr>
        <w:footnoteReference w:customMarkFollows="1" w:id="1950"/>
        <w:t>al</w:t>
      </w:r>
      <w:r>
        <w:rPr/>
        <w:t xml:space="preserve"> dann </w:t>
      </w:r>
      <w:r>
        <w:rPr>
          <w:color w:val="808080"/>
        </w:rPr>
        <w:t>(und)</w:t>
      </w:r>
      <w:r>
        <w:rPr/>
        <w:t xml:space="preserve"> werde ich euch sagen,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.{{field-off:bible}} </w:t>
        <w:br/>
        <w:t>[[@BibleTOBIBLE:Mk 11:30]]</w:t>
      </w:r>
      <w:r>
        <w:rPr>
          <w:b/>
        </w:rPr>
        <w:t>30</w:t>
      </w:r>
      <w:r>
        <w:rPr/>
        <w:t xml:space="preserve"> {{field-on:bible}}Die Taufe von Johannes – stammte </w:t>
      </w:r>
      <w:r>
        <w:rPr>
          <w:color w:val="808080"/>
        </w:rPr>
        <w:t>(war)</w:t>
      </w:r>
      <w:r>
        <w:rPr/>
        <w:t xml:space="preserve"> sie vom Himmel oder von Menschen? Sagt es </w:t>
      </w:r>
      <w:r>
        <w:rPr>
          <w:color w:val="808080"/>
        </w:rPr>
        <w:t>(Antwortet)</w:t>
      </w:r>
      <w:r>
        <w:rPr/>
        <w:t xml:space="preserve"> mir!«{{field-off:bible}} </w:t>
        <w:br/>
        <w:t>[[@BibleTOBIBLE:Mk 11:31]]</w:t>
      </w:r>
      <w:r>
        <w:rPr>
          <w:b/>
        </w:rPr>
        <w:t>31</w:t>
      </w:r>
      <w:r>
        <w:rPr/>
        <w:t xml:space="preserve"> {{field-on:bible}}Da </w:t>
      </w:r>
      <w:r>
        <w:rPr>
          <w:color w:val="808080"/>
        </w:rPr>
        <w:t>(Und)</w:t>
      </w:r>
      <w:r>
        <w:rPr/>
        <w:t xml:space="preserve"> besprachen sie sich </w:t>
      </w:r>
      <w:r>
        <w:rPr>
          <w:color w:val="808080"/>
        </w:rPr>
        <w:t>(dachten bei sich)</w:t>
      </w:r>
      <w:r>
        <w:rPr/>
        <w:t xml:space="preserve"> </w:t>
      </w:r>
      <w:r>
        <w:rPr>
          <w:strike/>
          <w:color w:val="808080"/>
        </w:rPr>
        <w:t>{und sagten}</w:t>
      </w:r>
      <w:r>
        <w:rPr/>
        <w:t xml:space="preserve">: </w:t>
      </w:r>
      <w:r>
        <w:rPr>
          <w:rStyle w:val="Funotenanker"/>
        </w:rPr>
        <w:footnoteReference w:customMarkFollows="1" w:id="1951"/>
        <w:t>am</w:t>
      </w:r>
      <w:r>
        <w:rPr/>
        <w:t xml:space="preserve"> »Wenn wir sagen: »vom Himmel«, wird er sagen: »Weshalb habt ihr ihm dann nicht geglaubt?«{{field-off:bible}} </w:t>
        <w:br/>
        <w:t>[[@BibleTOBIBLE:Mk 11:32]]</w:t>
      </w:r>
      <w:r>
        <w:rPr>
          <w:b/>
        </w:rPr>
        <w:t>32</w:t>
      </w:r>
      <w:r>
        <w:rPr/>
        <w:t xml:space="preserve"> {{field-on:bible}}Sagen wir aber </w:t>
      </w:r>
      <w:r>
        <w:rPr>
          <w:color w:val="808080"/>
        </w:rPr>
        <w:t>(Sollen wir stattdessen sagen)</w:t>
      </w:r>
      <w:r>
        <w:rPr/>
        <w:t xml:space="preserve">: </w:t>
      </w:r>
      <w:r>
        <w:rPr>
          <w:rStyle w:val="Funotenanker"/>
        </w:rPr>
        <w:footnoteReference w:customMarkFollows="1" w:id="1952"/>
        <w:t>an</w:t>
      </w:r>
      <w:r>
        <w:rPr/>
        <w:t xml:space="preserve"> »von Menschen«...?« Sie fürchteten das Volk </w:t>
      </w:r>
      <w:r>
        <w:rPr>
          <w:color w:val="808080"/>
        </w:rPr>
        <w:t>(die Menschenmenge)</w:t>
      </w:r>
      <w:r>
        <w:rPr/>
        <w:t xml:space="preserve">, denn alle waren der Meinung, dass Johannes tatsächlich ein Prophet gewesen war.{{field-off:bible}} </w:t>
        <w:br/>
        <w:t>[[@BibleTOBIBLE:Mk 11:33]]</w:t>
      </w:r>
      <w:r>
        <w:rPr>
          <w:b/>
        </w:rPr>
        <w:t>33</w:t>
      </w:r>
      <w:r>
        <w:rPr/>
        <w:t xml:space="preserve"> {{field-on:bible}}Also </w:t>
      </w:r>
      <w:r>
        <w:rPr>
          <w:color w:val="808080"/>
        </w:rPr>
        <w:t>(Und)</w:t>
      </w:r>
      <w:r>
        <w:rPr/>
        <w:t xml:space="preserve"> antworteten sie Jesus </w:t>
      </w:r>
      <w:r>
        <w:rPr>
          <w:strike/>
          <w:color w:val="808080"/>
        </w:rPr>
        <w:t>{und sagten}</w:t>
      </w:r>
      <w:r>
        <w:rPr/>
        <w:t xml:space="preserve">: »Wir wissen </w:t>
      </w:r>
      <w:r>
        <w:rPr>
          <w:b/>
          <w:color w:val="808080"/>
        </w:rPr>
        <w:t>[</w:t>
      </w:r>
      <w:r>
        <w:rPr/>
        <w:t>es</w:t>
      </w:r>
      <w:r>
        <w:rPr>
          <w:b/>
          <w:color w:val="808080"/>
        </w:rPr>
        <w:t>]</w:t>
      </w:r>
      <w:r>
        <w:rPr/>
        <w:t xml:space="preserve"> nicht.« Da </w:t>
      </w:r>
      <w:r>
        <w:rPr>
          <w:color w:val="808080"/>
        </w:rPr>
        <w:t>(Und)</w:t>
      </w:r>
      <w:r>
        <w:rPr/>
        <w:t xml:space="preserve"> erwiderte </w:t>
      </w:r>
      <w:r>
        <w:rPr>
          <w:color w:val="808080"/>
        </w:rPr>
        <w:t>(sagte)</w:t>
      </w:r>
      <w:r>
        <w:rPr/>
        <w:t xml:space="preserve"> Jesus </w:t>
      </w:r>
      <w:r>
        <w:rPr>
          <w:strike/>
          <w:color w:val="808080"/>
        </w:rPr>
        <w:t>{zu ihnen}</w:t>
      </w:r>
      <w:r>
        <w:rPr/>
        <w:t xml:space="preserve">: »Dann sage ich euch auch nicht,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1953"/>
        <w:t>Status</w:t>
      </w:r>
      <w:r>
        <w:rPr/>
        <w:t xml:space="preserve"> </w:t>
      </w:r>
      <w:r>
        <w:rPr>
          <w:rStyle w:val="Funotenanker"/>
        </w:rPr>
        <w:footnoteReference w:customMarkFollows="1" w:id="1954"/>
        <w:t>a</w:t>
      </w:r>
      <w:r>
        <w:rPr/>
        <w:t xml:space="preserve"> Und er begann, mithilfe von </w:t>
      </w:r>
      <w:r>
        <w:rPr>
          <w:color w:val="808080"/>
        </w:rPr>
        <w:t>(in)</w:t>
      </w:r>
      <w:r>
        <w:rPr/>
        <w:t xml:space="preserve"> Gleichnissen </w:t>
      </w:r>
      <w:r>
        <w:rPr>
          <w:color w:val="808080"/>
        </w:rPr>
        <w:t>(bildhaften Vergleichen)</w:t>
      </w:r>
      <w:r>
        <w:rPr/>
        <w:t xml:space="preserve"> mit ihnen </w:t>
      </w:r>
      <w:r>
        <w:rPr>
          <w:rStyle w:val="Funotenanker"/>
        </w:rPr>
        <w:footnoteReference w:customMarkFollows="1" w:id="1955"/>
        <w:t>b</w:t>
      </w:r>
      <w:r>
        <w:rPr/>
        <w:t xml:space="preserve"> zu reden: „Ein Mann legte </w:t>
      </w:r>
      <w:r>
        <w:rPr>
          <w:color w:val="808080"/>
        </w:rPr>
        <w:t>(pflanzte)</w:t>
      </w:r>
      <w:r>
        <w:rPr/>
        <w:t xml:space="preserve"> einen Weinberg an, </w:t>
      </w:r>
      <w:r>
        <w:rPr>
          <w:strike/>
          <w:color w:val="808080"/>
        </w:rPr>
        <w:t>{und}</w:t>
      </w:r>
      <w:r>
        <w:rPr/>
        <w:t xml:space="preserve"> er errichtete eine Mauer </w:t>
      </w:r>
      <w:r>
        <w:rPr>
          <w:rStyle w:val="Funotenanker"/>
        </w:rPr>
        <w:footnoteReference w:customMarkFollows="1" w:id="1956"/>
        <w:t>c</w:t>
      </w:r>
      <w:r>
        <w:rPr/>
        <w:t xml:space="preserve"> um ihn herum, </w:t>
      </w:r>
      <w:r>
        <w:rPr>
          <w:strike/>
          <w:color w:val="808080"/>
        </w:rPr>
        <w:t>{und}</w:t>
      </w:r>
      <w:r>
        <w:rPr/>
        <w:t xml:space="preserve"> hob ein Auffangbecken </w:t>
      </w:r>
      <w:r>
        <w:rPr>
          <w:color w:val="808080"/>
        </w:rPr>
        <w:t>(Keltertrog)</w:t>
      </w:r>
      <w:r>
        <w:rPr/>
        <w:t xml:space="preserve"> </w:t>
      </w:r>
      <w:r>
        <w:rPr>
          <w:b/>
          <w:color w:val="808080"/>
        </w:rPr>
        <w:t>[</w:t>
      </w:r>
      <w:r>
        <w:rPr/>
        <w:t>für die Weinpresse</w:t>
      </w:r>
      <w:r>
        <w:rPr>
          <w:b/>
          <w:color w:val="808080"/>
        </w:rPr>
        <w:t>]</w:t>
      </w:r>
      <w:r>
        <w:rPr/>
        <w:t xml:space="preserve"> </w:t>
      </w:r>
      <w:r>
        <w:rPr>
          <w:rStyle w:val="Funotenanker"/>
        </w:rPr>
        <w:footnoteReference w:customMarkFollows="1" w:id="1957"/>
        <w:t>d</w:t>
      </w:r>
      <w:r>
        <w:rPr/>
        <w:t xml:space="preserve"> aus und baute einen Wachtturm </w:t>
      </w:r>
      <w:r>
        <w:rPr>
          <w:rStyle w:val="Funotenanker"/>
        </w:rPr>
        <w:footnoteReference w:customMarkFollows="1" w:id="1958"/>
        <w:t>e</w:t>
      </w:r>
      <w:r>
        <w:rPr/>
        <w:t xml:space="preserve">. Dann </w:t>
      </w:r>
      <w:r>
        <w:rPr>
          <w:color w:val="808080"/>
        </w:rPr>
        <w:t>(und)</w:t>
      </w:r>
      <w:r>
        <w:rPr/>
        <w:t xml:space="preserve"> verpachtete er ihn an Weingärtner </w:t>
      </w:r>
      <w:r>
        <w:rPr>
          <w:color w:val="808080"/>
        </w:rPr>
        <w:t>(Bauern)</w:t>
      </w:r>
      <w:r>
        <w:rPr/>
        <w:t xml:space="preserve"> und verreiste.</w:t>
      </w:r>
      <w:r>
        <w:rPr>
          <w:position w:val="8"/>
          <w:sz w:val="19"/>
        </w:rPr>
        <w:t>[[ ℘ &gt;&gt; BibleTOBIBLE:Is 5:1]]</w:t>
      </w:r>
      <w:r>
        <w:rPr/>
        <w:t xml:space="preserve"> {{field-off:bible}} </w:t>
        <w:br/>
        <w:t>[[@BibleTOBIBLE:Mk 12:2]]</w:t>
      </w:r>
      <w:r>
        <w:rPr>
          <w:b/>
        </w:rPr>
        <w:t>2</w:t>
      </w:r>
      <w:r>
        <w:rPr/>
        <w:t xml:space="preserve"> {{field-on:bible}}Und zur </w:t>
      </w:r>
      <w:r>
        <w:rPr>
          <w:b/>
          <w:color w:val="808080"/>
        </w:rPr>
        <w:t>[</w:t>
      </w:r>
      <w:r>
        <w:rPr/>
        <w:t>vereinbarten</w:t>
      </w:r>
      <w:r>
        <w:rPr>
          <w:b/>
          <w:color w:val="808080"/>
        </w:rPr>
        <w:t>]</w:t>
      </w:r>
      <w:r>
        <w:rPr/>
        <w:t xml:space="preserve"> Zeit </w:t>
      </w:r>
      <w:r>
        <w:rPr>
          <w:rStyle w:val="Funotenanker"/>
        </w:rPr>
        <w:footnoteReference w:customMarkFollows="1" w:id="1959"/>
        <w:t>f</w:t>
      </w:r>
      <w:r>
        <w:rPr/>
        <w:t xml:space="preserve"> sandte er einen Sklaven </w:t>
      </w:r>
      <w:r>
        <w:rPr>
          <w:color w:val="808080"/>
        </w:rPr>
        <w:t>(Knecht)</w:t>
      </w:r>
      <w:r>
        <w:rPr/>
        <w:t xml:space="preserve"> zu den Weingärtnern </w:t>
      </w:r>
      <w:r>
        <w:rPr>
          <w:color w:val="808080"/>
        </w:rPr>
        <w:t>(Bauern)</w:t>
      </w:r>
      <w:r>
        <w:rPr/>
        <w:t xml:space="preserve">, um von den Weingärtnern </w:t>
      </w:r>
      <w:r>
        <w:rPr>
          <w:color w:val="808080"/>
        </w:rPr>
        <w:t>(Bauern)</w:t>
      </w:r>
      <w:r>
        <w:rPr/>
        <w:t xml:space="preserve"> </w:t>
      </w:r>
      <w:r>
        <w:rPr>
          <w:b/>
          <w:color w:val="808080"/>
        </w:rPr>
        <w:t>[</w:t>
      </w:r>
      <w:r>
        <w:rPr/>
        <w:t>seinen Anteil</w:t>
      </w:r>
      <w:r>
        <w:rPr>
          <w:b/>
          <w:color w:val="808080"/>
        </w:rPr>
        <w:t>]</w:t>
      </w:r>
      <w:r>
        <w:rPr/>
        <w:t xml:space="preserve"> an den Erträgen </w:t>
      </w:r>
      <w:r>
        <w:rPr>
          <w:color w:val="808080"/>
        </w:rPr>
        <w:t>(Früchten)</w:t>
      </w:r>
      <w:r>
        <w:rPr/>
        <w:t xml:space="preserve"> </w:t>
      </w:r>
      <w:r>
        <w:rPr>
          <w:rStyle w:val="Funotenanker"/>
        </w:rPr>
        <w:footnoteReference w:customMarkFollows="1" w:id="1960"/>
        <w:t>g</w:t>
      </w:r>
      <w:r>
        <w:rPr/>
        <w:t xml:space="preserve"> des Weinbergs zu erhalten </w:t>
      </w:r>
      <w:r>
        <w:rPr>
          <w:color w:val="808080"/>
        </w:rPr>
        <w:t>(abzuholen)</w:t>
      </w:r>
      <w:r>
        <w:rPr/>
        <w:t xml:space="preserve">,{{field-off:bible}} </w:t>
        <w:br/>
        <w:t>[[@BibleTOBIBLE:Mk 12:3]]</w:t>
      </w:r>
      <w:r>
        <w:rPr>
          <w:b/>
        </w:rPr>
        <w:t>3</w:t>
      </w:r>
      <w:r>
        <w:rPr/>
        <w:t xml:space="preserve"> {{field-on:bible}}doch sie packten und schlugen </w:t>
      </w:r>
      <w:r>
        <w:rPr>
          <w:color w:val="808080"/>
        </w:rPr>
        <w:t>(misshandelten, drangsalierten)</w:t>
      </w:r>
      <w:r>
        <w:rPr/>
        <w:t xml:space="preserve"> ihn und schickten ihn mit leeren Händen </w:t>
      </w:r>
      <w:r>
        <w:rPr>
          <w:b/>
          <w:color w:val="808080"/>
        </w:rPr>
        <w:t>[</w:t>
      </w:r>
      <w:r>
        <w:rPr/>
        <w:t>fort</w:t>
      </w:r>
      <w:r>
        <w:rPr>
          <w:b/>
          <w:color w:val="808080"/>
        </w:rPr>
        <w:t>]</w:t>
      </w:r>
      <w:r>
        <w:rPr/>
        <w:t xml:space="preserve">.{{field-off:bible}} </w:t>
        <w:br/>
        <w:t>[[@BibleTOBIBLE:Mk 12:4]]</w:t>
      </w:r>
      <w:r>
        <w:rPr>
          <w:b/>
        </w:rPr>
        <w:t>4</w:t>
      </w:r>
      <w:r>
        <w:rPr/>
        <w:t xml:space="preserve"> {{field-on:bible}}Da </w:t>
      </w:r>
      <w:r>
        <w:rPr>
          <w:color w:val="808080"/>
        </w:rPr>
        <w:t>(Und)</w:t>
      </w:r>
      <w:r>
        <w:rPr/>
        <w:t xml:space="preserve"> sandte er noch einen Sklaven </w:t>
      </w:r>
      <w:r>
        <w:rPr>
          <w:color w:val="808080"/>
        </w:rPr>
        <w:t>(Knecht)</w:t>
      </w:r>
      <w:r>
        <w:rPr/>
        <w:t xml:space="preserve"> zu ihnen. Auch den schlugen sie auf den Kopf </w:t>
      </w:r>
      <w:r>
        <w:rPr>
          <w:color w:val="808080"/>
        </w:rPr>
        <w:t>(schändeten/verwundeten sie am Kopf)</w:t>
      </w:r>
      <w:r>
        <w:rPr/>
        <w:t xml:space="preserve"> </w:t>
      </w:r>
      <w:r>
        <w:rPr>
          <w:rStyle w:val="Funotenanker"/>
        </w:rPr>
        <w:footnoteReference w:customMarkFollows="1" w:id="1961"/>
        <w:t>h</w:t>
      </w:r>
      <w:r>
        <w:rPr/>
        <w:t xml:space="preserve"> und entehrten ihn.{{field-off:bible}} </w:t>
        <w:br/>
        <w:t>[[@BibleTOBIBLE:Mk 12:5]]</w:t>
      </w:r>
      <w:r>
        <w:rPr>
          <w:b/>
        </w:rPr>
        <w:t>5</w:t>
      </w:r>
      <w:r>
        <w:rPr/>
        <w:t xml:space="preserve"> {{field-on:bible}}Da </w:t>
      </w:r>
      <w:r>
        <w:rPr>
          <w:color w:val="808080"/>
        </w:rPr>
        <w:t>(Und)</w:t>
      </w:r>
      <w:r>
        <w:rPr/>
        <w:t xml:space="preserve"> sandte er einen weiteren, und den brachten sie um, und viele andere </w:t>
      </w:r>
      <w:r>
        <w:rPr>
          <w:rStyle w:val="Funotenanker"/>
        </w:rPr>
        <w:footnoteReference w:customMarkFollows="1" w:id="1962"/>
        <w:t>i</w:t>
      </w:r>
      <w:r>
        <w:rPr/>
        <w:t xml:space="preserve"> – manche verprügelten sie, andere brachten sie um</w:t>
      </w:r>
      <w:r>
        <w:rPr>
          <w:rStyle w:val="Funotenanker"/>
        </w:rPr>
        <w:footnoteReference w:customMarkFollows="1" w:id="1963"/>
        <w:t>j</w:t>
      </w:r>
      <w:r>
        <w:rPr/>
        <w:t xml:space="preserve">.{{field-off:bible}} </w:t>
        <w:br/>
        <w:t>[[@BibleTOBIBLE:Mk 12:6]]</w:t>
      </w:r>
      <w:r>
        <w:rPr>
          <w:b/>
        </w:rPr>
        <w:t>6</w:t>
      </w:r>
      <w:r>
        <w:rPr/>
        <w:t xml:space="preserve"> {{field-on:bible}}Er hatte noch einen: </w:t>
      </w:r>
      <w:r>
        <w:rPr>
          <w:b/>
          <w:color w:val="808080"/>
        </w:rPr>
        <w:t>[</w:t>
      </w:r>
      <w:r>
        <w:rPr/>
        <w:t>seinen</w:t>
      </w:r>
      <w:r>
        <w:rPr>
          <w:b/>
          <w:color w:val="808080"/>
        </w:rPr>
        <w:t>]</w:t>
      </w:r>
      <w:r>
        <w:rPr/>
        <w:t xml:space="preserve"> </w:t>
      </w:r>
      <w:r>
        <w:rPr>
          <w:color w:val="808080"/>
        </w:rPr>
        <w:t xml:space="preserve">(noch </w:t>
      </w:r>
      <w:r>
        <w:rPr>
          <w:b/>
          <w:color w:val="808080"/>
        </w:rPr>
        <w:t>[</w:t>
      </w:r>
      <w:r>
        <w:rPr>
          <w:color w:val="808080"/>
        </w:rPr>
        <w:t>seinen</w:t>
      </w:r>
      <w:r>
        <w:rPr>
          <w:b/>
          <w:color w:val="808080"/>
        </w:rPr>
        <w:t>]</w:t>
      </w:r>
      <w:r>
        <w:rPr>
          <w:color w:val="808080"/>
        </w:rPr>
        <w:t xml:space="preserve"> einzigen)</w:t>
      </w:r>
      <w:r>
        <w:rPr/>
        <w:t xml:space="preserve"> geliebten Sohn </w:t>
      </w:r>
      <w:r>
        <w:rPr>
          <w:rStyle w:val="Funotenanker"/>
        </w:rPr>
        <w:footnoteReference w:customMarkFollows="1" w:id="1964"/>
        <w:t>k</w:t>
      </w:r>
      <w:r>
        <w:rPr/>
        <w:t xml:space="preserve">. Er sandte ihn als letzten zu ihnen, weil er glaubte </w:t>
      </w:r>
      <w:r>
        <w:rPr>
          <w:color w:val="808080"/>
        </w:rPr>
        <w:t>(dachte, sich sagte)</w:t>
      </w:r>
      <w:r>
        <w:rPr/>
        <w:t xml:space="preserve">: </w:t>
      </w:r>
      <w:r>
        <w:rPr>
          <w:rStyle w:val="Funotenanker"/>
        </w:rPr>
        <w:footnoteReference w:customMarkFollows="1" w:id="1965"/>
        <w:t>l</w:t>
      </w:r>
      <w:r>
        <w:rPr/>
        <w:t xml:space="preserve"> »Meinen Sohn werden sie respektieren </w:t>
      </w:r>
      <w:r>
        <w:rPr>
          <w:color w:val="808080"/>
        </w:rPr>
        <w:t>(achten)</w:t>
      </w:r>
      <w:r>
        <w:rPr/>
        <w:t xml:space="preserve">.«{{field-off:bible}} </w:t>
        <w:br/>
        <w:t>[[@BibleTOBIBLE:Mk 12:7]]</w:t>
      </w:r>
      <w:r>
        <w:rPr>
          <w:b/>
        </w:rPr>
        <w:t>7</w:t>
      </w:r>
      <w:r>
        <w:rPr/>
        <w:t xml:space="preserve"> {{field-on:bible}}Aber jene Weingärtner </w:t>
      </w:r>
      <w:r>
        <w:rPr>
          <w:color w:val="808080"/>
        </w:rPr>
        <w:t>(Bauern)</w:t>
      </w:r>
      <w:r>
        <w:rPr/>
        <w:t xml:space="preserve"> sagten zueinander: »Das ist der Erbe! Kommt, wir bringen ihn um,</w:t>
      </w:r>
      <w:r>
        <w:rPr>
          <w:position w:val="8"/>
          <w:sz w:val="19"/>
        </w:rPr>
        <w:t>[[ ℘ &gt;&gt; BibleTOBIBLE:Ge 37:20]]</w:t>
      </w:r>
      <w:r>
        <w:rPr/>
        <w:t xml:space="preserve"> dann wird das Erbe uns gehören </w:t>
      </w:r>
      <w:r>
        <w:rPr>
          <w:rStyle w:val="Funotenanker"/>
        </w:rPr>
        <w:footnoteReference w:customMarkFollows="1" w:id="1966"/>
        <w:t>m</w:t>
      </w:r>
      <w:r>
        <w:rPr/>
        <w:t>!«</w:t>
      </w:r>
      <w:r>
        <w:rPr>
          <w:position w:val="8"/>
          <w:sz w:val="19"/>
        </w:rPr>
        <w:t>[[ ℘ &gt;&gt; BibleTOBIBLE:1Ki 21:2]]</w:t>
      </w:r>
      <w:r>
        <w:rPr/>
        <w:t xml:space="preserve"> {{field-off:bible}} </w:t>
        <w:br/>
        <w:t>[[@BibleTOBIBLE:Mk 12:8]]</w:t>
      </w:r>
      <w:r>
        <w:rPr>
          <w:b/>
        </w:rPr>
        <w:t>8</w:t>
      </w:r>
      <w:r>
        <w:rPr/>
        <w:t xml:space="preserve"> {{field-on:bible}}Und sie packten ihn und </w:t>
      </w:r>
      <w:r>
        <w:rPr>
          <w:rStyle w:val="Funotenanker"/>
        </w:rPr>
        <w:footnoteReference w:customMarkFollows="1" w:id="1967"/>
        <w:t>n</w:t>
      </w:r>
      <w:r>
        <w:rPr/>
        <w:t xml:space="preserve"> brachten ihn um, danach </w:t>
      </w:r>
      <w:r>
        <w:rPr>
          <w:color w:val="808080"/>
        </w:rPr>
        <w:t>(und)</w:t>
      </w:r>
      <w:r>
        <w:rPr/>
        <w:t xml:space="preserve"> warfen sie ihn hinaus vor den Weinberg.</w:t>
      </w:r>
      <w:r>
        <w:rPr>
          <w:position w:val="8"/>
          <w:sz w:val="19"/>
        </w:rPr>
        <w:t>[[ ℘ &gt;&gt; BibleTOBIBLE:1Ki 21:16]]</w:t>
      </w:r>
      <w:r>
        <w:rPr/>
        <w:t xml:space="preserve"> {{field-off:bible}} </w:t>
        <w:br/>
        <w:t>[[@BibleTOBIBLE:Mk 12:9]]</w:t>
      </w:r>
      <w:r>
        <w:rPr>
          <w:b/>
        </w:rPr>
        <w:t>9</w:t>
      </w:r>
      <w:r>
        <w:rPr/>
        <w:t xml:space="preserve"> {{field-on:bible}}Was wird nun der Besitzer </w:t>
      </w:r>
      <w:r>
        <w:rPr>
          <w:color w:val="808080"/>
        </w:rPr>
        <w:t>(Herr)</w:t>
      </w:r>
      <w:r>
        <w:rPr/>
        <w:t xml:space="preserve"> des Weinbergs tun? Er wird kommen und die Weingärtner </w:t>
      </w:r>
      <w:r>
        <w:rPr>
          <w:color w:val="808080"/>
        </w:rPr>
        <w:t>(Bauern)</w:t>
      </w:r>
      <w:r>
        <w:rPr/>
        <w:t xml:space="preserve"> ausmerzen </w:t>
      </w:r>
      <w:r>
        <w:rPr>
          <w:color w:val="808080"/>
        </w:rPr>
        <w:t>(töten, vernichten)</w:t>
      </w:r>
      <w:r>
        <w:rPr/>
        <w:t>, und den Weinberg wird er anderen geben.</w:t>
      </w:r>
      <w:r>
        <w:rPr>
          <w:position w:val="8"/>
          <w:sz w:val="19"/>
        </w:rPr>
        <w:t>[[ ℘ &gt;&gt; BibleTOBIBLE:Is 5:5]]</w:t>
      </w:r>
      <w:r>
        <w:rPr/>
        <w:t xml:space="preserve"> {{field-off:bible}} </w:t>
        <w:br/>
        <w:t>[[@BibleTOBIBLE:Mk 12:10]]</w:t>
      </w:r>
      <w:r>
        <w:rPr>
          <w:b/>
        </w:rPr>
        <w:t>10</w:t>
      </w:r>
      <w:r>
        <w:rPr/>
        <w:t xml:space="preserve"> {{field-on:bible}}Habt ihr nicht auch </w:t>
      </w:r>
      <w:r>
        <w:rPr>
          <w:color w:val="808080"/>
        </w:rPr>
        <w:t>(nicht einmal)</w:t>
      </w:r>
      <w:r>
        <w:rPr/>
        <w:t xml:space="preserve"> diese Schriftstelle </w:t>
      </w:r>
      <w:r>
        <w:rPr>
          <w:rStyle w:val="Funotenanker"/>
        </w:rPr>
        <w:footnoteReference w:customMarkFollows="1" w:id="1968"/>
        <w:t>o</w:t>
      </w:r>
      <w:r>
        <w:rPr/>
        <w:t xml:space="preserve"> gelesen? </w:t>
        <w:br/>
        <w:t>»</w:t>
      </w:r>
      <w:r>
        <w:rPr>
          <w:b/>
          <w:color w:val="808080"/>
        </w:rPr>
        <w:t>[</w:t>
      </w:r>
      <w:r>
        <w:rPr/>
        <w:t>Der</w:t>
      </w:r>
      <w:r>
        <w:rPr>
          <w:b/>
          <w:color w:val="808080"/>
        </w:rPr>
        <w:t>]</w:t>
      </w:r>
      <w:r>
        <w:rPr/>
        <w:t xml:space="preserve"> Stein</w:t>
      </w:r>
      <w:r>
        <w:rPr>
          <w:rStyle w:val="Funotenanker"/>
        </w:rPr>
        <w:footnoteReference w:customMarkFollows="1" w:id="1969"/>
        <w:t>p</w:t>
      </w:r>
      <w:r>
        <w:rPr/>
        <w:t xml:space="preserve">, den die Bauleute abgelehnt </w:t>
      </w:r>
      <w:r>
        <w:rPr>
          <w:color w:val="808080"/>
        </w:rPr>
        <w:t>(verworfen, zurückgewiesen)</w:t>
      </w:r>
      <w:r>
        <w:rPr/>
        <w:t xml:space="preserve"> haben,</w:t>
        <w:br/>
        <w:t>''der''</w:t>
      </w:r>
      <w:r>
        <w:rPr>
          <w:rStyle w:val="Funotenanker"/>
        </w:rPr>
        <w:footnoteReference w:customMarkFollows="1" w:id="1970"/>
        <w:t>q</w:t>
      </w:r>
      <w:r>
        <w:rPr/>
        <w:t xml:space="preserve"> ist zum Schlussstein </w:t>
      </w:r>
      <w:r>
        <w:rPr>
          <w:color w:val="808080"/>
        </w:rPr>
        <w:t>(Kopfstein, Eckstein)</w:t>
      </w:r>
      <w:r>
        <w:rPr/>
        <w:t xml:space="preserve"> </w:t>
      </w:r>
      <w:r>
        <w:rPr>
          <w:rStyle w:val="Funotenanker"/>
        </w:rPr>
        <w:footnoteReference w:customMarkFollows="1" w:id="1971"/>
        <w:t>r</w:t>
      </w:r>
      <w:r>
        <w:rPr/>
        <w:t xml:space="preserve"> geworden;</w:t>
        <w:br/>
        <w:t xml:space="preserve">{{field-off:bible}} </w:t>
        <w:br/>
        <w:t>[[@BibleTOBIBLE:Mk 12:11]]</w:t>
      </w:r>
      <w:r>
        <w:rPr>
          <w:b/>
        </w:rPr>
        <w:t>11</w:t>
      </w:r>
      <w:r>
        <w:rPr/>
        <w:t xml:space="preserve"> {{field-on:bible}} </w:t>
        <w:br/>
        <w:t>Das kommt vom Herrn,</w:t>
      </w:r>
      <w:r>
        <w:rPr>
          <w:rStyle w:val="Funotenanker"/>
        </w:rPr>
        <w:footnoteReference w:customMarkFollows="1" w:id="1972"/>
        <w:t>s</w:t>
      </w:r>
      <w:r>
        <w:rPr/>
        <w:t xml:space="preserve"> </w:t>
        <w:br/>
        <w:t>und es ist wunderbar in unseren Augen.«“</w:t>
      </w:r>
      <w:r>
        <w:rPr>
          <w:position w:val="8"/>
          <w:sz w:val="19"/>
        </w:rPr>
        <w:t>[[ ℘ &gt;&gt; BibleTOBIBLE:Ps 118:22]]</w:t>
      </w:r>
      <w:r>
        <w:rPr/>
        <w:t xml:space="preserve"> </w:t>
        <w:br/>
        <w:t xml:space="preserve">{{field-off:bible}} </w:t>
        <w:br/>
        <w:t>[[@BibleTOBIBLE:Mk 12:12]]</w:t>
      </w:r>
      <w:r>
        <w:rPr>
          <w:b/>
        </w:rPr>
        <w:t>12</w:t>
      </w:r>
      <w:r>
        <w:rPr/>
        <w:t xml:space="preserve"> {{field-on:bible}}Da </w:t>
      </w:r>
      <w:r>
        <w:rPr>
          <w:color w:val="808080"/>
        </w:rPr>
        <w:t>(Und)</w:t>
      </w:r>
      <w:r>
        <w:rPr/>
        <w:t xml:space="preserve"> wollten sie ihn gerne </w:t>
      </w:r>
      <w:r>
        <w:rPr>
          <w:color w:val="808080"/>
        </w:rPr>
        <w:t xml:space="preserve">(suchten sie </w:t>
      </w:r>
      <w:r>
        <w:rPr>
          <w:b/>
          <w:color w:val="808080"/>
        </w:rPr>
        <w:t>[</w:t>
      </w:r>
      <w:r>
        <w:rPr>
          <w:color w:val="808080"/>
        </w:rPr>
        <w:t>nach einer Möglichkeit</w:t>
      </w:r>
      <w:r>
        <w:rPr>
          <w:b/>
          <w:color w:val="808080"/>
        </w:rPr>
        <w:t>]</w:t>
      </w:r>
      <w:r>
        <w:rPr>
          <w:color w:val="808080"/>
        </w:rPr>
        <w:t xml:space="preserve">, </w:t>
      </w:r>
      <w:r>
        <w:rPr>
          <w:rStyle w:val="Funotenanker"/>
        </w:rPr>
        <w:footnoteReference w:customMarkFollows="1" w:id="1973"/>
        <w:t>t</w:t>
      </w:r>
      <w:r>
        <w:rPr/>
        <w:t xml:space="preserve"> </w:t>
      </w:r>
      <w:r>
        <w:rPr>
          <w:color w:val="808080"/>
        </w:rPr>
        <w:t>ihn...)</w:t>
      </w:r>
      <w:r>
        <w:rPr/>
        <w:t xml:space="preserve"> festnehmen </w:t>
      </w:r>
      <w:r>
        <w:rPr>
          <w:color w:val="808080"/>
        </w:rPr>
        <w:t>(verhaften)</w:t>
      </w:r>
      <w:r>
        <w:rPr/>
        <w:t xml:space="preserve">, aber sie fürchteten die Menschenmenge, denn sie wussten </w:t>
      </w:r>
      <w:r>
        <w:rPr>
          <w:color w:val="808080"/>
        </w:rPr>
        <w:t>(merkten)</w:t>
      </w:r>
      <w:r>
        <w:rPr/>
        <w:t xml:space="preserve"> </w:t>
      </w:r>
      <w:r>
        <w:rPr>
          <w:rStyle w:val="Funotenanker"/>
        </w:rPr>
        <w:footnoteReference w:customMarkFollows="1" w:id="1974"/>
        <w:t>u</w:t>
      </w:r>
      <w:r>
        <w:rPr/>
        <w:t xml:space="preserve">, dass er das Gleichnis gegen sie gesprochen hatte </w:t>
      </w:r>
      <w:r>
        <w:rPr>
          <w:rStyle w:val="Funotenanker"/>
        </w:rPr>
        <w:footnoteReference w:customMarkFollows="1" w:id="1975"/>
        <w:t>v</w:t>
      </w:r>
      <w:r>
        <w:rPr/>
        <w:t xml:space="preserve">. Daher </w:t>
      </w:r>
      <w:r>
        <w:rPr>
          <w:color w:val="808080"/>
        </w:rPr>
        <w:t>(und)</w:t>
      </w:r>
      <w:r>
        <w:rPr/>
        <w:t xml:space="preserve"> sie ließen ihn zurück </w:t>
      </w:r>
      <w:r>
        <w:rPr>
          <w:color w:val="808080"/>
        </w:rPr>
        <w:t>(ihn unbehelligt; von ihm ab)</w:t>
      </w:r>
      <w:r>
        <w:rPr/>
        <w:t xml:space="preserve"> und gingen davon.{{field-off:bible}}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1976"/>
        <w:t>Status</w:t>
      </w:r>
      <w:r>
        <w:rPr/>
        <w:t xml:space="preserve"> </w:t>
      </w:r>
      <w:r>
        <w:rPr>
          <w:strike/>
          <w:color w:val="808080"/>
        </w:rPr>
        <w:t>{Und}</w:t>
      </w:r>
      <w:r>
        <w:rPr/>
        <w:t xml:space="preserve"> </w:t>
      </w:r>
      <w:r>
        <w:rPr>
          <w:color w:val="808080"/>
        </w:rPr>
        <w:t>(Und)</w:t>
      </w:r>
      <w:r>
        <w:rPr/>
        <w:t xml:space="preserve"> </w:t>
      </w:r>
      <w:r>
        <w:rPr>
          <w:rStyle w:val="Funotenanker"/>
        </w:rPr>
        <w:footnoteReference w:customMarkFollows="1" w:id="1977"/>
        <w:t>a</w:t>
      </w:r>
      <w:r>
        <w:rPr/>
        <w:t xml:space="preserve"> als er aus dem Tempel hinausging </w:t>
      </w:r>
      <w:r>
        <w:rPr>
          <w:color w:val="808080"/>
        </w:rPr>
        <w:t>(hinausgeht)</w:t>
      </w:r>
      <w:r>
        <w:rPr/>
        <w:t xml:space="preserve"> </w:t>
      </w:r>
      <w:r>
        <w:rPr>
          <w:rStyle w:val="Funotenanker"/>
        </w:rPr>
        <w:footnoteReference w:customMarkFollows="1" w:id="1978"/>
        <w:t>b</w:t>
      </w:r>
      <w:r>
        <w:rPr/>
        <w:t xml:space="preserve">, sagte </w:t>
      </w:r>
      <w:r>
        <w:rPr>
          <w:color w:val="808080"/>
        </w:rPr>
        <w:t>(sagt)</w:t>
      </w:r>
      <w:r>
        <w:rPr/>
        <w:t xml:space="preserve"> </w:t>
      </w:r>
      <w:r>
        <w:rPr>
          <w:rStyle w:val="Funotenanker"/>
        </w:rPr>
        <w:footnoteReference w:customMarkFollows="1" w:id="1979"/>
        <w:t>c</w:t>
      </w:r>
      <w:r>
        <w:rPr/>
        <w:t xml:space="preserve"> einer</w:t>
      </w:r>
      <w:r>
        <w:rPr>
          <w:rStyle w:val="Funotenanker"/>
        </w:rPr>
        <w:footnoteReference w:customMarkFollows="1" w:id="1980"/>
        <w:t>d</w:t>
      </w:r>
      <w:r>
        <w:rPr/>
        <w:t xml:space="preserve"> seiner Jünger zu ihm: „Lehrer! </w:t>
      </w:r>
      <w:r>
        <w:rPr>
          <w:strike/>
          <w:color w:val="808080"/>
        </w:rPr>
        <w:t>{Sieh nur!}</w:t>
      </w:r>
      <w:r>
        <w:rPr/>
        <w:t xml:space="preserve"> </w:t>
      </w:r>
      <w:r>
        <w:rPr>
          <w:color w:val="808080"/>
        </w:rPr>
        <w:t>(Sieh nur!)</w:t>
      </w:r>
      <w:r>
        <w:rPr/>
        <w:t xml:space="preserve"> </w:t>
      </w:r>
      <w:r>
        <w:rPr>
          <w:rStyle w:val="Funotenanker"/>
        </w:rPr>
        <w:footnoteReference w:customMarkFollows="1" w:id="1981"/>
        <w:t>e</w:t>
      </w:r>
      <w:r>
        <w:rPr/>
        <w:t xml:space="preserve"> Was für Steine und was für Gebäude!</w:t>
      </w:r>
      <w:r>
        <w:rPr>
          <w:rStyle w:val="Funotenanker"/>
        </w:rPr>
        <w:footnoteReference w:customMarkFollows="1" w:id="1982"/>
        <w:t>f</w:t>
      </w:r>
      <w:r>
        <w:rPr/>
        <w:t xml:space="preserve">“{{field-off:bible}} </w:t>
        <w:br/>
        <w:t>[[@BibleTOBIBLE:Mk 13:2]]</w:t>
      </w:r>
      <w:r>
        <w:rPr>
          <w:b/>
        </w:rPr>
        <w:t>2</w:t>
      </w:r>
      <w:r>
        <w:rPr/>
        <w:t xml:space="preserve"> {{field-on:bible}}Da </w:t>
      </w:r>
      <w:r>
        <w:rPr>
          <w:color w:val="808080"/>
        </w:rPr>
        <w:t>(Und)</w:t>
      </w:r>
      <w:r>
        <w:rPr/>
        <w:t xml:space="preserve"> sagte Jesus zu ihm: „Du achtest auf diese großen Gebäude? </w:t>
      </w:r>
      <w:r>
        <w:rPr>
          <w:color w:val="808080"/>
        </w:rPr>
        <w:t>(Diese Gebäude da?, Siehst/bewunderst du diese großen Gebäude?, Du siehst/bewunderst diese großen Gebäude.)</w:t>
      </w:r>
      <w:r>
        <w:rPr/>
        <w:t xml:space="preserve"> </w:t>
      </w:r>
      <w:r>
        <w:rPr>
          <w:rStyle w:val="Funotenanker"/>
        </w:rPr>
        <w:footnoteReference w:customMarkFollows="1" w:id="1983"/>
        <w:t>g</w:t>
      </w:r>
      <w:r>
        <w:rPr/>
        <w:t xml:space="preserve"> Nicht </w:t>
      </w:r>
      <w:r>
        <w:rPr>
          <w:color w:val="808080"/>
        </w:rPr>
        <w:t>(Keinesfalls)</w:t>
      </w:r>
      <w:r>
        <w:rPr/>
        <w:t xml:space="preserve"> </w:t>
      </w:r>
      <w:r>
        <w:rPr>
          <w:rStyle w:val="Funotenanker"/>
        </w:rPr>
        <w:footnoteReference w:customMarkFollows="1" w:id="1984"/>
        <w:t>h</w:t>
      </w:r>
      <w:r>
        <w:rPr/>
        <w:t xml:space="preserve"> wird </w:t>
      </w:r>
      <w:r>
        <w:rPr>
          <w:b/>
          <w:color w:val="808080"/>
        </w:rPr>
        <w:t>[</w:t>
      </w:r>
      <w:r>
        <w:rPr/>
        <w:t>hier</w:t>
      </w:r>
      <w:r>
        <w:rPr>
          <w:b/>
          <w:color w:val="808080"/>
        </w:rPr>
        <w:t>]</w:t>
      </w:r>
      <w:r>
        <w:rPr/>
        <w:t xml:space="preserve"> gelassen werden Stein auf Stein, der nicht </w:t>
      </w:r>
      <w:r>
        <w:rPr>
          <w:strike/>
          <w:color w:val="808080"/>
        </w:rPr>
        <w:t>{sicher}</w:t>
      </w:r>
      <w:r>
        <w:rPr/>
        <w:t xml:space="preserve"> </w:t>
      </w:r>
      <w:r>
        <w:rPr>
          <w:color w:val="808080"/>
        </w:rPr>
        <w:t>(sicher)</w:t>
      </w:r>
      <w:r>
        <w:rPr/>
        <w:t xml:space="preserve"> zerstört </w:t>
      </w:r>
      <w:r>
        <w:rPr>
          <w:color w:val="808080"/>
        </w:rPr>
        <w:t>(herausgebrochen)</w:t>
      </w:r>
      <w:r>
        <w:rPr/>
        <w:t xml:space="preserve"> werden wird.</w:t>
      </w:r>
      <w:r>
        <w:rPr>
          <w:rStyle w:val="Funotenanker"/>
        </w:rPr>
        <w:footnoteReference w:customMarkFollows="1" w:id="1985"/>
        <w:t>i</w:t>
      </w:r>
      <w:r>
        <w:rPr/>
        <w:t>“</w:t>
      </w:r>
      <w:r>
        <w:rPr>
          <w:position w:val="8"/>
          <w:sz w:val="19"/>
        </w:rPr>
        <w:t>[[ ℘ &gt;&gt; BibleTOBIBLE:1Ki 9:8]][[ ℘ &gt;&gt; BibleTOBIBLE:Je 26:18]][[ ℘ &gt;&gt; BibleTOBIBLE:Mic 3:12]][[ ℘ &gt;&gt; BibleTOBIBLE:Mk 14:58]]</w:t>
      </w:r>
      <w:r>
        <w:rPr/>
        <w:t xml:space="preserve"> {{field-off:bible}} </w:t>
        <w:br/>
        <w:t>[[@BibleTOBIBLE:Mk 13:3]]</w:t>
      </w:r>
      <w:r>
        <w:rPr>
          <w:b/>
        </w:rPr>
        <w:t>3</w:t>
      </w:r>
      <w:r>
        <w:rPr/>
        <w:t xml:space="preserve"> {{field-on:bible}}Als er dann saß </w:t>
      </w:r>
      <w:r>
        <w:rPr>
          <w:color w:val="808080"/>
        </w:rPr>
        <w:t>(sich setzte)</w:t>
      </w:r>
      <w:r>
        <w:rPr/>
        <w:t xml:space="preserve"> auf dem </w:t>
      </w:r>
      <w:r>
        <w:rPr>
          <w:color w:val="808080"/>
        </w:rPr>
        <w:t>(den)</w:t>
      </w:r>
      <w:r>
        <w:rPr/>
        <w:t xml:space="preserve"> </w:t>
      </w:r>
      <w:r>
        <w:rPr>
          <w:rStyle w:val="Funotenanker"/>
        </w:rPr>
        <w:footnoteReference w:customMarkFollows="1" w:id="1986"/>
        <w:t>j</w:t>
      </w:r>
      <w:r>
        <w:rPr/>
        <w:t xml:space="preserve"> Ölberg gegenüber dem Tempel, fragte</w:t>
      </w:r>
      <w:r>
        <w:rPr>
          <w:b/>
          <w:color w:val="808080"/>
        </w:rPr>
        <w:t>[</w:t>
      </w:r>
      <w:r>
        <w:rPr/>
        <w:t>n</w:t>
      </w:r>
      <w:r>
        <w:rPr>
          <w:b/>
          <w:color w:val="808080"/>
        </w:rPr>
        <w:t>]</w:t>
      </w:r>
      <w:r>
        <w:rPr/>
        <w:t xml:space="preserve"> ihn Petrus, Jakobus, Johannes und Andreas alleine</w:t>
      </w:r>
      <w:r>
        <w:rPr>
          <w:rStyle w:val="Funotenanker"/>
        </w:rPr>
        <w:footnoteReference w:customMarkFollows="1" w:id="1987"/>
        <w:t>k</w:t>
      </w:r>
      <w:r>
        <w:rPr/>
        <w:t xml:space="preserve">:{{field-off:bible}} </w:t>
        <w:br/>
        <w:t>[[@BibleTOBIBLE:Mk 13:4]]</w:t>
      </w:r>
      <w:r>
        <w:rPr>
          <w:b/>
        </w:rPr>
        <w:t>4</w:t>
      </w:r>
      <w:r>
        <w:rPr/>
        <w:t xml:space="preserve"> {{field-on:bible}}„</w:t>
      </w:r>
      <w:r>
        <w:rPr>
          <w:strike/>
          <w:color w:val="808080"/>
        </w:rPr>
        <w:t>{Sag uns:}</w:t>
      </w:r>
      <w:r>
        <w:rPr/>
        <w:t xml:space="preserve"> </w:t>
      </w:r>
      <w:r>
        <w:rPr>
          <w:rStyle w:val="Funotenanker"/>
        </w:rPr>
        <w:footnoteReference w:customMarkFollows="1" w:id="1988"/>
        <w:t>l</w:t>
      </w:r>
      <w:r>
        <w:rPr/>
        <w:t xml:space="preserve"> Wann wird dies</w:t>
      </w:r>
      <w:r>
        <w:rPr>
          <w:rStyle w:val="Funotenanker"/>
        </w:rPr>
        <w:footnoteReference w:customMarkFollows="1" w:id="1989"/>
        <w:t>m</w:t>
      </w:r>
      <w:r>
        <w:rPr/>
        <w:t xml:space="preserve"> sein? Und was </w:t>
      </w:r>
      <w:r>
        <w:rPr>
          <w:b/>
          <w:color w:val="808080"/>
        </w:rPr>
        <w:t>[</w:t>
      </w:r>
      <w:r>
        <w:rPr/>
        <w:t>wird sein</w:t>
      </w:r>
      <w:r>
        <w:rPr>
          <w:b/>
          <w:color w:val="808080"/>
        </w:rPr>
        <w:t>]</w:t>
      </w:r>
      <w:r>
        <w:rPr/>
        <w:t xml:space="preserve"> das Zeichen </w:t>
      </w:r>
      <w:r>
        <w:rPr>
          <w:b/>
          <w:color w:val="808080"/>
        </w:rPr>
        <w:t>[</w:t>
      </w:r>
      <w:r>
        <w:rPr/>
        <w:t>dafür</w:t>
      </w:r>
      <w:r>
        <w:rPr>
          <w:b/>
          <w:color w:val="808080"/>
        </w:rPr>
        <w:t>]</w:t>
      </w:r>
      <w:r>
        <w:rPr/>
        <w:t xml:space="preserve">, wann dies alles bestimmt ist </w:t>
      </w:r>
      <w:r>
        <w:rPr>
          <w:color w:val="808080"/>
        </w:rPr>
        <w:t>(im Begriff ist)</w:t>
      </w:r>
      <w:r>
        <w:rPr/>
        <w:t xml:space="preserve"> </w:t>
      </w:r>
      <w:r>
        <w:rPr>
          <w:rStyle w:val="Funotenanker"/>
        </w:rPr>
        <w:footnoteReference w:customMarkFollows="1" w:id="1990"/>
        <w:t>n</w:t>
      </w:r>
      <w:r>
        <w:rPr/>
        <w:t xml:space="preserve">, zu geschehen </w:t>
      </w:r>
      <w:r>
        <w:rPr>
          <w:color w:val="808080"/>
        </w:rPr>
        <w:t>(vollendet zu werden, zu enden)</w:t>
      </w:r>
      <w:r>
        <w:rPr/>
        <w:t xml:space="preserve"> </w:t>
      </w:r>
      <w:r>
        <w:rPr>
          <w:rStyle w:val="Funotenanker"/>
        </w:rPr>
        <w:footnoteReference w:customMarkFollows="1" w:id="1991"/>
        <w:t>o</w:t>
      </w:r>
      <w:r>
        <w:rPr/>
        <w:t>?“</w:t>
      </w:r>
      <w:r>
        <w:rPr>
          <w:position w:val="8"/>
          <w:sz w:val="19"/>
        </w:rPr>
        <w:t>[[ ℘ &gt;&gt; BibleTOBIBLE:Da 8:13]][[ ℘ &gt;&gt; BibleTOBIBLE:Da 12:6]]</w:t>
      </w:r>
      <w:r>
        <w:rPr/>
        <w:t xml:space="preserve"> {{field-off:bible}} </w:t>
        <w:br/>
        <w:t>[[@BibleTOBIBLE:Mk 13:5]]</w:t>
      </w:r>
      <w:r>
        <w:rPr>
          <w:b/>
        </w:rPr>
        <w:t>5</w:t>
      </w:r>
      <w:r>
        <w:rPr/>
        <w:t xml:space="preserve"> {{field-on:bible}}Und Jesus sagte zu ihnen </w:t>
      </w:r>
      <w:r>
        <w:rPr>
          <w:color w:val="808080"/>
        </w:rPr>
        <w:t>(</w:t>
      </w:r>
      <w:r>
        <w:rPr>
          <w:strike/>
          <w:color w:val="808080"/>
        </w:rPr>
        <w:t>{begann}</w:t>
      </w:r>
      <w:r>
        <w:rPr>
          <w:color w:val="808080"/>
        </w:rPr>
        <w:t>, zu ihnen zu sagen)</w:t>
      </w:r>
      <w:r>
        <w:rPr/>
        <w:t xml:space="preserve"> </w:t>
      </w:r>
      <w:r>
        <w:rPr>
          <w:rStyle w:val="Funotenanker"/>
        </w:rPr>
        <w:footnoteReference w:customMarkFollows="1" w:id="1992"/>
        <w:t>p</w:t>
      </w:r>
      <w:r>
        <w:rPr/>
        <w:t xml:space="preserve">: „Habt acht </w:t>
      </w:r>
      <w:r>
        <w:rPr>
          <w:color w:val="808080"/>
        </w:rPr>
        <w:t>(seht zu)</w:t>
      </w:r>
      <w:r>
        <w:rPr/>
        <w:t xml:space="preserve">, dass euch niemand irreführt!{{field-off:bible}} </w:t>
        <w:br/>
        <w:t>[[@BibleTOBIBLE:Mk 13:6]]</w:t>
      </w:r>
      <w:r>
        <w:rPr>
          <w:b/>
        </w:rPr>
        <w:t>6</w:t>
      </w:r>
      <w:r>
        <w:rPr/>
        <w:t xml:space="preserve"> {{field-on:bible}} </w:t>
      </w:r>
      <w:r>
        <w:rPr>
          <w:b/>
          <w:color w:val="808080"/>
        </w:rPr>
        <w:t>[</w:t>
      </w:r>
      <w:r>
        <w:rPr/>
        <w:t>Denn</w:t>
      </w:r>
      <w:r>
        <w:rPr>
          <w:b/>
          <w:color w:val="808080"/>
        </w:rPr>
        <w:t>]</w:t>
      </w:r>
      <w:r>
        <w:rPr/>
        <w:t xml:space="preserve"> es werden viele unter meinem Namen</w:t>
      </w:r>
      <w:r>
        <w:rPr>
          <w:rStyle w:val="Funotenanker"/>
        </w:rPr>
        <w:footnoteReference w:customMarkFollows="1" w:id="1993"/>
        <w:t>q</w:t>
      </w:r>
      <w:r>
        <w:rPr/>
        <w:t xml:space="preserve"> kommen und sagen: »Ich bin </w:t>
      </w:r>
      <w:r>
        <w:rPr>
          <w:b/>
          <w:color w:val="808080"/>
        </w:rPr>
        <w:t>[</w:t>
      </w:r>
      <w:r>
        <w:rPr/>
        <w:t>es</w:t>
      </w:r>
      <w:r>
        <w:rPr>
          <w:b/>
          <w:color w:val="808080"/>
        </w:rPr>
        <w:t>]</w:t>
      </w:r>
      <w:r>
        <w:rPr/>
        <w:t xml:space="preserve">!«, und sie werden viele irreführen.{{field-off:bible}} </w:t>
        <w:br/>
        <w:t>[[@BibleTOBIBLE:Mk 13:7]]</w:t>
      </w:r>
      <w:r>
        <w:rPr>
          <w:b/>
        </w:rPr>
        <w:t>7</w:t>
      </w:r>
      <w:r>
        <w:rPr/>
        <w:t xml:space="preserve"> {{field-on:bible}}Wenn ihr </w:t>
      </w:r>
      <w:r>
        <w:rPr>
          <w:strike/>
          <w:color w:val="808080"/>
        </w:rPr>
        <w:t>{aber}</w:t>
      </w:r>
      <w:r>
        <w:rPr/>
        <w:t xml:space="preserve"> </w:t>
      </w:r>
      <w:r>
        <w:rPr>
          <w:color w:val="808080"/>
        </w:rPr>
        <w:t>(Ihr dagegen: Wenn ihr)</w:t>
      </w:r>
      <w:r>
        <w:rPr/>
        <w:t xml:space="preserve"> </w:t>
      </w:r>
      <w:r>
        <w:rPr>
          <w:rStyle w:val="Funotenanker"/>
        </w:rPr>
        <w:footnoteReference w:customMarkFollows="1" w:id="1994"/>
        <w:t>r</w:t>
      </w:r>
      <w:r>
        <w:rPr/>
        <w:t xml:space="preserve"> von Kriegen und Kriegsgerüchten hört, erschreckt nicht, </w:t>
      </w:r>
      <w:r>
        <w:rPr>
          <w:b/>
          <w:color w:val="808080"/>
        </w:rPr>
        <w:t>[</w:t>
      </w:r>
      <w:r>
        <w:rPr/>
        <w:t>denn</w:t>
      </w:r>
      <w:r>
        <w:rPr>
          <w:b/>
          <w:color w:val="808080"/>
        </w:rPr>
        <w:t>]</w:t>
      </w:r>
      <w:r>
        <w:rPr/>
        <w:t xml:space="preserve"> es muss geschehen, doch </w:t>
      </w:r>
      <w:r>
        <w:rPr>
          <w:b/>
          <w:color w:val="808080"/>
        </w:rPr>
        <w:t>[</w:t>
      </w:r>
      <w:r>
        <w:rPr/>
        <w:t>es ist</w:t>
      </w:r>
      <w:r>
        <w:rPr>
          <w:b/>
          <w:color w:val="808080"/>
        </w:rPr>
        <w:t>]</w:t>
      </w:r>
      <w:r>
        <w:rPr/>
        <w:t xml:space="preserve"> noch nicht das Ende.{{field-off:bible}} </w:t>
        <w:br/>
        <w:t>[[@BibleTOBIBLE:Mk 13:8]]</w:t>
      </w:r>
      <w:r>
        <w:rPr>
          <w:b/>
        </w:rPr>
        <w:t>8</w:t>
      </w:r>
      <w:r>
        <w:rPr/>
        <w:t xml:space="preserve"> {{field-on:bible}}Erheben wird sich</w:t>
      </w:r>
      <w:r>
        <w:rPr>
          <w:rStyle w:val="Funotenanker"/>
        </w:rPr>
        <w:footnoteReference w:customMarkFollows="1" w:id="1995"/>
        <w:t>s</w:t>
      </w:r>
      <w:r>
        <w:rPr/>
        <w:t xml:space="preserve"> nämlich </w:t>
      </w:r>
      <w:r>
        <w:rPr>
          <w:color w:val="808080"/>
        </w:rPr>
        <w:t>(denn)</w:t>
      </w:r>
      <w:r>
        <w:rPr/>
        <w:t xml:space="preserve"> </w:t>
      </w:r>
      <w:r>
        <w:rPr>
          <w:rStyle w:val="Funotenanker"/>
        </w:rPr>
        <w:footnoteReference w:customMarkFollows="1" w:id="1996"/>
        <w:t>t</w:t>
      </w:r>
      <w:r>
        <w:rPr/>
        <w:t xml:space="preserve"> Volk gegen Volk und Reich gegen Reich, Erdbeben werden sein stellenweise </w:t>
      </w:r>
      <w:r>
        <w:rPr>
          <w:color w:val="808080"/>
        </w:rPr>
        <w:t>(mancherorts)</w:t>
      </w:r>
      <w:r>
        <w:rPr/>
        <w:t xml:space="preserve">, geben wird es Hungersnöte. </w:t>
      </w:r>
      <w:r>
        <w:rPr>
          <w:b/>
          <w:color w:val="808080"/>
        </w:rPr>
        <w:t>[</w:t>
      </w:r>
      <w:r>
        <w:rPr/>
        <w:t>Der</w:t>
      </w:r>
      <w:r>
        <w:rPr>
          <w:b/>
          <w:color w:val="808080"/>
        </w:rPr>
        <w:t>]</w:t>
      </w:r>
      <w:r>
        <w:rPr/>
        <w:t xml:space="preserve"> Anfang der Wehen</w:t>
      </w:r>
      <w:r>
        <w:rPr>
          <w:rStyle w:val="Funotenanker"/>
        </w:rPr>
        <w:footnoteReference w:customMarkFollows="1" w:id="1997"/>
        <w:t>u</w:t>
      </w:r>
      <w:r>
        <w:rPr/>
        <w:t xml:space="preserve"> </w:t>
      </w:r>
      <w:r>
        <w:rPr>
          <w:b/>
          <w:color w:val="808080"/>
        </w:rPr>
        <w:t>[</w:t>
      </w:r>
      <w:r>
        <w:rPr/>
        <w:t>ist</w:t>
      </w:r>
      <w:r>
        <w:rPr>
          <w:b/>
          <w:color w:val="808080"/>
        </w:rPr>
        <w:t>]</w:t>
      </w:r>
      <w:r>
        <w:rPr/>
        <w:t xml:space="preserve"> dies. </w:t>
      </w:r>
      <w:r>
        <w:rPr>
          <w:position w:val="8"/>
          <w:sz w:val="19"/>
        </w:rPr>
        <w:t>[[ ℘ &gt;&gt; BibleTOBIBLE:2Ch 15:6]][[ ℘ &gt;&gt; BibleTOBIBLE:Is 13:13]][[ ℘ &gt;&gt; BibleTOBIBLE:Is 19:2]][[ ℘ &gt;&gt; BibleTOBIBLE:Is 26:17]][[ ℘ &gt;&gt; BibleTOBIBLE:Joe 2:10]][[ ℘ &gt;&gt; BibleTOBIBLE:Jn 16:21]]</w:t>
      </w:r>
      <w:r>
        <w:rPr/>
        <w:t xml:space="preserve"> {{field-off:bible}} </w:t>
        <w:br/>
        <w:t>[[@BibleTOBIBLE:Mk 13:9]]</w:t>
      </w:r>
      <w:r>
        <w:rPr>
          <w:b/>
        </w:rPr>
        <w:t>9</w:t>
      </w:r>
      <w:r>
        <w:rPr/>
        <w:t xml:space="preserve"> {{field-on:bible}}Nehmt euch in Acht </w:t>
      </w:r>
      <w:r>
        <w:rPr>
          <w:color w:val="808080"/>
        </w:rPr>
        <w:t>(Blickt auf euch selbst)</w:t>
      </w:r>
      <w:r>
        <w:rPr/>
        <w:t xml:space="preserve">! Man wird euch </w:t>
      </w:r>
      <w:r>
        <w:rPr>
          <w:color w:val="808080"/>
        </w:rPr>
        <w:t>(sie werden)</w:t>
      </w:r>
      <w:r>
        <w:rPr/>
        <w:t xml:space="preserve"> </w:t>
      </w:r>
      <w:r>
        <w:rPr>
          <w:rStyle w:val="Funotenanker"/>
        </w:rPr>
        <w:footnoteReference w:customMarkFollows="1" w:id="1998"/>
        <w:t>v</w:t>
      </w:r>
      <w:r>
        <w:rPr/>
        <w:t xml:space="preserve"> ausliefern</w:t>
      </w:r>
      <w:r>
        <w:rPr>
          <w:rStyle w:val="Funotenanker"/>
        </w:rPr>
        <w:footnoteReference w:customMarkFollows="1" w:id="1999"/>
        <w:t>w</w:t>
      </w:r>
      <w:r>
        <w:rPr/>
        <w:t xml:space="preserve"> an Synhedrien</w:t>
      </w:r>
      <w:r>
        <w:rPr>
          <w:rStyle w:val="Funotenanker"/>
        </w:rPr>
        <w:footnoteReference w:customMarkFollows="1" w:id="2000"/>
        <w:t>x</w:t>
      </w:r>
      <w:r>
        <w:rPr/>
        <w:t xml:space="preserve"> und Synagogen</w:t>
      </w:r>
      <w:r>
        <w:rPr>
          <w:rStyle w:val="Funotenanker"/>
        </w:rPr>
        <w:footnoteReference w:customMarkFollows="1" w:id="2001"/>
        <w:t>y</w:t>
      </w:r>
      <w:r>
        <w:rPr/>
        <w:t>, ihr werdet geprügelt werden und ihr werdet meinetwegen vor Statthalter und Könige gestellt werden, ihnen zum Zeugnis</w:t>
      </w:r>
      <w:r>
        <w:rPr>
          <w:rStyle w:val="Funotenanker"/>
        </w:rPr>
        <w:footnoteReference w:customMarkFollows="1" w:id="2002"/>
        <w:t>z</w:t>
      </w:r>
      <w:r>
        <w:rPr/>
        <w:t xml:space="preserve"> -</w:t>
      </w:r>
      <w:r>
        <w:rPr>
          <w:position w:val="8"/>
          <w:sz w:val="19"/>
        </w:rPr>
        <w:t>[[ ℘ &gt;&gt; BibleTOBIBLE:Mk 1:44]][[ ℘ &gt;&gt; BibleTOBIBLE:Mk 6:11]]</w:t>
      </w:r>
      <w:r>
        <w:rPr/>
        <w:t xml:space="preserve"> {{field-off:bible}} </w:t>
        <w:br/>
        <w:t>[[@BibleTOBIBLE:Mk 13:10]]</w:t>
      </w:r>
      <w:r>
        <w:rPr>
          <w:b/>
        </w:rPr>
        <w:t>10</w:t>
      </w:r>
      <w:r>
        <w:rPr/>
        <w:t xml:space="preserve"> {{field-on:bible}}denn </w:t>
      </w:r>
      <w:r>
        <w:rPr>
          <w:color w:val="808080"/>
        </w:rPr>
        <w:t>(und, aber)</w:t>
      </w:r>
      <w:r>
        <w:rPr/>
        <w:t xml:space="preserve"> </w:t>
      </w:r>
      <w:r>
        <w:rPr>
          <w:rStyle w:val="Funotenanker"/>
        </w:rPr>
        <w:footnoteReference w:customMarkFollows="1" w:id="2003"/>
        <w:t>aa</w:t>
      </w:r>
      <w:r>
        <w:rPr/>
        <w:t xml:space="preserve"> zuerst</w:t>
      </w:r>
      <w:r>
        <w:rPr>
          <w:rStyle w:val="Funotenanker"/>
        </w:rPr>
        <w:footnoteReference w:customMarkFollows="1" w:id="2004"/>
        <w:t>ab</w:t>
      </w:r>
      <w:r>
        <w:rPr/>
        <w:t xml:space="preserve"> muss das Evangelium bei </w:t>
      </w:r>
      <w:r>
        <w:rPr>
          <w:color w:val="808080"/>
        </w:rPr>
        <w:t>(</w:t>
      </w:r>
      <w:r>
        <w:rPr>
          <w:strike/>
          <w:color w:val="808080"/>
        </w:rPr>
        <w:t>{bei}</w:t>
      </w:r>
      <w:r>
        <w:rPr>
          <w:color w:val="808080"/>
        </w:rPr>
        <w:t>)</w:t>
      </w:r>
      <w:r>
        <w:rPr/>
        <w:t xml:space="preserve"> </w:t>
      </w:r>
      <w:r>
        <w:rPr>
          <w:rStyle w:val="Funotenanker"/>
        </w:rPr>
        <w:footnoteReference w:customMarkFollows="1" w:id="2005"/>
        <w:t>ac</w:t>
      </w:r>
      <w:r>
        <w:rPr/>
        <w:t xml:space="preserve"> allen Völkern verkündigt werden.{{field-off:bible}} </w:t>
        <w:br/>
        <w:t>[[@BibleTOBIBLE:Mk 13:11]]</w:t>
      </w:r>
      <w:r>
        <w:rPr>
          <w:b/>
        </w:rPr>
        <w:t>11</w:t>
      </w:r>
      <w:r>
        <w:rPr/>
        <w:t xml:space="preserve"> {{field-on:bible}}Und wenn man euch abführt </w:t>
      </w:r>
      <w:r>
        <w:rPr>
          <w:color w:val="808080"/>
        </w:rPr>
        <w:t>(sie euch abführen)</w:t>
      </w:r>
      <w:r>
        <w:rPr/>
        <w:t>, um euch auszuliefern</w:t>
      </w:r>
      <w:r>
        <w:rPr>
          <w:rStyle w:val="Funotenanker"/>
        </w:rPr>
        <w:footnoteReference w:customMarkFollows="1" w:id="2006"/>
        <w:t>ad</w:t>
      </w:r>
      <w:r>
        <w:rPr/>
        <w:t xml:space="preserve">, sorgt euch nicht im Voraus, was ihr sagen sollt, sondern das, was </w:t>
      </w:r>
      <w:r>
        <w:rPr>
          <w:color w:val="808080"/>
        </w:rPr>
        <w:t>(was auch immer)</w:t>
      </w:r>
      <w:r>
        <w:rPr/>
        <w:t xml:space="preserve"> euch in jener Stunde eingegeben </w:t>
      </w:r>
      <w:r>
        <w:rPr>
          <w:color w:val="808080"/>
        </w:rPr>
        <w:t>(gegeben)</w:t>
      </w:r>
      <w:r>
        <w:rPr/>
        <w:t xml:space="preserve"> </w:t>
      </w:r>
      <w:r>
        <w:rPr>
          <w:rStyle w:val="Funotenanker"/>
        </w:rPr>
        <w:footnoteReference w:customMarkFollows="1" w:id="2007"/>
        <w:t>ae</w:t>
      </w:r>
      <w:r>
        <w:rPr/>
        <w:t xml:space="preserve"> werden wird, das sagt! Denn nicht ihr seid es, die da reden, sondern der heilige Geist.{{field-off:bible}} </w:t>
        <w:br/>
        <w:t>[[@BibleTOBIBLE:Mk 13:12]]</w:t>
      </w:r>
      <w:r>
        <w:rPr>
          <w:b/>
        </w:rPr>
        <w:t>12</w:t>
      </w:r>
      <w:r>
        <w:rPr/>
        <w:t xml:space="preserve"> {{field-on:bible}} </w:t>
      </w:r>
      <w:r>
        <w:rPr>
          <w:strike/>
          <w:color w:val="808080"/>
        </w:rPr>
        <w:t>{Und}</w:t>
      </w:r>
      <w:r>
        <w:rPr/>
        <w:t xml:space="preserve"> Ausliefern wird ein Bruder </w:t>
      </w:r>
      <w:r>
        <w:rPr>
          <w:b/>
          <w:color w:val="808080"/>
        </w:rPr>
        <w:t>[</w:t>
      </w:r>
      <w:r>
        <w:rPr/>
        <w:t>seinen</w:t>
      </w:r>
      <w:r>
        <w:rPr>
          <w:b/>
          <w:color w:val="808080"/>
        </w:rPr>
        <w:t>]</w:t>
      </w:r>
      <w:r>
        <w:rPr/>
        <w:t xml:space="preserve"> Bruder in den Tod und ein Vater </w:t>
      </w:r>
      <w:r>
        <w:rPr>
          <w:b/>
          <w:color w:val="808080"/>
        </w:rPr>
        <w:t>[</w:t>
      </w:r>
      <w:r>
        <w:rPr/>
        <w:t>sein</w:t>
      </w:r>
      <w:r>
        <w:rPr>
          <w:b/>
          <w:color w:val="808080"/>
        </w:rPr>
        <w:t>]</w:t>
      </w:r>
      <w:r>
        <w:rPr/>
        <w:t xml:space="preserve"> Kind, und erheben werden sich Kinder gegen </w:t>
      </w:r>
      <w:r>
        <w:rPr>
          <w:b/>
          <w:color w:val="808080"/>
        </w:rPr>
        <w:t>[</w:t>
      </w:r>
      <w:r>
        <w:rPr/>
        <w:t>ihre</w:t>
      </w:r>
      <w:r>
        <w:rPr>
          <w:b/>
          <w:color w:val="808080"/>
        </w:rPr>
        <w:t>]</w:t>
      </w:r>
      <w:r>
        <w:rPr/>
        <w:t xml:space="preserve"> Eltern und töten werden sie sie.</w:t>
      </w:r>
      <w:r>
        <w:rPr>
          <w:position w:val="8"/>
          <w:sz w:val="19"/>
        </w:rPr>
        <w:t>[[ ℘ &gt;&gt; BibleTOBIBLE:Mic 7:2]][[ ℘ &gt;&gt; BibleTOBIBLE:Mic 7:6]][[ ℘ &gt;&gt; BibleTOBIBLE:Zec 13:3]][[ ℘ &gt;&gt; BibleTOBIBLE:Mt 10:35]][[ ℘ &gt;&gt; BibleTOBIBLE:Lk 12:52]]</w:t>
      </w:r>
      <w:r>
        <w:rPr/>
        <w:t xml:space="preserve"> {{field-off:bible}} </w:t>
        <w:br/>
        <w:t>[[@BibleTOBIBLE:Mk 13:13]]</w:t>
      </w:r>
      <w:r>
        <w:rPr>
          <w:b/>
        </w:rPr>
        <w:t>13</w:t>
      </w:r>
      <w:r>
        <w:rPr/>
        <w:t xml:space="preserve"> {{field-on:bible}}Und ihr werdet von allen gehasst werden wegen meines Namens </w:t>
      </w:r>
      <w:r>
        <w:rPr>
          <w:color w:val="808080"/>
        </w:rPr>
        <w:t>(um meinetwillen, wegen mir)</w:t>
      </w:r>
      <w:r>
        <w:rPr/>
        <w:t xml:space="preserve"> </w:t>
      </w:r>
      <w:r>
        <w:rPr>
          <w:rStyle w:val="Funotenanker"/>
        </w:rPr>
        <w:footnoteReference w:customMarkFollows="1" w:id="2008"/>
        <w:t>af</w:t>
      </w:r>
      <w:r>
        <w:rPr/>
        <w:t>. Der aber, der bis zum Ende</w:t>
      </w:r>
      <w:r>
        <w:rPr>
          <w:rStyle w:val="Funotenanker"/>
        </w:rPr>
        <w:footnoteReference w:customMarkFollows="1" w:id="2009"/>
        <w:t>ag</w:t>
      </w:r>
      <w:r>
        <w:rPr/>
        <w:t xml:space="preserve"> standhaft bleibt </w:t>
      </w:r>
      <w:r>
        <w:rPr>
          <w:color w:val="808080"/>
        </w:rPr>
        <w:t>(dies erduldet)</w:t>
      </w:r>
      <w:r>
        <w:rPr/>
        <w:t xml:space="preserve"> </w:t>
      </w:r>
      <w:r>
        <w:rPr>
          <w:rStyle w:val="Funotenanker"/>
        </w:rPr>
        <w:footnoteReference w:customMarkFollows="1" w:id="2010"/>
        <w:t>ah</w:t>
      </w:r>
      <w:r>
        <w:rPr/>
        <w:t>, wird gerettet werden.</w:t>
      </w:r>
      <w:r>
        <w:rPr>
          <w:position w:val="8"/>
          <w:sz w:val="19"/>
        </w:rPr>
        <w:t>[[ ℘ &gt;&gt; BibleTOBIBLE:Da 12:12]]</w:t>
      </w:r>
      <w:r>
        <w:rPr/>
        <w:t xml:space="preserve"> {{field-off:bible}} </w:t>
        <w:br/>
        <w:t>[[@BibleTOBIBLE:Mk 13:14]]</w:t>
      </w:r>
      <w:r>
        <w:rPr>
          <w:b/>
        </w:rPr>
        <w:t>14</w:t>
      </w:r>
      <w:r>
        <w:rPr/>
        <w:t xml:space="preserve"> {{field-on:bible}}Wenn ihr dann aber den Gräuel der Verwüstung</w:t>
      </w:r>
      <w:r>
        <w:rPr>
          <w:rStyle w:val="Funotenanker"/>
        </w:rPr>
        <w:footnoteReference w:customMarkFollows="1" w:id="2011"/>
        <w:t>ai</w:t>
      </w:r>
      <w:r>
        <w:rPr/>
        <w:t xml:space="preserve"> stehen seht, wo er nicht </w:t>
      </w:r>
      <w:r>
        <w:rPr>
          <w:b/>
          <w:color w:val="808080"/>
        </w:rPr>
        <w:t>[</w:t>
      </w:r>
      <w:r>
        <w:rPr/>
        <w:t>stehen</w:t>
      </w:r>
      <w:r>
        <w:rPr>
          <w:b/>
          <w:color w:val="808080"/>
        </w:rPr>
        <w:t>]</w:t>
      </w:r>
      <w:r>
        <w:rPr/>
        <w:t xml:space="preserve"> soll – der Leser sei aufmerksam!</w:t>
      </w:r>
      <w:r>
        <w:rPr>
          <w:rStyle w:val="Funotenanker"/>
        </w:rPr>
        <w:footnoteReference w:customMarkFollows="1" w:id="2012"/>
        <w:t>aj</w:t>
      </w:r>
      <w:r>
        <w:rPr/>
        <w:t xml:space="preserve"> –, dann sollen die in Judäa in die Berge fliehen</w:t>
      </w:r>
      <w:r>
        <w:rPr>
          <w:rStyle w:val="Funotenanker"/>
        </w:rPr>
        <w:footnoteReference w:customMarkFollows="1" w:id="2013"/>
        <w:t>ak</w:t>
      </w:r>
      <w:r>
        <w:rPr/>
        <w:t>;</w:t>
      </w:r>
      <w:r>
        <w:rPr>
          <w:position w:val="8"/>
          <w:sz w:val="19"/>
        </w:rPr>
        <w:t>[[ ℘ &gt;&gt; BibleTOBIBLE:Ge 19:17]][[ ℘ &gt;&gt; BibleTOBIBLE:Je 4:29]][[ ℘ &gt;&gt; BibleTOBIBLE:Da 9:27]][[ ℘ &gt;&gt; BibleTOBIBLE:Da 11:31]][[ ℘ &gt;&gt; BibleTOBIBLE:Da 12:11]][[ ℘ &gt;&gt; BibleTOBIBLE:1Mac 1:54]][[ ℘ &gt;&gt; BibleTOBIBLE:1Mac 2:28]][[ ℘ &gt;&gt; BibleTOBIBLE:2Th 2:4]]</w:t>
      </w:r>
      <w:r>
        <w:rPr/>
        <w:t xml:space="preserve"> {{field-off:bible}} </w:t>
        <w:br/>
        <w:t>[[@BibleTOBIBLE:Mk 13:15]]</w:t>
      </w:r>
      <w:r>
        <w:rPr>
          <w:b/>
        </w:rPr>
        <w:t>15</w:t>
      </w:r>
      <w:r>
        <w:rPr/>
        <w:t xml:space="preserve"> {{field-on:bible}}wer auf dem Dach </w:t>
      </w:r>
      <w:r>
        <w:rPr>
          <w:b/>
          <w:color w:val="808080"/>
        </w:rPr>
        <w:t>[</w:t>
      </w:r>
      <w:r>
        <w:rPr/>
        <w:t>ist</w:t>
      </w:r>
      <w:r>
        <w:rPr>
          <w:b/>
          <w:color w:val="808080"/>
        </w:rPr>
        <w:t>]</w:t>
      </w:r>
      <w:r>
        <w:rPr/>
        <w:t>,</w:t>
      </w:r>
      <w:r>
        <w:rPr>
          <w:rStyle w:val="Funotenanker"/>
        </w:rPr>
        <w:footnoteReference w:customMarkFollows="1" w:id="2014"/>
        <w:t>al</w:t>
      </w:r>
      <w:r>
        <w:rPr/>
        <w:t xml:space="preserve"> soll nicht </w:t>
      </w:r>
      <w:r>
        <w:rPr>
          <w:color w:val="808080"/>
        </w:rPr>
        <w:t>(</w:t>
      </w:r>
      <w:r>
        <w:rPr>
          <w:strike/>
          <w:color w:val="808080"/>
        </w:rPr>
        <w:t>{weder}</w:t>
      </w:r>
      <w:r>
        <w:rPr>
          <w:color w:val="808080"/>
        </w:rPr>
        <w:t>)</w:t>
      </w:r>
      <w:r>
        <w:rPr/>
        <w:t xml:space="preserve"> </w:t>
      </w:r>
      <w:r>
        <w:rPr>
          <w:rStyle w:val="Funotenanker"/>
        </w:rPr>
        <w:footnoteReference w:customMarkFollows="1" w:id="2015"/>
        <w:t>am</w:t>
      </w:r>
      <w:r>
        <w:rPr/>
        <w:t xml:space="preserve"> hinabsteigen, um </w:t>
      </w:r>
      <w:r>
        <w:rPr>
          <w:color w:val="808080"/>
        </w:rPr>
        <w:t>(</w:t>
      </w:r>
      <w:r>
        <w:rPr>
          <w:strike/>
          <w:color w:val="808080"/>
        </w:rPr>
        <w:t>{noch}</w:t>
      </w:r>
      <w:r>
        <w:rPr>
          <w:color w:val="808080"/>
        </w:rPr>
        <w:t>)</w:t>
      </w:r>
      <w:r>
        <w:rPr/>
        <w:t xml:space="preserve"> hineinzugehen </w:t>
      </w:r>
      <w:r>
        <w:rPr>
          <w:color w:val="808080"/>
        </w:rPr>
        <w:t>(hineingehen)</w:t>
      </w:r>
      <w:r>
        <w:rPr/>
        <w:t>, um etwas aus seinem Haus zu holen;</w:t>
      </w:r>
      <w:r>
        <w:rPr>
          <w:position w:val="8"/>
          <w:sz w:val="19"/>
        </w:rPr>
        <w:t>[[ ℘ &gt;&gt; BibleTOBIBLE:Eze 7:15]]</w:t>
      </w:r>
      <w:r>
        <w:rPr/>
        <w:t xml:space="preserve"> {{field-off:bible}} </w:t>
        <w:br/>
        <w:t>[[@BibleTOBIBLE:Mk 13:16]]</w:t>
      </w:r>
      <w:r>
        <w:rPr>
          <w:b/>
        </w:rPr>
        <w:t>16</w:t>
      </w:r>
      <w:r>
        <w:rPr/>
        <w:t xml:space="preserve"> {{field-on:bible}}und wer auf dem Feld ist, soll nicht zurückkehren</w:t>
      </w:r>
      <w:r>
        <w:rPr>
          <w:rStyle w:val="Funotenanker"/>
        </w:rPr>
        <w:footnoteReference w:customMarkFollows="1" w:id="2016"/>
        <w:t>an</w:t>
      </w:r>
      <w:r>
        <w:rPr/>
        <w:t xml:space="preserve">, um sein Obergewand zu holen.{{field-off:bible}} </w:t>
        <w:br/>
        <w:t>[[@BibleTOBIBLE:Mk 13:17]]</w:t>
      </w:r>
      <w:r>
        <w:rPr>
          <w:b/>
        </w:rPr>
        <w:t>17</w:t>
      </w:r>
      <w:r>
        <w:rPr/>
        <w:t xml:space="preserve"> {{field-on:bible}} </w:t>
      </w:r>
      <w:r>
        <w:rPr>
          <w:strike/>
          <w:color w:val="808080"/>
        </w:rPr>
        <w:t>{Aber}</w:t>
      </w:r>
      <w:r>
        <w:rPr/>
        <w:t xml:space="preserve"> Wehe denen</w:t>
      </w:r>
      <w:r>
        <w:rPr>
          <w:rStyle w:val="Funotenanker"/>
        </w:rPr>
        <w:footnoteReference w:customMarkFollows="1" w:id="2017"/>
        <w:t>ao</w:t>
      </w:r>
      <w:r>
        <w:rPr/>
        <w:t>, die in jenen Tagen</w:t>
      </w:r>
      <w:r>
        <w:rPr>
          <w:rStyle w:val="Funotenanker"/>
        </w:rPr>
        <w:footnoteReference w:customMarkFollows="1" w:id="2018"/>
        <w:t>ap</w:t>
      </w:r>
      <w:r>
        <w:rPr/>
        <w:t xml:space="preserve"> schwanger sind oder stillen!</w:t>
      </w:r>
      <w:r>
        <w:rPr>
          <w:position w:val="8"/>
          <w:sz w:val="19"/>
        </w:rPr>
        <w:t>[[ ℘ &gt;&gt; BibleTOBIBLE:Lk 23:29]]</w:t>
      </w:r>
      <w:r>
        <w:rPr/>
        <w:t xml:space="preserve"> {{field-off:bible}} </w:t>
        <w:br/>
        <w:t>[[@BibleTOBIBLE:Mk 13:18]]</w:t>
      </w:r>
      <w:r>
        <w:rPr>
          <w:b/>
        </w:rPr>
        <w:t>18</w:t>
      </w:r>
      <w:r>
        <w:rPr/>
        <w:t xml:space="preserve"> {{field-on:bible}} </w:t>
      </w:r>
      <w:r>
        <w:rPr>
          <w:strike/>
          <w:color w:val="808080"/>
        </w:rPr>
        <w:t>{Aber}</w:t>
      </w:r>
      <w:r>
        <w:rPr/>
        <w:t xml:space="preserve"> </w:t>
      </w:r>
      <w:r>
        <w:rPr>
          <w:color w:val="808080"/>
        </w:rPr>
        <w:t>(Darum)</w:t>
      </w:r>
      <w:r>
        <w:rPr/>
        <w:t xml:space="preserve"> </w:t>
      </w:r>
      <w:r>
        <w:rPr>
          <w:rStyle w:val="Funotenanker"/>
        </w:rPr>
        <w:footnoteReference w:customMarkFollows="1" w:id="2019"/>
        <w:t>aq</w:t>
      </w:r>
      <w:r>
        <w:rPr/>
        <w:t xml:space="preserve"> Betet, dass es nicht während des Winters geschieht!{{field-off:bible}} </w:t>
        <w:br/>
        <w:t>[[@BibleTOBIBLE:Mk 13:19]]</w:t>
      </w:r>
      <w:r>
        <w:rPr>
          <w:b/>
        </w:rPr>
        <w:t>19</w:t>
      </w:r>
      <w:r>
        <w:rPr/>
        <w:t xml:space="preserve"> {{field-on:bible}}Denn es werden sein jene Tage eine derartige Bedrängnis, wie sie seit Beginn der Schöpfung, die Gott geschaffen hat,</w:t>
      </w:r>
      <w:r>
        <w:rPr>
          <w:rStyle w:val="Funotenanker"/>
        </w:rPr>
        <w:footnoteReference w:customMarkFollows="1" w:id="2020"/>
        <w:t>ar</w:t>
      </w:r>
      <w:r>
        <w:rPr/>
        <w:t xml:space="preserve"> bis jetzt nicht geschehen ist und niemals geschehen wird</w:t>
      </w:r>
      <w:r>
        <w:rPr>
          <w:rStyle w:val="Funotenanker"/>
        </w:rPr>
        <w:footnoteReference w:customMarkFollows="1" w:id="2021"/>
        <w:t>as</w:t>
      </w:r>
      <w:r>
        <w:rPr/>
        <w:t>.</w:t>
      </w:r>
      <w:r>
        <w:rPr>
          <w:position w:val="8"/>
          <w:sz w:val="19"/>
        </w:rPr>
        <w:t>[[ ℘ &gt;&gt; BibleTOBIBLE:Ex 11:6]][[ ℘ &gt;&gt; BibleTOBIBLE:Joe 2:2]][[ ℘ &gt;&gt; BibleTOBIBLE:Da 12:1]][[ ℘ &gt;&gt; BibleTOBIBLE:Re 16:18]]</w:t>
      </w:r>
      <w:r>
        <w:rPr/>
        <w:t xml:space="preserve"> {{field-off:bible}} </w:t>
        <w:br/>
        <w:t>[[@BibleTOBIBLE:Mk 13:20]]</w:t>
      </w:r>
      <w:r>
        <w:rPr>
          <w:b/>
        </w:rPr>
        <w:t>20</w:t>
      </w:r>
      <w:r>
        <w:rPr/>
        <w:t xml:space="preserve"> {{field-on:bible}} </w:t>
      </w:r>
      <w:r>
        <w:rPr>
          <w:strike/>
          <w:color w:val="808080"/>
        </w:rPr>
        <w:t>{Und}</w:t>
      </w:r>
      <w:r>
        <w:rPr/>
        <w:t xml:space="preserve"> Wenn der Herr nicht die Tage verkürzt hätte,</w:t>
      </w:r>
      <w:r>
        <w:rPr>
          <w:rStyle w:val="Funotenanker"/>
        </w:rPr>
        <w:footnoteReference w:customMarkFollows="1" w:id="2022"/>
        <w:t>at</w:t>
      </w:r>
      <w:r>
        <w:rPr/>
        <w:t xml:space="preserve"> würde absolut niemand</w:t>
      </w:r>
      <w:r>
        <w:rPr>
          <w:rStyle w:val="Funotenanker"/>
        </w:rPr>
        <w:footnoteReference w:customMarkFollows="1" w:id="2023"/>
        <w:t>au</w:t>
      </w:r>
      <w:r>
        <w:rPr/>
        <w:t xml:space="preserve"> gerettet werden, doch um der Auserwählten willen, die er auserwählt hat, hat er die Tage verkürzt.{{field-off:bible}} </w:t>
        <w:br/>
        <w:t>[[@BibleTOBIBLE:Mk 13:21]]</w:t>
      </w:r>
      <w:r>
        <w:rPr>
          <w:b/>
        </w:rPr>
        <w:t>21</w:t>
      </w:r>
      <w:r>
        <w:rPr/>
        <w:t xml:space="preserve"> {{field-on:bible}} </w:t>
      </w:r>
      <w:r>
        <w:rPr>
          <w:strike/>
          <w:color w:val="808080"/>
        </w:rPr>
        <w:t>{Und}</w:t>
      </w:r>
      <w:r>
        <w:rPr/>
        <w:t xml:space="preserve"> Sagt dann einer zu euch: »</w:t>
      </w:r>
      <w:r>
        <w:rPr>
          <w:strike/>
          <w:color w:val="808080"/>
        </w:rPr>
        <w:t>{Siehe}</w:t>
      </w:r>
      <w:r>
        <w:rPr/>
        <w:t xml:space="preserve"> Hier </w:t>
      </w:r>
      <w:r>
        <w:rPr>
          <w:b/>
          <w:color w:val="808080"/>
        </w:rPr>
        <w:t>[</w:t>
      </w:r>
      <w:r>
        <w:rPr/>
        <w:t>ist</w:t>
      </w:r>
      <w:r>
        <w:rPr>
          <w:b/>
          <w:color w:val="808080"/>
        </w:rPr>
        <w:t>]</w:t>
      </w:r>
      <w:r>
        <w:rPr/>
        <w:t xml:space="preserve"> der Christus!«</w:t>
      </w:r>
      <w:r>
        <w:rPr>
          <w:rStyle w:val="Funotenanker"/>
        </w:rPr>
        <w:footnoteReference w:customMarkFollows="1" w:id="2024"/>
        <w:t>av</w:t>
      </w:r>
      <w:r>
        <w:rPr/>
        <w:t xml:space="preserve"> oder </w:t>
      </w:r>
      <w:r>
        <w:rPr>
          <w:strike/>
          <w:color w:val="808080"/>
        </w:rPr>
        <w:t>{Siehe}</w:t>
      </w:r>
      <w:r>
        <w:rPr/>
        <w:t xml:space="preserve"> dort </w:t>
      </w:r>
      <w:r>
        <w:rPr>
          <w:b/>
          <w:color w:val="808080"/>
        </w:rPr>
        <w:t>[</w:t>
      </w:r>
      <w:r>
        <w:rPr/>
        <w:t>ist er</w:t>
      </w:r>
      <w:r>
        <w:rPr>
          <w:b/>
          <w:color w:val="808080"/>
        </w:rPr>
        <w:t>]</w:t>
      </w:r>
      <w:r>
        <w:rPr/>
        <w:t xml:space="preserve">! - glaubt </w:t>
      </w:r>
      <w:r>
        <w:rPr>
          <w:b/>
          <w:color w:val="808080"/>
        </w:rPr>
        <w:t>[</w:t>
      </w:r>
      <w:r>
        <w:rPr/>
        <w:t>es</w:t>
      </w:r>
      <w:r>
        <w:rPr>
          <w:b/>
          <w:color w:val="808080"/>
        </w:rPr>
        <w:t>]</w:t>
      </w:r>
      <w:r>
        <w:rPr/>
        <w:t xml:space="preserve"> nicht,{{field-off:bible}} </w:t>
        <w:br/>
        <w:t>[[@BibleTOBIBLE:Mk 13:22]]</w:t>
      </w:r>
      <w:r>
        <w:rPr>
          <w:b/>
        </w:rPr>
        <w:t>22</w:t>
      </w:r>
      <w:r>
        <w:rPr/>
        <w:t xml:space="preserve"> {{field-on:bible}}denn aufstehen werden falsche Christusse und falsche Propheten, und darbieten</w:t>
      </w:r>
      <w:r>
        <w:rPr>
          <w:rStyle w:val="Funotenanker"/>
        </w:rPr>
        <w:footnoteReference w:customMarkFollows="1" w:id="2025"/>
        <w:t>aw</w:t>
      </w:r>
      <w:r>
        <w:rPr/>
        <w:t xml:space="preserve"> werden sie Zeichen und Wunder,</w:t>
      </w:r>
      <w:r>
        <w:rPr>
          <w:rStyle w:val="Funotenanker"/>
        </w:rPr>
        <w:footnoteReference w:customMarkFollows="1" w:id="2026"/>
        <w:t>ax</w:t>
      </w:r>
      <w:r>
        <w:rPr/>
        <w:t xml:space="preserve"> um – wenn möglich – die Auserwählten zu verführen </w:t>
      </w:r>
      <w:r>
        <w:rPr>
          <w:color w:val="808080"/>
        </w:rPr>
        <w:t>(irrezuführen)</w:t>
      </w:r>
      <w:r>
        <w:rPr/>
        <w:t xml:space="preserve"> </w:t>
      </w:r>
      <w:r>
        <w:rPr>
          <w:rStyle w:val="Funotenanker"/>
        </w:rPr>
        <w:footnoteReference w:customMarkFollows="1" w:id="2027"/>
        <w:t>ay</w:t>
      </w:r>
      <w:r>
        <w:rPr/>
        <w:t>.</w:t>
      </w:r>
      <w:r>
        <w:rPr>
          <w:position w:val="8"/>
          <w:sz w:val="19"/>
        </w:rPr>
        <w:t>[[ ℘ &gt;&gt; BibleTOBIBLE:Dt 13:2]][[ ℘ &gt;&gt; BibleTOBIBLE:Je 6:13]][[ ℘ &gt;&gt; BibleTOBIBLE:Da 11:35]][[ ℘ &gt;&gt; BibleTOBIBLE:Re 13:13]]</w:t>
      </w:r>
      <w:r>
        <w:rPr/>
        <w:t xml:space="preserve"> {{field-off:bible}} </w:t>
        <w:br/>
        <w:t>[[@BibleTOBIBLE:Mk 13:23]]</w:t>
      </w:r>
      <w:r>
        <w:rPr>
          <w:b/>
        </w:rPr>
        <w:t>23</w:t>
      </w:r>
      <w:r>
        <w:rPr/>
        <w:t xml:space="preserve"> {{field-on:bible}} </w:t>
      </w:r>
      <w:r>
        <w:rPr>
          <w:strike/>
          <w:color w:val="808080"/>
        </w:rPr>
        <w:t>{Ihr aber}</w:t>
      </w:r>
      <w:r>
        <w:rPr/>
        <w:t xml:space="preserve"> </w:t>
      </w:r>
      <w:r>
        <w:rPr>
          <w:color w:val="808080"/>
        </w:rPr>
        <w:t>(Ihr dagegen)</w:t>
      </w:r>
      <w:r>
        <w:rPr/>
        <w:t xml:space="preserve"> </w:t>
      </w:r>
      <w:r>
        <w:rPr>
          <w:rStyle w:val="Funotenanker"/>
        </w:rPr>
        <w:footnoteReference w:customMarkFollows="1" w:id="2028"/>
        <w:t>az</w:t>
      </w:r>
      <w:r>
        <w:rPr/>
        <w:t xml:space="preserve"> seid achtsam! Ich habe euch alles vorausgesagt.</w:t>
      </w:r>
      <w:r>
        <w:rPr>
          <w:rStyle w:val="Funotenanker"/>
        </w:rPr>
        <w:footnoteReference w:customMarkFollows="1" w:id="2029"/>
        <w:t>ba</w:t>
      </w:r>
      <w:r>
        <w:rPr/>
        <w:t xml:space="preserve"> {{field-off:bible}} </w:t>
        <w:br/>
        <w:t>[[@BibleTOBIBLE:Mk 13:24]]</w:t>
      </w:r>
      <w:r>
        <w:rPr>
          <w:b/>
        </w:rPr>
        <w:t>24</w:t>
      </w:r>
      <w:r>
        <w:rPr/>
        <w:t xml:space="preserve"> {{field-on:bible}} </w:t>
      </w:r>
      <w:r>
        <w:rPr>
          <w:strike/>
          <w:color w:val="808080"/>
        </w:rPr>
        <w:t>{Aber}</w:t>
      </w:r>
      <w:r>
        <w:rPr/>
        <w:t xml:space="preserve"> in jenen Tagen, nach jener Bedrängnis, wird die Sonne verdunkelt werden </w:t>
      </w:r>
      <w:r>
        <w:rPr>
          <w:color w:val="808080"/>
        </w:rPr>
        <w:t>(sich verfinstern)</w:t>
      </w:r>
      <w:r>
        <w:rPr/>
        <w:t xml:space="preserve">, </w:t>
      </w:r>
      <w:r>
        <w:rPr>
          <w:strike/>
          <w:color w:val="808080"/>
        </w:rPr>
        <w:t>{und}</w:t>
      </w:r>
      <w:r>
        <w:rPr/>
        <w:t xml:space="preserve"> der Mond wird seinen Schein nicht geben,</w:t>
      </w:r>
      <w:r>
        <w:rPr>
          <w:position w:val="8"/>
          <w:sz w:val="19"/>
        </w:rPr>
        <w:t>[[ ℘ &gt;&gt; BibleTOBIBLE:Is 13:10]][[ ℘ &gt;&gt; BibleTOBIBLE:Is 24:23]][[ ℘ &gt;&gt; BibleTOBIBLE:Is 34:4]][[ ℘ &gt;&gt; BibleTOBIBLE:Eze 32:7]][[ ℘ &gt;&gt; BibleTOBIBLE:Joe 2:2]][[ ℘ &gt;&gt; BibleTOBIBLE:Joe 2:10]][[ ℘ &gt;&gt; BibleTOBIBLE:Joe 3:4]][[ ℘ &gt;&gt; BibleTOBIBLE:Joe 4:15]][[ ℘ &gt;&gt; BibleTOBIBLE:Am 8:9]]</w:t>
      </w:r>
      <w:r>
        <w:rPr/>
        <w:t xml:space="preserve"> {{field-off:bible}} </w:t>
        <w:br/>
        <w:t>[[@BibleTOBIBLE:Mk 13:25]]</w:t>
      </w:r>
      <w:r>
        <w:rPr>
          <w:b/>
        </w:rPr>
        <w:t>25</w:t>
      </w:r>
      <w:r>
        <w:rPr/>
        <w:t xml:space="preserve"> {{field-on:bible}} </w:t>
      </w:r>
      <w:r>
        <w:rPr>
          <w:strike/>
          <w:color w:val="808080"/>
        </w:rPr>
        <w:t>{und}</w:t>
      </w:r>
      <w:r>
        <w:rPr/>
        <w:t xml:space="preserve"> die Stern werden vom Himmel fallen und die Kräfte</w:t>
      </w:r>
      <w:r>
        <w:rPr>
          <w:rStyle w:val="Funotenanker"/>
        </w:rPr>
        <w:footnoteReference w:customMarkFollows="1" w:id="2030"/>
        <w:t>bb</w:t>
      </w:r>
      <w:r>
        <w:rPr/>
        <w:t xml:space="preserve"> in den Himmeln </w:t>
      </w:r>
      <w:r>
        <w:rPr>
          <w:color w:val="808080"/>
        </w:rPr>
        <w:t>(am Himmel)</w:t>
      </w:r>
      <w:r>
        <w:rPr/>
        <w:t xml:space="preserve"> werden erschüttert werden.</w:t>
      </w:r>
      <w:r>
        <w:rPr>
          <w:position w:val="8"/>
          <w:sz w:val="19"/>
        </w:rPr>
        <w:t>[[ ℘ &gt;&gt; BibleTOBIBLE:Is 34:4]][[ ℘ &gt;&gt; BibleTOBIBLE:Joe 2:2]][[ ℘ &gt;&gt; BibleTOBIBLE:Re 6:13]]</w:t>
      </w:r>
      <w:r>
        <w:rPr/>
        <w:t xml:space="preserve"> {{field-off:bible}} </w:t>
        <w:br/>
        <w:t>[[@BibleTOBIBLE:Mk 13:26]]</w:t>
      </w:r>
      <w:r>
        <w:rPr>
          <w:b/>
        </w:rPr>
        <w:t>26</w:t>
      </w:r>
      <w:r>
        <w:rPr/>
        <w:t xml:space="preserve"> {{field-on:bible}}Und dann wird erscheinen </w:t>
      </w:r>
      <w:r>
        <w:rPr>
          <w:color w:val="808080"/>
        </w:rPr>
        <w:t>(wird man sehen, werden sie sehen)</w:t>
      </w:r>
      <w:r>
        <w:rPr/>
        <w:t xml:space="preserve"> </w:t>
      </w:r>
      <w:r>
        <w:rPr>
          <w:rStyle w:val="Funotenanker"/>
        </w:rPr>
        <w:footnoteReference w:customMarkFollows="1" w:id="2031"/>
        <w:t>bc</w:t>
      </w:r>
      <w:r>
        <w:rPr/>
        <w:t xml:space="preserve"> den in den Wolken kommenden Menschensohn</w:t>
      </w:r>
      <w:r>
        <w:rPr>
          <w:rStyle w:val="Funotenanker"/>
        </w:rPr>
        <w:footnoteReference w:customMarkFollows="1" w:id="2032"/>
        <w:t>bd</w:t>
      </w:r>
      <w:r>
        <w:rPr/>
        <w:t>, mit großer Macht</w:t>
      </w:r>
      <w:r>
        <w:rPr>
          <w:rStyle w:val="Funotenanker"/>
        </w:rPr>
        <w:footnoteReference w:customMarkFollows="1" w:id="2033"/>
        <w:t>be</w:t>
      </w:r>
      <w:r>
        <w:rPr/>
        <w:t xml:space="preserve"> und Herrlichkeit</w:t>
      </w:r>
      <w:r>
        <w:rPr>
          <w:rStyle w:val="Funotenanker"/>
        </w:rPr>
        <w:footnoteReference w:customMarkFollows="1" w:id="2034"/>
        <w:t>bf</w:t>
      </w:r>
      <w:r>
        <w:rPr/>
        <w:t>.</w:t>
      </w:r>
      <w:r>
        <w:rPr>
          <w:position w:val="8"/>
          <w:sz w:val="19"/>
        </w:rPr>
        <w:t>[[ ℘ &gt;&gt; BibleTOBIBLE:Da 7:13]][[ ℘ &gt;&gt; BibleTOBIBLE:Mt 16:27]]</w:t>
      </w:r>
      <w:r>
        <w:rPr/>
        <w:t xml:space="preserve"> {{field-off:bible}} </w:t>
        <w:br/>
        <w:t>[[@BibleTOBIBLE:Mk 13:27]]</w:t>
      </w:r>
      <w:r>
        <w:rPr>
          <w:b/>
        </w:rPr>
        <w:t>27</w:t>
      </w:r>
      <w:r>
        <w:rPr/>
        <w:t xml:space="preserve"> {{field-on:bible}}Und dann wird er die Engel aussenden und die Auserwählten aus den vier Himmelsrichtungen </w:t>
      </w:r>
      <w:r>
        <w:rPr>
          <w:color w:val="808080"/>
        </w:rPr>
        <w:t>(Winden)</w:t>
      </w:r>
      <w:r>
        <w:rPr/>
        <w:t xml:space="preserve"> </w:t>
      </w:r>
      <w:r>
        <w:rPr>
          <w:rStyle w:val="Funotenanker"/>
        </w:rPr>
        <w:footnoteReference w:customMarkFollows="1" w:id="2035"/>
        <w:t>bg</w:t>
      </w:r>
      <w:r>
        <w:rPr/>
        <w:t xml:space="preserve"> vom Ende der Erde bis zum Ende des Himmels</w:t>
      </w:r>
      <w:r>
        <w:rPr>
          <w:rStyle w:val="Funotenanker"/>
        </w:rPr>
        <w:footnoteReference w:customMarkFollows="1" w:id="2036"/>
        <w:t>bh</w:t>
      </w:r>
      <w:r>
        <w:rPr/>
        <w:t xml:space="preserve"> sammeln.</w:t>
      </w:r>
      <w:r>
        <w:rPr>
          <w:position w:val="8"/>
          <w:sz w:val="19"/>
        </w:rPr>
        <w:t>[[ ℘ &gt;&gt; BibleTOBIBLE:Dt 30:3]][[ ℘ &gt;&gt; BibleTOBIBLE:Je 32:37]][[ ℘ &gt;&gt; BibleTOBIBLE:Eze 34:13]][[ ℘ &gt;&gt; BibleTOBIBLE:Eze 36:24]]</w:t>
      </w:r>
      <w:r>
        <w:rPr/>
        <w:t xml:space="preserve"> {{field-off:bible}} </w:t>
        <w:br/>
        <w:t>[[@BibleTOBIBLE:Mk 13:28]]</w:t>
      </w:r>
      <w:r>
        <w:rPr>
          <w:b/>
        </w:rPr>
        <w:t>28</w:t>
      </w:r>
      <w:r>
        <w:rPr/>
        <w:t xml:space="preserve"> {{field-on:bible}}Über</w:t>
      </w:r>
      <w:r>
        <w:rPr>
          <w:rStyle w:val="Funotenanker"/>
        </w:rPr>
        <w:footnoteReference w:customMarkFollows="1" w:id="2037"/>
        <w:t>bi</w:t>
      </w:r>
      <w:r>
        <w:rPr/>
        <w:t xml:space="preserve"> den Feigenbaum </w:t>
      </w:r>
      <w:r>
        <w:rPr>
          <w:strike/>
          <w:color w:val="808080"/>
        </w:rPr>
        <w:t>{aber}</w:t>
      </w:r>
      <w:r>
        <w:rPr/>
        <w:t xml:space="preserve"> lernt </w:t>
      </w:r>
      <w:r>
        <w:rPr>
          <w:color w:val="808080"/>
        </w:rPr>
        <w:t>(erfahrt)</w:t>
      </w:r>
      <w:r>
        <w:rPr/>
        <w:t xml:space="preserve"> ein Gleichnis: Sobald</w:t>
      </w:r>
      <w:r>
        <w:rPr>
          <w:rStyle w:val="Funotenanker"/>
        </w:rPr>
        <w:footnoteReference w:customMarkFollows="1" w:id="2038"/>
        <w:t>bj</w:t>
      </w:r>
      <w:r>
        <w:rPr/>
        <w:t xml:space="preserve"> seine Zweige</w:t>
      </w:r>
      <w:r>
        <w:rPr>
          <w:rStyle w:val="Funotenanker"/>
        </w:rPr>
        <w:footnoteReference w:customMarkFollows="1" w:id="2039"/>
        <w:t>bk</w:t>
      </w:r>
      <w:r>
        <w:rPr/>
        <w:t xml:space="preserve"> weich werden </w:t>
      </w:r>
      <w:r>
        <w:rPr>
          <w:rStyle w:val="Funotenanker"/>
        </w:rPr>
        <w:footnoteReference w:customMarkFollows="1" w:id="2040"/>
        <w:t>bl</w:t>
      </w:r>
      <w:r>
        <w:rPr/>
        <w:t xml:space="preserve"> und Blätter treiben, wisst ihr, dass der Sommer nahe </w:t>
      </w:r>
      <w:r>
        <w:rPr>
          <w:b/>
          <w:color w:val="808080"/>
        </w:rPr>
        <w:t>[</w:t>
      </w:r>
      <w:r>
        <w:rPr/>
        <w:t>ist</w:t>
      </w:r>
      <w:r>
        <w:rPr>
          <w:b/>
          <w:color w:val="808080"/>
        </w:rPr>
        <w:t>]</w:t>
      </w:r>
      <w:r>
        <w:rPr/>
        <w:t xml:space="preserve">.{{field-off:bible}} </w:t>
        <w:br/>
        <w:t>[[@BibleTOBIBLE:Mk 13:29]]</w:t>
      </w:r>
      <w:r>
        <w:rPr>
          <w:b/>
        </w:rPr>
        <w:t>29</w:t>
      </w:r>
      <w:r>
        <w:rPr/>
        <w:t xml:space="preserve"> {{field-on:bible}}So auch ihr:</w:t>
      </w:r>
      <w:r>
        <w:rPr>
          <w:rStyle w:val="Funotenanker"/>
        </w:rPr>
        <w:footnoteReference w:customMarkFollows="1" w:id="2041"/>
        <w:t>bm</w:t>
      </w:r>
      <w:r>
        <w:rPr/>
        <w:t xml:space="preserve"> wenn ihr dies geschehen seht, erkennt, dass er </w:t>
      </w:r>
      <w:r>
        <w:rPr>
          <w:color w:val="808080"/>
        </w:rPr>
        <w:t>(es)</w:t>
      </w:r>
      <w:r>
        <w:rPr/>
        <w:t xml:space="preserve"> nahe vor den Toren </w:t>
      </w:r>
      <w:r>
        <w:rPr>
          <w:color w:val="808080"/>
        </w:rPr>
        <w:t>(vor der Tür)</w:t>
      </w:r>
      <w:r>
        <w:rPr/>
        <w:t xml:space="preserve"> </w:t>
      </w:r>
      <w:r>
        <w:rPr>
          <w:rStyle w:val="Funotenanker"/>
        </w:rPr>
        <w:footnoteReference w:customMarkFollows="1" w:id="2042"/>
        <w:t>bn</w:t>
      </w:r>
      <w:r>
        <w:rPr/>
        <w:t xml:space="preserve"> ist!</w:t>
      </w:r>
      <w:r>
        <w:rPr>
          <w:position w:val="8"/>
          <w:sz w:val="19"/>
        </w:rPr>
        <w:t>[[ ℘ &gt;&gt; BibleTOBIBLE:Phm 4:5]][[ ℘ &gt;&gt; BibleTOBIBLE:Re 3:20]]</w:t>
      </w:r>
      <w:r>
        <w:rPr/>
        <w:t xml:space="preserve"> {{field-off:bible}} </w:t>
        <w:br/>
        <w:t>[[@BibleTOBIBLE:Mk 13:30]]</w:t>
      </w:r>
      <w:r>
        <w:rPr>
          <w:b/>
        </w:rPr>
        <w:t>30</w:t>
      </w:r>
      <w:r>
        <w:rPr/>
        <w:t xml:space="preserve"> {{field-on:bible}}Amen</w:t>
      </w:r>
      <w:r>
        <w:rPr>
          <w:rStyle w:val="Funotenanker"/>
        </w:rPr>
        <w:footnoteReference w:customMarkFollows="1" w:id="2043"/>
        <w:t>bo</w:t>
      </w:r>
      <w:r>
        <w:rPr/>
        <w:t xml:space="preserve">, ich sage euch: Nicht </w:t>
      </w:r>
      <w:r>
        <w:rPr>
          <w:color w:val="808080"/>
        </w:rPr>
        <w:t>(Keinesfalls)</w:t>
      </w:r>
      <w:r>
        <w:rPr/>
        <w:t xml:space="preserve"> wird diese Generation </w:t>
      </w:r>
      <w:r>
        <w:rPr>
          <w:color w:val="808080"/>
        </w:rPr>
        <w:t>(Geschlecht)</w:t>
      </w:r>
      <w:r>
        <w:rPr/>
        <w:t xml:space="preserve"> vergehen, bis dies alles</w:t>
      </w:r>
      <w:r>
        <w:rPr>
          <w:rStyle w:val="Funotenanker"/>
        </w:rPr>
        <w:footnoteReference w:customMarkFollows="1" w:id="2044"/>
        <w:t>bp</w:t>
      </w:r>
      <w:r>
        <w:rPr/>
        <w:t xml:space="preserve"> geschehen sein wird.{{field-off:bible}} </w:t>
        <w:br/>
        <w:t>[[@BibleTOBIBLE:Mk 13:31]]</w:t>
      </w:r>
      <w:r>
        <w:rPr>
          <w:b/>
        </w:rPr>
        <w:t>31</w:t>
      </w:r>
      <w:r>
        <w:rPr/>
        <w:t xml:space="preserve"> {{field-on:bible}}Der Himmel und die Erde werden vergehen, meine Worte aber werden nicht vergehen.</w:t>
      </w:r>
      <w:r>
        <w:rPr>
          <w:rStyle w:val="Funotenanker"/>
        </w:rPr>
        <w:footnoteReference w:customMarkFollows="1" w:id="2045"/>
        <w:t>bq</w:t>
      </w:r>
      <w:r>
        <w:rPr/>
        <w:t xml:space="preserve"> </w:t>
      </w:r>
      <w:r>
        <w:rPr>
          <w:position w:val="8"/>
          <w:sz w:val="19"/>
        </w:rPr>
        <w:t>[[ ℘ &gt;&gt; BibleTOBIBLE:Ps 89:37]][[ ℘ &gt;&gt; BibleTOBIBLE:Is 40:8]][[ ℘ &gt;&gt; BibleTOBIBLE:Is 51:6]][[ ℘ &gt;&gt; BibleTOBIBLE:Is 54:10]][[ ℘ &gt;&gt; BibleTOBIBLE:Mt 5:18]][[ ℘ &gt;&gt; BibleTOBIBLE:1Pe 1:24]]</w:t>
      </w:r>
      <w:r>
        <w:rPr/>
        <w:t xml:space="preserve"> {{field-off:bible}} </w:t>
        <w:br/>
        <w:t>[[@BibleTOBIBLE:Mk 13:32]]</w:t>
      </w:r>
      <w:r>
        <w:rPr>
          <w:b/>
        </w:rPr>
        <w:t>32</w:t>
      </w:r>
      <w:r>
        <w:rPr/>
        <w:t xml:space="preserve"> {{field-on:bible}}Von dem Tag und der Stunde weiß niemand,</w:t>
      </w:r>
      <w:r>
        <w:rPr>
          <w:rStyle w:val="Funotenanker"/>
        </w:rPr>
        <w:footnoteReference w:customMarkFollows="1" w:id="2046"/>
        <w:t>br</w:t>
      </w:r>
      <w:r>
        <w:rPr/>
        <w:t xml:space="preserve"> weder die Engel </w:t>
      </w:r>
      <w:r>
        <w:rPr>
          <w:color w:val="808080"/>
        </w:rPr>
        <w:t>(Boten)</w:t>
      </w:r>
      <w:r>
        <w:rPr/>
        <w:t xml:space="preserve"> </w:t>
      </w:r>
      <w:r>
        <w:rPr>
          <w:rStyle w:val="Funotenanker"/>
        </w:rPr>
        <w:footnoteReference w:customMarkFollows="1" w:id="2047"/>
        <w:t>bs</w:t>
      </w:r>
      <w:r>
        <w:rPr/>
        <w:t xml:space="preserve"> im Himmel, noch der Sohn, allein der Vater.{{field-off:bible}} </w:t>
        <w:br/>
        <w:t>[[@BibleTOBIBLE:Mk 13:33]]</w:t>
      </w:r>
      <w:r>
        <w:rPr>
          <w:b/>
        </w:rPr>
        <w:t>33</w:t>
      </w:r>
      <w:r>
        <w:rPr/>
        <w:t xml:space="preserve"> {{field-on:bible}}Seid achtsam! Seid wachsam! - denn ihr wisst nicht, wann der Zeitpunkt </w:t>
      </w:r>
      <w:r>
        <w:rPr>
          <w:color w:val="808080"/>
        </w:rPr>
        <w:t>(da)</w:t>
      </w:r>
      <w:r>
        <w:rPr/>
        <w:t xml:space="preserve"> ist.</w:t>
      </w:r>
      <w:r>
        <w:rPr>
          <w:position w:val="8"/>
          <w:sz w:val="19"/>
        </w:rPr>
        <w:t>[[ ℘ &gt;&gt; BibleTOBIBLE:Mt 24:42]][[ ℘ &gt;&gt; BibleTOBIBLE:Lk 12:40]]</w:t>
      </w:r>
      <w:r>
        <w:rPr/>
        <w:t xml:space="preserve"> {{field-off:bible}} </w:t>
        <w:br/>
        <w:t>[[@BibleTOBIBLE:Mk 13:34]]</w:t>
      </w:r>
      <w:r>
        <w:rPr>
          <w:b/>
        </w:rPr>
        <w:t>34</w:t>
      </w:r>
      <w:r>
        <w:rPr/>
        <w:t xml:space="preserve"> {{field-on:bible}} </w:t>
      </w:r>
      <w:r>
        <w:rPr>
          <w:b/>
          <w:color w:val="808080"/>
        </w:rPr>
        <w:t>[</w:t>
      </w:r>
      <w:r>
        <w:rPr/>
        <w:t>Es ist</w:t>
      </w:r>
      <w:r>
        <w:rPr>
          <w:b/>
          <w:color w:val="808080"/>
        </w:rPr>
        <w:t>]</w:t>
      </w:r>
      <w:r>
        <w:rPr/>
        <w:t xml:space="preserve"> </w:t>
      </w:r>
      <w:r>
        <w:rPr>
          <w:rStyle w:val="Funotenanker"/>
        </w:rPr>
        <w:footnoteReference w:customMarkFollows="1" w:id="2048"/>
        <w:t>bt</w:t>
      </w:r>
      <w:r>
        <w:rPr/>
        <w:t xml:space="preserve"> wie bei einem Mensch auf Reisen, der, als er das Haus verließ und seinen Knechten die Vollmacht gab </w:t>
      </w:r>
      <w:r>
        <w:rPr>
          <w:color w:val="808080"/>
        </w:rPr>
        <w:t>(ihre Verantwortungen übertrug)</w:t>
      </w:r>
      <w:r>
        <w:rPr/>
        <w:t xml:space="preserve"> </w:t>
      </w:r>
      <w:r>
        <w:rPr>
          <w:rStyle w:val="Funotenanker"/>
        </w:rPr>
        <w:footnoteReference w:customMarkFollows="1" w:id="2049"/>
        <w:t>bu</w:t>
      </w:r>
      <w:r>
        <w:rPr/>
        <w:t xml:space="preserve"> </w:t>
      </w:r>
      <w:r>
        <w:rPr>
          <w:rStyle w:val="Funotenanker"/>
        </w:rPr>
        <w:footnoteReference w:customMarkFollows="1" w:id="2050"/>
        <w:t>bv</w:t>
      </w:r>
      <w:r>
        <w:rPr/>
        <w:t xml:space="preserve"> - jedem seine </w:t>
      </w:r>
      <w:r>
        <w:rPr>
          <w:b/>
          <w:color w:val="808080"/>
        </w:rPr>
        <w:t>[</w:t>
      </w:r>
      <w:r>
        <w:rPr/>
        <w:t>eigene</w:t>
      </w:r>
      <w:r>
        <w:rPr>
          <w:b/>
          <w:color w:val="808080"/>
        </w:rPr>
        <w:t>]</w:t>
      </w:r>
      <w:r>
        <w:rPr/>
        <w:t xml:space="preserve"> Aufgabe - </w:t>
      </w:r>
      <w:r>
        <w:rPr>
          <w:strike/>
          <w:color w:val="808080"/>
        </w:rPr>
        <w:t>{dabei}</w:t>
      </w:r>
      <w:r>
        <w:rPr/>
        <w:t xml:space="preserve"> </w:t>
      </w:r>
      <w:r>
        <w:rPr>
          <w:rStyle w:val="Funotenanker"/>
        </w:rPr>
        <w:footnoteReference w:customMarkFollows="1" w:id="2051"/>
        <w:t>bw</w:t>
      </w:r>
      <w:r>
        <w:rPr/>
        <w:t xml:space="preserve"> dem Torhüter gebot, dass er wachsam sei </w:t>
      </w:r>
      <w:r>
        <w:rPr>
          <w:color w:val="808080"/>
        </w:rPr>
        <w:t>(Wache halte)</w:t>
      </w:r>
      <w:r>
        <w:rPr/>
        <w:t>.</w:t>
      </w:r>
      <w:r>
        <w:rPr>
          <w:rStyle w:val="Funotenanker"/>
        </w:rPr>
        <w:footnoteReference w:customMarkFollows="1" w:id="2052"/>
        <w:t>bx</w:t>
      </w:r>
      <w:r>
        <w:rPr/>
        <w:t xml:space="preserve"> {{field-off:bible}} </w:t>
        <w:br/>
        <w:t>[[@BibleTOBIBLE:Mk 13:35]]</w:t>
      </w:r>
      <w:r>
        <w:rPr>
          <w:b/>
        </w:rPr>
        <w:t>35</w:t>
      </w:r>
      <w:r>
        <w:rPr/>
        <w:t xml:space="preserve"> {{field-on:bible}}Seid also wachsam, denn ihr wisst nicht, wann der Herr des Hauses kommt</w:t>
      </w:r>
      <w:r>
        <w:rPr>
          <w:rStyle w:val="Funotenanker"/>
        </w:rPr>
        <w:footnoteReference w:customMarkFollows="1" w:id="2053"/>
        <w:t>by</w:t>
      </w:r>
      <w:r>
        <w:rPr/>
        <w:t xml:space="preserve"> - ob am Abend, zur Mitternacht, zum Hahnenschrei oder im Morgengrauen</w:t>
      </w:r>
      <w:r>
        <w:rPr>
          <w:rStyle w:val="Funotenanker"/>
        </w:rPr>
        <w:footnoteReference w:customMarkFollows="1" w:id="2054"/>
        <w:t>bz</w:t>
      </w:r>
      <w:r>
        <w:rPr/>
        <w:t xml:space="preserve"> -</w:t>
      </w:r>
      <w:r>
        <w:rPr>
          <w:position w:val="8"/>
          <w:sz w:val="19"/>
        </w:rPr>
        <w:t>[[ ℘ &gt;&gt; BibleTOBIBLE:Lk 12:38]]</w:t>
      </w:r>
      <w:r>
        <w:rPr/>
        <w:t xml:space="preserve"> {{field-off:bible}} </w:t>
        <w:br/>
        <w:t>[[@BibleTOBIBLE:Mk 13:36]]</w:t>
      </w:r>
      <w:r>
        <w:rPr>
          <w:b/>
        </w:rPr>
        <w:t>36</w:t>
      </w:r>
      <w:r>
        <w:rPr/>
        <w:t xml:space="preserve"> {{field-on:bible}}damit er, wenn er plötzlich kommt, euch nicht schlafend vorfindet.</w:t>
      </w:r>
      <w:r>
        <w:rPr>
          <w:position w:val="8"/>
          <w:sz w:val="19"/>
        </w:rPr>
        <w:t>[[ ℘ &gt;&gt; BibleTOBIBLE:Mt 25:5]]</w:t>
      </w:r>
      <w:r>
        <w:rPr/>
        <w:t xml:space="preserve"> {{field-off:bible}} </w:t>
        <w:br/>
        <w:t>[[@BibleTOBIBLE:Mk 13:37]]</w:t>
      </w:r>
      <w:r>
        <w:rPr>
          <w:b/>
        </w:rPr>
        <w:t>37</w:t>
      </w:r>
      <w:r>
        <w:rPr/>
        <w:t xml:space="preserve"> {{field-on:bible}}Was ich </w:t>
      </w:r>
      <w:r>
        <w:rPr>
          <w:strike/>
          <w:color w:val="808080"/>
        </w:rPr>
        <w:t>{aber}</w:t>
      </w:r>
      <w:r>
        <w:rPr/>
        <w:t xml:space="preserve"> euch sage, sage ich</w:t>
      </w:r>
      <w:r>
        <w:rPr>
          <w:rStyle w:val="Funotenanker"/>
        </w:rPr>
        <w:footnoteReference w:customMarkFollows="1" w:id="2055"/>
        <w:t>ca</w:t>
      </w:r>
      <w:r>
        <w:rPr/>
        <w:t xml:space="preserve"> allen: Seid wachsam!</w:t>
      </w:r>
      <w:r>
        <w:rPr>
          <w:position w:val="8"/>
          <w:sz w:val="19"/>
        </w:rPr>
        <w:t>[[ ℘ &gt;&gt; BibleTOBIBLE:Ac 20:31]][[ ℘ &gt;&gt; BibleTOBIBLE:1Co 16:13]][[ ℘ &gt;&gt; BibleTOBIBLE:1Pe 5:8]]</w:t>
      </w:r>
      <w:r>
        <w:rPr/>
        <w:t xml:space="preserve">“{{field-off:bible}} </w:t>
      </w:r>
    </w:p>
    <w:p>
      <w:pPr>
        <w:pStyle w:val="Berschrift3"/>
        <w:rPr/>
      </w:pPr>
      <w:r>
        <w:rPr/>
        <w:t>[[@BibleTOBIBLE:Mk 16]]Kapitel 16</w:t>
      </w:r>
    </w:p>
    <w:p>
      <w:pPr>
        <w:pStyle w:val="Textkrper"/>
        <w:rPr/>
      </w:pPr>
      <w:r>
        <w:rPr/>
        <w:br/>
        <w:t>[[@BibleTOBIBLE:Mk 16:1]]</w:t>
      </w:r>
      <w:r>
        <w:rPr>
          <w:b/>
        </w:rPr>
        <w:t>1</w:t>
      </w:r>
      <w:r>
        <w:rPr/>
        <w:t xml:space="preserve"> {{field-on:bible}} </w:t>
      </w:r>
      <w:r>
        <w:rPr>
          <w:rStyle w:val="Funotenanker"/>
        </w:rPr>
        <w:footnoteReference w:customMarkFollows="1" w:id="2056"/>
        <w:t>Status</w:t>
      </w:r>
      <w:r>
        <w:rPr/>
        <w:t xml:space="preserve"> Und als der Sabbat vorüber war</w:t>
      </w:r>
      <w:r>
        <w:rPr>
          <w:rStyle w:val="Funotenanker"/>
        </w:rPr>
        <w:footnoteReference w:customMarkFollows="1" w:id="2057"/>
        <w:t>a</w:t>
      </w:r>
      <w:r>
        <w:rPr/>
        <w:t xml:space="preserve">, kauften Maria </w:t>
      </w:r>
      <w:r>
        <w:rPr>
          <w:b/>
          <w:color w:val="808080"/>
        </w:rPr>
        <w:t>[</w:t>
      </w:r>
      <w:r>
        <w:rPr/>
        <w:t>von, aus</w:t>
      </w:r>
      <w:r>
        <w:rPr>
          <w:b/>
          <w:color w:val="808080"/>
        </w:rPr>
        <w:t>]</w:t>
      </w:r>
      <w:r>
        <w:rPr/>
        <w:t xml:space="preserve"> Magdala und Maria, </w:t>
      </w:r>
      <w:r>
        <w:rPr>
          <w:b/>
          <w:color w:val="808080"/>
        </w:rPr>
        <w:t>[</w:t>
      </w:r>
      <w:r>
        <w:rPr/>
        <w:t>die Mutter</w:t>
      </w:r>
      <w:r>
        <w:rPr>
          <w:b/>
          <w:color w:val="808080"/>
        </w:rPr>
        <w:t>]</w:t>
      </w:r>
      <w:r>
        <w:rPr/>
        <w:t xml:space="preserve"> des Jakobus</w:t>
      </w:r>
      <w:r>
        <w:rPr>
          <w:rStyle w:val="Funotenanker"/>
        </w:rPr>
        <w:footnoteReference w:customMarkFollows="1" w:id="2058"/>
        <w:t>b</w:t>
      </w:r>
      <w:r>
        <w:rPr/>
        <w:t xml:space="preserve"> und Salome Spezereien </w:t>
      </w:r>
      <w:r>
        <w:rPr>
          <w:color w:val="808080"/>
        </w:rPr>
        <w:t>(wohlriechende Kräuter, Gewürze)</w:t>
      </w:r>
      <w:r>
        <w:rPr/>
        <w:t xml:space="preserve"> </w:t>
      </w:r>
      <w:r>
        <w:rPr>
          <w:rStyle w:val="Funotenanker"/>
        </w:rPr>
        <w:footnoteReference w:customMarkFollows="1" w:id="2059"/>
        <w:t>c</w:t>
      </w:r>
      <w:r>
        <w:rPr/>
        <w:t xml:space="preserve">, um </w:t>
      </w:r>
      <w:r>
        <w:rPr>
          <w:b/>
          <w:color w:val="808080"/>
        </w:rPr>
        <w:t>[</w:t>
      </w:r>
      <w:r>
        <w:rPr/>
        <w:t>zum Grab</w:t>
      </w:r>
      <w:r>
        <w:rPr>
          <w:b/>
          <w:color w:val="808080"/>
        </w:rPr>
        <w:t>]</w:t>
      </w:r>
      <w:r>
        <w:rPr/>
        <w:t xml:space="preserve"> zu gehen </w:t>
      </w:r>
      <w:r>
        <w:rPr>
          <w:b/>
          <w:color w:val="808080"/>
        </w:rPr>
        <w:t>[</w:t>
      </w:r>
      <w:r>
        <w:rPr/>
        <w:t>und</w:t>
      </w:r>
      <w:r>
        <w:rPr>
          <w:b/>
          <w:color w:val="808080"/>
        </w:rPr>
        <w:t>]</w:t>
      </w:r>
      <w:r>
        <w:rPr/>
        <w:t xml:space="preserve"> ihn zu salben.{{field-off:bible}} </w:t>
        <w:br/>
        <w:t>[[@BibleTOBIBLE:Mk 16:2]]</w:t>
      </w:r>
      <w:r>
        <w:rPr>
          <w:b/>
        </w:rPr>
        <w:t>2</w:t>
      </w:r>
      <w:r>
        <w:rPr/>
        <w:t xml:space="preserve"> {{field-on:bible}}Und sehr </w:t>
      </w:r>
      <w:r>
        <w:rPr>
          <w:color w:val="808080"/>
        </w:rPr>
        <w:t>(ganz)</w:t>
      </w:r>
      <w:r>
        <w:rPr/>
        <w:t xml:space="preserve"> früh am ersten </w:t>
      </w:r>
      <w:r>
        <w:rPr>
          <w:b/>
          <w:color w:val="808080"/>
        </w:rPr>
        <w:t>[</w:t>
      </w:r>
      <w:r>
        <w:rPr/>
        <w:t>Tag</w:t>
      </w:r>
      <w:r>
        <w:rPr>
          <w:b/>
          <w:color w:val="808080"/>
        </w:rPr>
        <w:t>]</w:t>
      </w:r>
      <w:r>
        <w:rPr/>
        <w:t xml:space="preserve"> der Woche </w:t>
      </w:r>
      <w:r>
        <w:rPr>
          <w:color w:val="808080"/>
        </w:rPr>
        <w:t>(am Sonntag)</w:t>
      </w:r>
      <w:r>
        <w:rPr/>
        <w:t xml:space="preserve"> </w:t>
      </w:r>
      <w:r>
        <w:rPr>
          <w:rStyle w:val="Funotenanker"/>
        </w:rPr>
        <w:footnoteReference w:customMarkFollows="1" w:id="2060"/>
        <w:t>d</w:t>
      </w:r>
      <w:r>
        <w:rPr/>
        <w:t xml:space="preserve"> gingen sie zum Grab, während </w:t>
      </w:r>
      <w:r>
        <w:rPr>
          <w:color w:val="808080"/>
        </w:rPr>
        <w:t>(als)</w:t>
      </w:r>
      <w:r>
        <w:rPr/>
        <w:t xml:space="preserve"> die Sonne aufging</w:t>
      </w:r>
      <w:r>
        <w:rPr>
          <w:rStyle w:val="Funotenanker"/>
        </w:rPr>
        <w:footnoteReference w:customMarkFollows="1" w:id="2061"/>
        <w:t>e</w:t>
      </w:r>
      <w:r>
        <w:rPr/>
        <w:t xml:space="preserve">.{{field-off:bible}} </w:t>
        <w:br/>
        <w:t>[[@BibleTOBIBLE:Mk 16:3]]</w:t>
      </w:r>
      <w:r>
        <w:rPr>
          <w:b/>
        </w:rPr>
        <w:t>3</w:t>
      </w:r>
      <w:r>
        <w:rPr/>
        <w:t xml:space="preserve"> {{field-on:bible}}Und sie sprachen zu einander: Wer wälzt </w:t>
      </w:r>
      <w:r>
        <w:rPr>
          <w:strike/>
          <w:color w:val="808080"/>
        </w:rPr>
        <w:t>{für}</w:t>
      </w:r>
      <w:r>
        <w:rPr/>
        <w:t xml:space="preserve"> uns den Stein aus der Tür des Grabes </w:t>
      </w:r>
      <w:r>
        <w:rPr>
          <w:color w:val="808080"/>
        </w:rPr>
        <w:t>(von der Tür des Grabes ab)</w:t>
      </w:r>
      <w:r>
        <w:rPr/>
        <w:t xml:space="preserve">?{{field-off:bible}} </w:t>
        <w:br/>
        <w:t>[[@BibleTOBIBLE:Mk 16:4]]</w:t>
      </w:r>
      <w:r>
        <w:rPr>
          <w:b/>
        </w:rPr>
        <w:t>4</w:t>
      </w:r>
      <w:r>
        <w:rPr/>
        <w:t xml:space="preserve"> {{field-on:bible}}Und als sie aufblickten</w:t>
      </w:r>
      <w:r>
        <w:rPr>
          <w:rStyle w:val="Funotenanker"/>
        </w:rPr>
        <w:footnoteReference w:customMarkFollows="1" w:id="2062"/>
        <w:t>f</w:t>
      </w:r>
      <w:r>
        <w:rPr/>
        <w:t xml:space="preserve">, nehmen sie wahr </w:t>
      </w:r>
      <w:r>
        <w:rPr>
          <w:color w:val="808080"/>
        </w:rPr>
        <w:t>(merken sie)</w:t>
      </w:r>
      <w:r>
        <w:rPr/>
        <w:t xml:space="preserve">, dass der Stein abgewälzt </w:t>
      </w:r>
      <w:r>
        <w:rPr>
          <w:color w:val="808080"/>
        </w:rPr>
        <w:t>(weggewälzt)</w:t>
      </w:r>
      <w:r>
        <w:rPr/>
        <w:t xml:space="preserve"> war; er war nämlich sehr groß.{{field-off:bible}} </w:t>
        <w:br/>
        <w:t>[[@BibleTOBIBLE:Mk 16:5]]</w:t>
      </w:r>
      <w:r>
        <w:rPr>
          <w:b/>
        </w:rPr>
        <w:t>5</w:t>
      </w:r>
      <w:r>
        <w:rPr/>
        <w:t xml:space="preserve"> {{field-on:bible}}Und nachdem sie hineingegangen waren</w:t>
      </w:r>
      <w:r>
        <w:rPr>
          <w:rStyle w:val="Funotenanker"/>
        </w:rPr>
        <w:footnoteReference w:customMarkFollows="1" w:id="2063"/>
        <w:t>g</w:t>
      </w:r>
      <w:r>
        <w:rPr/>
        <w:t xml:space="preserve"> in das Grab, sahen</w:t>
      </w:r>
      <w:r>
        <w:rPr>
          <w:rStyle w:val="Funotenanker"/>
        </w:rPr>
        <w:footnoteReference w:customMarkFollows="1" w:id="2064"/>
        <w:t>h</w:t>
      </w:r>
      <w:r>
        <w:rPr/>
        <w:t xml:space="preserve"> sie einen Jüngling zur Rechten </w:t>
      </w:r>
      <w:r>
        <w:rPr>
          <w:color w:val="808080"/>
        </w:rPr>
        <w:t>(auf der rechten Seite)</w:t>
      </w:r>
      <w:r>
        <w:rPr/>
        <w:t xml:space="preserve"> </w:t>
      </w:r>
      <w:r>
        <w:rPr>
          <w:rStyle w:val="Funotenanker"/>
        </w:rPr>
        <w:footnoteReference w:customMarkFollows="1" w:id="2065"/>
        <w:t>i</w:t>
      </w:r>
      <w:r>
        <w:rPr/>
        <w:t xml:space="preserve"> sitzen, der ein weißes Gewand an</w:t>
      </w:r>
      <w:r>
        <w:rPr>
          <w:color w:val="808080"/>
        </w:rPr>
        <w:t>(gezogen)</w:t>
      </w:r>
      <w:r>
        <w:rPr/>
        <w:t xml:space="preserve"> </w:t>
      </w:r>
      <w:r>
        <w:rPr>
          <w:rStyle w:val="Funotenanker"/>
        </w:rPr>
        <w:footnoteReference w:customMarkFollows="1" w:id="2066"/>
        <w:t>j</w:t>
      </w:r>
      <w:r>
        <w:rPr/>
        <w:t xml:space="preserve"> hatte, und sie entsetzten sich </w:t>
      </w:r>
      <w:r>
        <w:rPr>
          <w:color w:val="808080"/>
        </w:rPr>
        <w:t>(waren sehr erstaunt)</w:t>
      </w:r>
      <w:r>
        <w:rPr/>
        <w:t xml:space="preserve">.{{field-off:bible}} </w:t>
        <w:br/>
        <w:t>[[@BibleTOBIBLE:Mk 16:6]]</w:t>
      </w:r>
      <w:r>
        <w:rPr>
          <w:b/>
        </w:rPr>
        <w:t>6</w:t>
      </w:r>
      <w:r>
        <w:rPr/>
        <w:t xml:space="preserve"> {{field-on:bible}}Er aber spricht</w:t>
      </w:r>
      <w:r>
        <w:rPr>
          <w:rStyle w:val="Funotenanker"/>
        </w:rPr>
        <w:footnoteReference w:customMarkFollows="1" w:id="2067"/>
        <w:t>k</w:t>
      </w:r>
      <w:r>
        <w:rPr/>
        <w:t xml:space="preserve"> zu ihnen: Entsetzt euch nicht </w:t>
      </w:r>
      <w:r>
        <w:rPr>
          <w:color w:val="808080"/>
        </w:rPr>
        <w:t>(Seid nicht erstaunt)</w:t>
      </w:r>
      <w:r>
        <w:rPr/>
        <w:t xml:space="preserve">! Ihr sucht Jesus, den Nazarener, den Gekreuzigten. Er ist auferstanden </w:t>
      </w:r>
      <w:r>
        <w:rPr>
          <w:color w:val="808080"/>
        </w:rPr>
        <w:t>(er wurde auferweckt)</w:t>
      </w:r>
      <w:r>
        <w:rPr/>
        <w:t xml:space="preserve"> </w:t>
      </w:r>
      <w:r>
        <w:rPr>
          <w:rStyle w:val="Funotenanker"/>
        </w:rPr>
        <w:footnoteReference w:customMarkFollows="1" w:id="2068"/>
        <w:t>l</w:t>
      </w:r>
      <w:r>
        <w:rPr/>
        <w:t xml:space="preserve">, er ist nicht hier. Hier </w:t>
      </w:r>
      <w:r>
        <w:rPr>
          <w:b/>
          <w:color w:val="808080"/>
        </w:rPr>
        <w:t>[</w:t>
      </w:r>
      <w:r>
        <w:rPr/>
        <w:t>ist</w:t>
      </w:r>
      <w:r>
        <w:rPr>
          <w:b/>
          <w:color w:val="808080"/>
        </w:rPr>
        <w:t>]</w:t>
      </w:r>
      <w:r>
        <w:rPr/>
        <w:t xml:space="preserve"> </w:t>
      </w:r>
      <w:r>
        <w:rPr>
          <w:color w:val="808080"/>
        </w:rPr>
        <w:t>(Siehe)</w:t>
      </w:r>
      <w:r>
        <w:rPr/>
        <w:t xml:space="preserve"> der Ort </w:t>
      </w:r>
      <w:r>
        <w:rPr>
          <w:color w:val="808080"/>
        </w:rPr>
        <w:t>(die Stelle)</w:t>
      </w:r>
      <w:r>
        <w:rPr/>
        <w:t xml:space="preserve">, wo sie ihn hingelegt haben.{{field-off:bible}} </w:t>
        <w:br/>
        <w:t>[[@BibleTOBIBLE:Mk 16:7]]</w:t>
      </w:r>
      <w:r>
        <w:rPr>
          <w:b/>
        </w:rPr>
        <w:t>7</w:t>
      </w:r>
      <w:r>
        <w:rPr/>
        <w:t xml:space="preserve"> {{field-on:bible}}Aber los! </w:t>
      </w:r>
      <w:r>
        <w:rPr>
          <w:color w:val="808080"/>
        </w:rPr>
        <w:t>(Auf!, Geht fort, Doch geht)</w:t>
      </w:r>
      <w:r>
        <w:rPr/>
        <w:t xml:space="preserve">, sagt </w:t>
      </w:r>
      <w:r>
        <w:rPr>
          <w:b/>
          <w:color w:val="808080"/>
        </w:rPr>
        <w:t>[</w:t>
      </w:r>
      <w:r>
        <w:rPr/>
        <w:t>es</w:t>
      </w:r>
      <w:r>
        <w:rPr>
          <w:b/>
          <w:color w:val="808080"/>
        </w:rPr>
        <w:t>]</w:t>
      </w:r>
      <w:r>
        <w:rPr/>
        <w:t xml:space="preserve"> seinen Jüngern und Petrus, dass er</w:t>
      </w:r>
      <w:r>
        <w:rPr>
          <w:rStyle w:val="Funotenanker"/>
        </w:rPr>
        <w:footnoteReference w:customMarkFollows="1" w:id="2069"/>
        <w:t>m</w:t>
      </w:r>
      <w:r>
        <w:rPr/>
        <w:t xml:space="preserve"> euch vorangeht nach Galiläa</w:t>
      </w:r>
      <w:r>
        <w:rPr>
          <w:rStyle w:val="Funotenanker"/>
        </w:rPr>
        <w:footnoteReference w:customMarkFollows="1" w:id="2070"/>
        <w:t>n</w:t>
      </w:r>
      <w:r>
        <w:rPr/>
        <w:t xml:space="preserve">. Dort werdet ihr ihn sehen, wie er euch sagte.{{field-off:bible}} </w:t>
        <w:br/>
        <w:t>[[@BibleTOBIBLE:Mk 16:8]]</w:t>
      </w:r>
      <w:r>
        <w:rPr>
          <w:b/>
        </w:rPr>
        <w:t>8</w:t>
      </w:r>
      <w:r>
        <w:rPr/>
        <w:t xml:space="preserve"> {{field-on:bible}}Und sie gingen hinaus</w:t>
      </w:r>
      <w:r>
        <w:rPr>
          <w:rStyle w:val="Funotenanker"/>
        </w:rPr>
        <w:footnoteReference w:customMarkFollows="1" w:id="2071"/>
        <w:t>o</w:t>
      </w:r>
      <w:r>
        <w:rPr/>
        <w:t xml:space="preserve"> und flohen von dem Grab, sie waren nämlich ergriffen von </w:t>
      </w:r>
      <w:r>
        <w:rPr>
          <w:color w:val="808080"/>
        </w:rPr>
        <w:t>(hatten)</w:t>
      </w:r>
      <w:r>
        <w:rPr/>
        <w:t xml:space="preserve"> Angst </w:t>
      </w:r>
      <w:r>
        <w:rPr>
          <w:color w:val="808080"/>
        </w:rPr>
        <w:t>(Zittern)</w:t>
      </w:r>
      <w:r>
        <w:rPr/>
        <w:t xml:space="preserve"> und Entsetzen </w:t>
      </w:r>
      <w:r>
        <w:rPr>
          <w:color w:val="808080"/>
        </w:rPr>
        <w:t>(Bestürzung)</w:t>
      </w:r>
      <w:r>
        <w:rPr/>
        <w:t xml:space="preserve"> </w:t>
      </w:r>
      <w:r>
        <w:rPr>
          <w:rStyle w:val="Funotenanker"/>
        </w:rPr>
        <w:footnoteReference w:customMarkFollows="1" w:id="2072"/>
        <w:t>p</w:t>
      </w:r>
      <w:r>
        <w:rPr/>
        <w:t xml:space="preserve">. Und sie sagten keinem </w:t>
      </w:r>
      <w:r>
        <w:rPr>
          <w:color w:val="808080"/>
        </w:rPr>
        <w:t>(niemandem)</w:t>
      </w:r>
      <w:r>
        <w:rPr/>
        <w:t xml:space="preserve"> etwas; denn</w:t>
      </w:r>
      <w:r>
        <w:rPr>
          <w:rStyle w:val="Funotenanker"/>
        </w:rPr>
        <w:footnoteReference w:customMarkFollows="1" w:id="2073"/>
        <w:t>q</w:t>
      </w:r>
      <w:r>
        <w:rPr/>
        <w:t xml:space="preserve"> sie fürchteten sich. </w:t>
      </w:r>
      <w:r>
        <w:rPr>
          <w:rStyle w:val="Funotenanker"/>
        </w:rPr>
        <w:footnoteReference w:customMarkFollows="1" w:id="2074"/>
        <w:t>r</w:t>
      </w:r>
      <w:r>
        <w:rPr/>
        <w:t xml:space="preserve"> {{field-off:bible}} </w:t>
        <w:br/>
        <w:t>[[@BibleTOBIBLE:Mk 16:9]]</w:t>
      </w:r>
      <w:r>
        <w:rPr>
          <w:b/>
        </w:rPr>
        <w:t>9</w:t>
      </w:r>
      <w:r>
        <w:rPr/>
        <w:t xml:space="preserve"> {{field-on:bible}}Nachdem </w:t>
      </w:r>
      <w:r>
        <w:rPr>
          <w:color w:val="808080"/>
        </w:rPr>
        <w:t>(als, weil)</w:t>
      </w:r>
      <w:r>
        <w:rPr/>
        <w:t xml:space="preserve"> </w:t>
      </w:r>
      <w:r>
        <w:rPr>
          <w:rStyle w:val="Funotenanker"/>
        </w:rPr>
        <w:footnoteReference w:customMarkFollows="1" w:id="2075"/>
        <w:t>s</w:t>
      </w:r>
      <w:r>
        <w:rPr/>
        <w:t xml:space="preserve"> er auferstanden war am frühen Morgen </w:t>
      </w:r>
      <w:r>
        <w:rPr>
          <w:color w:val="808080"/>
        </w:rPr>
        <w:t>(im Morgengrauen)</w:t>
      </w:r>
      <w:r>
        <w:rPr/>
        <w:t xml:space="preserve"> des ersten Tags der Woche </w:t>
      </w:r>
      <w:r>
        <w:rPr>
          <w:color w:val="808080"/>
        </w:rPr>
        <w:t>(des Sabbats)</w:t>
      </w:r>
      <w:r>
        <w:rPr/>
        <w:t xml:space="preserve">, erschien er als erstes Maria Magdalena, von der er sieben Dämonen ausgetrieben hatte. </w:t>
      </w:r>
      <w:r>
        <w:rPr>
          <w:position w:val="8"/>
          <w:sz w:val="19"/>
        </w:rPr>
        <w:t>[[ ℘ &gt;&gt; BibleTOBIBLE:Lk 8:2]]</w:t>
      </w:r>
      <w:r>
        <w:rPr/>
        <w:t xml:space="preserve"> </w:t>
      </w:r>
      <w:r>
        <w:rPr>
          <w:position w:val="8"/>
          <w:sz w:val="19"/>
        </w:rPr>
        <w:t>[[ ℘ &gt;&gt; BibleTOBIBLE:Jn 20:14]]</w:t>
      </w:r>
      <w:r>
        <w:rPr/>
        <w:t xml:space="preserve"> {{field-off:bible}} </w:t>
        <w:br/>
        <w:t>[[@BibleTOBIBLE:Mk 16:10]]</w:t>
      </w:r>
      <w:r>
        <w:rPr>
          <w:b/>
        </w:rPr>
        <w:t>10</w:t>
      </w:r>
      <w:r>
        <w:rPr/>
        <w:t xml:space="preserve"> {{field-on:bible}}Als sie ging, es denen zu bekanntzumachen </w:t>
      </w:r>
      <w:r>
        <w:rPr>
          <w:color w:val="808080"/>
        </w:rPr>
        <w:t>(zu verkündigen)</w:t>
      </w:r>
      <w:r>
        <w:rPr/>
        <w:t xml:space="preserve">, die bei ihm gewesen waren, trauerten sie weinten sie.{{field-off:bible}} </w:t>
        <w:br/>
        <w:t>[[@BibleTOBIBLE:Mk 16:11]]</w:t>
      </w:r>
      <w:r>
        <w:rPr>
          <w:b/>
        </w:rPr>
        <w:t>11</w:t>
      </w:r>
      <w:r>
        <w:rPr/>
        <w:t xml:space="preserve"> {{field-on:bible}}Und eben diese – obwohl </w:t>
      </w:r>
      <w:r>
        <w:rPr>
          <w:color w:val="808080"/>
        </w:rPr>
        <w:t>(als, nachdem)</w:t>
      </w:r>
      <w:r>
        <w:rPr/>
        <w:t xml:space="preserve"> sie hörten, dass </w:t>
      </w:r>
      <w:r>
        <w:rPr>
          <w:b/>
          <w:color w:val="808080"/>
        </w:rPr>
        <w:t>[</w:t>
      </w:r>
      <w:r>
        <w:rPr/>
        <w:t>Jesus</w:t>
      </w:r>
      <w:r>
        <w:rPr>
          <w:b/>
          <w:color w:val="808080"/>
        </w:rPr>
        <w:t>]</w:t>
      </w:r>
      <w:r>
        <w:rPr/>
        <w:t xml:space="preserve"> lebte und von ihr gesehen worden war, da glaubten sie </w:t>
      </w:r>
      <w:r>
        <w:rPr>
          <w:b/>
          <w:color w:val="808080"/>
        </w:rPr>
        <w:t>[</w:t>
      </w:r>
      <w:r>
        <w:rPr/>
        <w:t>es ihr</w:t>
      </w:r>
      <w:r>
        <w:rPr>
          <w:b/>
          <w:color w:val="808080"/>
        </w:rPr>
        <w:t>]</w:t>
      </w:r>
      <w:r>
        <w:rPr/>
        <w:t xml:space="preserve"> nicht.{{field-off:bible}} </w:t>
        <w:br/>
        <w:t>[[@BibleTOBIBLE:Mk 16:12]]</w:t>
      </w:r>
      <w:r>
        <w:rPr>
          <w:b/>
        </w:rPr>
        <w:t>12</w:t>
      </w:r>
      <w:r>
        <w:rPr/>
        <w:t xml:space="preserve"> {{field-on:bible}}Danach </w:t>
      </w:r>
      <w:r>
        <w:rPr>
          <w:strike/>
          <w:color w:val="808080"/>
        </w:rPr>
        <w:t>{aber}</w:t>
      </w:r>
      <w:r>
        <w:rPr/>
        <w:t xml:space="preserve"> erschien er zwei von ihnen, als </w:t>
      </w:r>
      <w:r>
        <w:rPr>
          <w:color w:val="808080"/>
        </w:rPr>
        <w:t>(während)</w:t>
      </w:r>
      <w:r>
        <w:rPr/>
        <w:t xml:space="preserve"> sie unterwegs waren, in anderer Gestalt, als </w:t>
      </w:r>
      <w:r>
        <w:rPr>
          <w:color w:val="808080"/>
        </w:rPr>
        <w:t>(während)</w:t>
      </w:r>
      <w:r>
        <w:rPr/>
        <w:t xml:space="preserve"> sie aufs Land </w:t>
      </w:r>
      <w:r>
        <w:rPr>
          <w:b/>
          <w:color w:val="808080"/>
        </w:rPr>
        <w:t>[</w:t>
      </w:r>
      <w:r>
        <w:rPr/>
        <w:t>hinaus</w:t>
      </w:r>
      <w:r>
        <w:rPr>
          <w:b/>
          <w:color w:val="808080"/>
        </w:rPr>
        <w:t>]</w:t>
      </w:r>
      <w:r>
        <w:rPr/>
        <w:t xml:space="preserve"> gingen. </w:t>
      </w:r>
      <w:r>
        <w:rPr>
          <w:position w:val="8"/>
          <w:sz w:val="19"/>
        </w:rPr>
        <w:t>[[ ℘ &gt;&gt; BibleTOBIBLE:Lk 24:13]]</w:t>
      </w:r>
      <w:r>
        <w:rPr/>
        <w:t xml:space="preserve"> {{field-off:bible}} </w:t>
        <w:br/>
        <w:t>[[@BibleTOBIBLE:Mk 16:13]]</w:t>
      </w:r>
      <w:r>
        <w:rPr>
          <w:b/>
        </w:rPr>
        <w:t>13</w:t>
      </w:r>
      <w:r>
        <w:rPr/>
        <w:t xml:space="preserve"> {{field-on:bible}}Auch diese gingen und berichteten es den anderen. Die glaubten es jenen </w:t>
      </w:r>
      <w:r>
        <w:rPr>
          <w:b/>
          <w:color w:val="808080"/>
        </w:rPr>
        <w:t>[</w:t>
      </w:r>
      <w:r>
        <w:rPr/>
        <w:t>ebenfalls</w:t>
      </w:r>
      <w:r>
        <w:rPr>
          <w:b/>
          <w:color w:val="808080"/>
        </w:rPr>
        <w:t>]</w:t>
      </w:r>
      <w:r>
        <w:rPr/>
        <w:t xml:space="preserve"> nicht.</w:t>
      </w:r>
      <w:r>
        <w:rPr>
          <w:position w:val="8"/>
          <w:sz w:val="19"/>
        </w:rPr>
        <w:t>[[ ℘ &gt;&gt; BibleTOBIBLE:Lk 24:33]]</w:t>
      </w:r>
      <w:r>
        <w:rPr/>
        <w:t xml:space="preserve"> {{field-off:bible}} </w:t>
        <w:br/>
        <w:t>[[@BibleTOBIBLE:Mk 16:14]]</w:t>
      </w:r>
      <w:r>
        <w:rPr>
          <w:b/>
        </w:rPr>
        <w:t>14</w:t>
      </w:r>
      <w:r>
        <w:rPr/>
        <w:t xml:space="preserve"> {{field-on:bible}}Später wiederum </w:t>
      </w:r>
      <w:r>
        <w:rPr>
          <w:color w:val="808080"/>
        </w:rPr>
        <w:t>(aber)</w:t>
      </w:r>
      <w:r>
        <w:rPr/>
        <w:t xml:space="preserve">, als sie gerade </w:t>
      </w:r>
      <w:r>
        <w:rPr>
          <w:b/>
          <w:color w:val="808080"/>
        </w:rPr>
        <w:t>[</w:t>
      </w:r>
      <w:r>
        <w:rPr/>
        <w:t>zu Tische</w:t>
      </w:r>
      <w:r>
        <w:rPr>
          <w:b/>
          <w:color w:val="808080"/>
        </w:rPr>
        <w:t>]</w:t>
      </w:r>
      <w:r>
        <w:rPr/>
        <w:t xml:space="preserve"> lagen </w:t>
      </w:r>
      <w:r>
        <w:rPr>
          <w:color w:val="808080"/>
        </w:rPr>
        <w:t>(gemeinsam aßen)</w:t>
      </w:r>
      <w:r>
        <w:rPr/>
        <w:t xml:space="preserve"> </w:t>
      </w:r>
      <w:r>
        <w:rPr>
          <w:rStyle w:val="Funotenanker"/>
        </w:rPr>
        <w:footnoteReference w:customMarkFollows="1" w:id="2076"/>
        <w:t>t</w:t>
      </w:r>
      <w:r>
        <w:rPr/>
        <w:t xml:space="preserve"> erschien er den elf </w:t>
      </w:r>
      <w:r>
        <w:rPr>
          <w:b/>
          <w:color w:val="808080"/>
        </w:rPr>
        <w:t>[</w:t>
      </w:r>
      <w:r>
        <w:rPr/>
        <w:t>Jüngern</w:t>
      </w:r>
      <w:r>
        <w:rPr>
          <w:b/>
          <w:color w:val="808080"/>
        </w:rPr>
        <w:t>]</w:t>
      </w:r>
      <w:r>
        <w:rPr/>
        <w:t xml:space="preserve">, und er tadelte ihren Unglauben </w:t>
      </w:r>
      <w:r>
        <w:rPr>
          <w:color w:val="808080"/>
        </w:rPr>
        <w:t>(ihr Mißtrauen, ihre Treulosigkeit)</w:t>
      </w:r>
      <w:r>
        <w:rPr/>
        <w:t xml:space="preserve"> und ihre Hartherzigkeit, dass sie denen, die ihn auferstanden gesehen hatten, nicht geglaubt </w:t>
      </w:r>
      <w:r>
        <w:rPr>
          <w:color w:val="808080"/>
        </w:rPr>
        <w:t>(vertraut)</w:t>
      </w:r>
      <w:r>
        <w:rPr/>
        <w:t xml:space="preserve"> hatten.</w:t>
      </w:r>
      <w:r>
        <w:rPr>
          <w:position w:val="8"/>
          <w:sz w:val="19"/>
        </w:rPr>
        <w:t>[[ ℘ &gt;&gt; BibleTOBIBLE:Lk 24:36]]</w:t>
      </w:r>
      <w:r>
        <w:rPr/>
        <w:t xml:space="preserve"> </w:t>
      </w:r>
      <w:r>
        <w:rPr>
          <w:position w:val="8"/>
          <w:sz w:val="19"/>
        </w:rPr>
        <w:t>[[ ℘ &gt;&gt; BibleTOBIBLE:Jn 20:26]]</w:t>
      </w:r>
      <w:r>
        <w:rPr/>
        <w:t xml:space="preserve"> {{field-off:bible}} </w:t>
        <w:br/>
        <w:t>[[@BibleTOBIBLE:Mk 16:15]]</w:t>
      </w:r>
      <w:r>
        <w:rPr>
          <w:b/>
        </w:rPr>
        <w:t>15</w:t>
      </w:r>
      <w:r>
        <w:rPr/>
        <w:t xml:space="preserve"> {{field-on:bible}}Und er sagte zu ihnen: „Geht in die ganze Welt hinaus und macht meine Freuden-Botschaft bekannt </w:t>
      </w:r>
      <w:r>
        <w:rPr>
          <w:color w:val="808080"/>
        </w:rPr>
        <w:t>(verkündet mein Evangelium)</w:t>
      </w:r>
      <w:r>
        <w:rPr/>
        <w:t xml:space="preserve"> der ganzen Schöpfung.</w:t>
      </w:r>
      <w:r>
        <w:rPr>
          <w:position w:val="8"/>
          <w:sz w:val="19"/>
        </w:rPr>
        <w:t>[[ ℘ &gt;&gt; BibleTOBIBLE:Mt 28:19]]</w:t>
      </w:r>
      <w:r>
        <w:rPr/>
        <w:t xml:space="preserve"> {{field-off:bible}} </w:t>
        <w:br/>
        <w:t>[[@BibleTOBIBLE:Mk 16:16]]</w:t>
      </w:r>
      <w:r>
        <w:rPr>
          <w:b/>
        </w:rPr>
        <w:t>16</w:t>
      </w:r>
      <w:r>
        <w:rPr/>
        <w:t xml:space="preserve"> {{field-on:bible}}Wer </w:t>
      </w:r>
      <w:r>
        <w:rPr>
          <w:rStyle w:val="Funotenanker"/>
        </w:rPr>
        <w:footnoteReference w:customMarkFollows="1" w:id="2077"/>
        <w:t>u</w:t>
      </w:r>
      <w:r>
        <w:rPr/>
        <w:t xml:space="preserve"> glaubt </w:t>
      </w:r>
      <w:r>
        <w:rPr>
          <w:color w:val="808080"/>
        </w:rPr>
        <w:t>(vertraut, treu ist)</w:t>
      </w:r>
      <w:r>
        <w:rPr/>
        <w:t xml:space="preserve"> und sich taufen lässt, wird gerettet werden. Wer dagegen nicht glaubt </w:t>
      </w:r>
      <w:r>
        <w:rPr>
          <w:color w:val="808080"/>
        </w:rPr>
        <w:t>(nicht vertraut, treulos ist)</w:t>
      </w:r>
      <w:r>
        <w:rPr/>
        <w:t xml:space="preserve">, wird gerichtet werden.{{field-off:bible}} </w:t>
        <w:br/>
        <w:t>[[@BibleTOBIBLE:Mk 16:17]]</w:t>
      </w:r>
      <w:r>
        <w:rPr>
          <w:b/>
        </w:rPr>
        <w:t>17</w:t>
      </w:r>
      <w:r>
        <w:rPr/>
        <w:t xml:space="preserve"> {{field-on:bible}}Diese Wunder </w:t>
      </w:r>
      <w:r>
        <w:rPr>
          <w:color w:val="808080"/>
        </w:rPr>
        <w:t>(Zeichen)</w:t>
      </w:r>
      <w:r>
        <w:rPr/>
        <w:t xml:space="preserve"> </w:t>
      </w:r>
      <w:r>
        <w:rPr>
          <w:strike/>
          <w:color w:val="808080"/>
        </w:rPr>
        <w:t>{aber}</w:t>
      </w:r>
      <w:r>
        <w:rPr/>
        <w:t xml:space="preserve"> werden die Glaubenden begleiten: In meinem Namen werden sie Dämonen </w:t>
      </w:r>
      <w:r>
        <w:rPr>
          <w:color w:val="808080"/>
        </w:rPr>
        <w:t>(Geister, übernatürliche Wesen)</w:t>
      </w:r>
      <w:r>
        <w:rPr/>
        <w:t xml:space="preserve"> austreiben; in neuen </w:t>
      </w:r>
      <w:r>
        <w:rPr>
          <w:color w:val="808080"/>
        </w:rPr>
        <w:t>(d.h. unbekannten)</w:t>
      </w:r>
      <w:r>
        <w:rPr/>
        <w:t xml:space="preserve"> Sprachen </w:t>
      </w:r>
      <w:r>
        <w:rPr>
          <w:color w:val="808080"/>
        </w:rPr>
        <w:t>(Zungen)</w:t>
      </w:r>
      <w:r>
        <w:rPr/>
        <w:t xml:space="preserve"> werden sie reden; </w:t>
      </w:r>
      <w:r>
        <w:rPr>
          <w:position w:val="8"/>
          <w:sz w:val="19"/>
        </w:rPr>
        <w:t>[[ ℘ &gt;&gt; BibleTOBIBLE:Mk 11:22]]</w:t>
      </w:r>
      <w:r>
        <w:rPr/>
        <w:t xml:space="preserve"> </w:t>
      </w:r>
      <w:r>
        <w:rPr>
          <w:position w:val="8"/>
          <w:sz w:val="19"/>
        </w:rPr>
        <w:t>[[ ℘ &gt;&gt; BibleTOBIBLE:Ac 2:4]]</w:t>
      </w:r>
      <w:r>
        <w:rPr/>
        <w:t xml:space="preserve"> {{field-off:bible}} </w:t>
        <w:br/>
        <w:t>[[@BibleTOBIBLE:Mk 16:18]]</w:t>
      </w:r>
      <w:r>
        <w:rPr>
          <w:b/>
        </w:rPr>
        <w:t>18</w:t>
      </w:r>
      <w:r>
        <w:rPr/>
        <w:t xml:space="preserve"> {{field-on:bible}}sie werden Schlangen aufheben</w:t>
      </w:r>
      <w:r>
        <w:rPr>
          <w:rStyle w:val="Funotenanker"/>
        </w:rPr>
        <w:footnoteReference w:customMarkFollows="1" w:id="2078"/>
        <w:t>v</w:t>
      </w:r>
      <w:r>
        <w:rPr/>
        <w:t xml:space="preserve">; und wenn sie etwas Tödliches tranken, werden sie keinesfalls sterben; bei Kranken werden sie Hände auflegen und es wird </w:t>
      </w:r>
      <w:r>
        <w:rPr>
          <w:strike/>
          <w:color w:val="808080"/>
        </w:rPr>
        <w:t>{ihnen}</w:t>
      </w:r>
      <w:r>
        <w:rPr/>
        <w:t xml:space="preserve"> </w:t>
      </w:r>
      <w:r>
        <w:rPr>
          <w:b/>
          <w:color w:val="808080"/>
        </w:rPr>
        <w:t>[</w:t>
      </w:r>
      <w:r>
        <w:rPr/>
        <w:t>diesen wieder</w:t>
      </w:r>
      <w:r>
        <w:rPr>
          <w:b/>
          <w:color w:val="808080"/>
        </w:rPr>
        <w:t>]</w:t>
      </w:r>
      <w:r>
        <w:rPr/>
        <w:t xml:space="preserve"> gut gehen.“ </w:t>
      </w:r>
      <w:r>
        <w:rPr>
          <w:position w:val="8"/>
          <w:sz w:val="19"/>
        </w:rPr>
        <w:t>[[ ℘ &gt;&gt; BibleTOBIBLE:Mk 6:5]]</w:t>
      </w:r>
      <w:r>
        <w:rPr/>
        <w:t xml:space="preserve"> </w:t>
      </w:r>
      <w:r>
        <w:rPr>
          <w:position w:val="8"/>
          <w:sz w:val="19"/>
        </w:rPr>
        <w:t>[[ ℘ &gt;&gt; BibleTOBIBLE:Mk 6:13]]</w:t>
      </w:r>
      <w:r>
        <w:rPr/>
        <w:t xml:space="preserve"> {{field-off:bible}} </w:t>
        <w:br/>
        <w:t>[[@BibleTOBIBLE:Mk 16:19]]</w:t>
      </w:r>
      <w:r>
        <w:rPr>
          <w:b/>
        </w:rPr>
        <w:t>19</w:t>
      </w:r>
      <w:r>
        <w:rPr/>
        <w:t xml:space="preserve"> {{field-on:bible}}Der Herr, Jesus, wurde </w:t>
      </w:r>
      <w:r>
        <w:rPr>
          <w:strike/>
          <w:color w:val="808080"/>
        </w:rPr>
        <w:t>{nun zwar}</w:t>
      </w:r>
      <w:r>
        <w:rPr/>
        <w:t xml:space="preserve"> nach diesem Reden in den Himmel aufgenommen und setzte sich zu Gottes rechter Seite,</w:t>
      </w:r>
      <w:r>
        <w:rPr>
          <w:position w:val="8"/>
          <w:sz w:val="19"/>
        </w:rPr>
        <w:t>[[ ℘ &gt;&gt; BibleTOBIBLE:Lk 24:51]]</w:t>
      </w:r>
      <w:r>
        <w:rPr/>
        <w:t xml:space="preserve"> {{field-off:bible}} </w:t>
        <w:br/>
        <w:t>[[@BibleTOBIBLE:Mk 16:20]]</w:t>
      </w:r>
      <w:r>
        <w:rPr>
          <w:b/>
        </w:rPr>
        <w:t>20</w:t>
      </w:r>
      <w:r>
        <w:rPr/>
        <w:t xml:space="preserve"> {{field-on:bible}}jene aber gingen hinaus </w:t>
      </w:r>
      <w:r>
        <w:rPr>
          <w:b/>
          <w:color w:val="808080"/>
        </w:rPr>
        <w:t>[</w:t>
      </w:r>
      <w:r>
        <w:rPr/>
        <w:t>in die Welt</w:t>
      </w:r>
      <w:r>
        <w:rPr>
          <w:b/>
          <w:color w:val="808080"/>
        </w:rPr>
        <w:t>]</w:t>
      </w:r>
      <w:r>
        <w:rPr/>
        <w:t xml:space="preserve"> und verkündeten </w:t>
      </w:r>
      <w:r>
        <w:rPr>
          <w:color w:val="808080"/>
        </w:rPr>
        <w:t>(predigten)</w:t>
      </w:r>
      <w:r>
        <w:rPr/>
        <w:t xml:space="preserve"> überall , wobei</w:t>
      </w:r>
      <w:r>
        <w:rPr>
          <w:rStyle w:val="Funotenanker"/>
        </w:rPr>
        <w:footnoteReference w:customMarkFollows="1" w:id="2079"/>
        <w:t>w</w:t>
      </w:r>
      <w:r>
        <w:rPr/>
        <w:t xml:space="preserve"> der Herr mitwirkte und </w:t>
      </w:r>
      <w:r>
        <w:rPr>
          <w:b/>
          <w:color w:val="808080"/>
        </w:rPr>
        <w:t>[</w:t>
      </w:r>
      <w:r>
        <w:rPr/>
        <w:t>ihre</w:t>
      </w:r>
      <w:r>
        <w:rPr>
          <w:b/>
          <w:color w:val="808080"/>
        </w:rPr>
        <w:t>]</w:t>
      </w:r>
      <w:r>
        <w:rPr/>
        <w:t xml:space="preserve"> Rede </w:t>
      </w:r>
      <w:r>
        <w:rPr>
          <w:color w:val="808080"/>
        </w:rPr>
        <w:t>(das Wort)</w:t>
      </w:r>
      <w:r>
        <w:rPr/>
        <w:t xml:space="preserve"> dadurch bekräftigte, dass sich Wunder einstellten </w:t>
      </w:r>
      <w:r>
        <w:rPr>
          <w:color w:val="808080"/>
        </w:rPr>
        <w:t>(durch nachfolgende Zeichen stärkte/bestätigte)</w:t>
      </w:r>
      <w:r>
        <w:rPr/>
        <w:t xml:space="preserve">.{{field-off:bible}}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2080"/>
        <w:t>Status</w:t>
      </w:r>
      <w:r>
        <w:rPr/>
        <w:t xml:space="preserve"> Und Maria</w:t>
      </w:r>
      <w:r>
        <w:rPr>
          <w:rStyle w:val="Funotenanker"/>
        </w:rPr>
        <w:footnoteReference w:customMarkFollows="1" w:id="2081"/>
        <w:t>a</w:t>
      </w:r>
      <w:r>
        <w:rPr/>
        <w:t xml:space="preserve"> sprach:</w:t>
      </w:r>
      <w:r>
        <w:rPr>
          <w:position w:val="8"/>
          <w:sz w:val="19"/>
        </w:rPr>
        <w:t>[[ ℘ &gt;&gt; BibleTOBIBLE:1Sa 2:1]]</w:t>
      </w:r>
      <w:r>
        <w:rPr/>
        <w:t xml:space="preserve"> „Meine Seele </w:t>
      </w:r>
      <w:r>
        <w:rPr>
          <w:color w:val="808080"/>
        </w:rPr>
        <w:t>(Ich)</w:t>
      </w:r>
      <w:r>
        <w:rPr/>
        <w:t xml:space="preserve"> </w:t>
      </w:r>
      <w:r>
        <w:rPr>
          <w:rStyle w:val="Funotenanker"/>
        </w:rPr>
        <w:footnoteReference w:customMarkFollows="1" w:id="2082"/>
        <w:t>b</w:t>
      </w:r>
      <w:r>
        <w:rPr/>
        <w:t xml:space="preserve"> preist </w:t>
      </w:r>
      <w:r>
        <w:rPr>
          <w:color w:val="808080"/>
        </w:rPr>
        <w:t>(macht groß</w:t>
      </w:r>
      <w:r>
        <w:rPr/>
        <w:t xml:space="preserve"> </w:t>
      </w:r>
      <w:r>
        <w:rPr>
          <w:rStyle w:val="Funotenanker"/>
        </w:rPr>
        <w:footnoteReference w:customMarkFollows="1" w:id="2083"/>
        <w:t>c</w:t>
      </w:r>
      <w:r>
        <w:rPr/>
        <w:t xml:space="preserve"> </w:t>
      </w:r>
      <w:r>
        <w:rPr>
          <w:color w:val="808080"/>
        </w:rPr>
        <w:t>, dankt)</w:t>
      </w:r>
      <w:r>
        <w:rPr/>
        <w:t xml:space="preserve"> </w:t>
      </w:r>
      <w:r>
        <w:rPr>
          <w:rStyle w:val="Funotenanker"/>
        </w:rPr>
        <w:footnoteReference w:customMarkFollows="1" w:id="2084"/>
        <w:t>d</w:t>
      </w:r>
      <w:r>
        <w:rPr/>
        <w:t xml:space="preserve"> den Herrn </w:t>
      </w:r>
      <w:r>
        <w:rPr>
          <w:position w:val="8"/>
          <w:sz w:val="19"/>
        </w:rPr>
        <w:t>[[ ℘ &gt;&gt; BibleTOBIBLE:Ps 34:2]]</w:t>
      </w:r>
      <w:r>
        <w:rPr/>
        <w:t xml:space="preserve"> </w:t>
      </w:r>
      <w:r>
        <w:rPr>
          <w:position w:val="8"/>
          <w:sz w:val="19"/>
        </w:rPr>
        <w:t>[[ ℘ &gt;&gt; BibleTOBIBLE:Ps 69:31]]</w:t>
      </w:r>
      <w:r>
        <w:rPr/>
        <w:t xml:space="preserve"> </w:t>
      </w:r>
      <w:r>
        <w:rPr>
          <w:position w:val="8"/>
          <w:sz w:val="19"/>
        </w:rPr>
        <w:t>[[ ℘ &gt;&gt; BibleTOBIBLE:Ac 10:46]]</w:t>
      </w:r>
      <w:r>
        <w:rPr/>
        <w:t xml:space="preserve"> </w:t>
      </w:r>
      <w:r>
        <w:rPr>
          <w:position w:val="8"/>
          <w:sz w:val="19"/>
        </w:rPr>
        <w:t>[[ ℘ &gt;&gt; BibleTOBIBLE:Ac 19:17]]</w:t>
      </w:r>
      <w:r>
        <w:rPr/>
        <w:t xml:space="preserve">“„{{field-off:bible}} </w:t>
        <w:br/>
        <w:t>[[@BibleTOBIBLE:Lk 1:47]]</w:t>
      </w:r>
      <w:r>
        <w:rPr>
          <w:b/>
        </w:rPr>
        <w:t>47</w:t>
      </w:r>
      <w:r>
        <w:rPr/>
        <w:t xml:space="preserve"> {{field-on:bible}}und mein Geist </w:t>
      </w:r>
      <w:r>
        <w:rPr>
          <w:color w:val="808080"/>
        </w:rPr>
        <w:t>(Ich)</w:t>
      </w:r>
      <w:r>
        <w:rPr/>
        <w:t xml:space="preserve"> jubelt </w:t>
      </w:r>
      <w:r>
        <w:rPr>
          <w:color w:val="808080"/>
        </w:rPr>
        <w:t>(begann, zu jubeln)</w:t>
      </w:r>
      <w:r>
        <w:rPr/>
        <w:t xml:space="preserve"> </w:t>
      </w:r>
      <w:r>
        <w:rPr>
          <w:rStyle w:val="Funotenanker"/>
        </w:rPr>
        <w:footnoteReference w:customMarkFollows="1" w:id="2085"/>
        <w:t>e</w:t>
      </w:r>
      <w:r>
        <w:rPr/>
        <w:t xml:space="preserve"> über Gott </w:t>
      </w:r>
      <w:r>
        <w:rPr>
          <w:color w:val="808080"/>
        </w:rPr>
        <w:t>(dankt Gott)</w:t>
      </w:r>
      <w:r>
        <w:rPr/>
        <w:t xml:space="preserve">, meinen Retter, </w:t>
      </w:r>
      <w:r>
        <w:rPr>
          <w:position w:val="8"/>
          <w:sz w:val="19"/>
        </w:rPr>
        <w:t>[[ ℘ &gt;&gt; BibleTOBIBLE:Is 61:10]]</w:t>
      </w:r>
      <w:r>
        <w:rPr/>
        <w:t xml:space="preserve"> </w:t>
      </w:r>
      <w:r>
        <w:rPr>
          <w:position w:val="8"/>
          <w:sz w:val="19"/>
        </w:rPr>
        <w:t>[[ ℘ &gt;&gt; BibleTOBIBLE:Hab 3:18]]</w:t>
      </w:r>
      <w:r>
        <w:rPr/>
        <w:t xml:space="preserve"> </w:t>
      </w:r>
      <w:r>
        <w:rPr>
          <w:position w:val="8"/>
          <w:sz w:val="19"/>
        </w:rPr>
        <w:t>[[ ℘ &gt;&gt; BibleTOBIBLE:Ps 35:9]]</w:t>
      </w:r>
      <w:r>
        <w:rPr/>
        <w:t xml:space="preserve">“{{field-off:bible}} </w:t>
        <w:br/>
        <w:t>[[@BibleTOBIBLE:Lk 1:48]]</w:t>
      </w:r>
      <w:r>
        <w:rPr>
          <w:b/>
        </w:rPr>
        <w:t>48</w:t>
      </w:r>
      <w:r>
        <w:rPr/>
        <w:t xml:space="preserve"> {{field-on:bible}}denn </w:t>
      </w:r>
      <w:r>
        <w:rPr>
          <w:color w:val="808080"/>
        </w:rPr>
        <w:t>(dafür, dass)</w:t>
      </w:r>
      <w:r>
        <w:rPr/>
        <w:t xml:space="preserve"> auf die Armut </w:t>
      </w:r>
      <w:r>
        <w:rPr>
          <w:color w:val="808080"/>
        </w:rPr>
        <w:t>(Niedrigkeit, Demut)</w:t>
      </w:r>
      <w:r>
        <w:rPr/>
        <w:t xml:space="preserve"> </w:t>
      </w:r>
      <w:r>
        <w:rPr>
          <w:rStyle w:val="Funotenanker"/>
        </w:rPr>
        <w:footnoteReference w:customMarkFollows="1" w:id="2086"/>
        <w:t>f</w:t>
      </w:r>
      <w:r>
        <w:rPr/>
        <w:t xml:space="preserve"> seiner Sklavin </w:t>
      </w:r>
      <w:r>
        <w:rPr>
          <w:color w:val="808080"/>
        </w:rPr>
        <w:t>(Magd)</w:t>
      </w:r>
      <w:r>
        <w:rPr/>
        <w:t xml:space="preserve"> </w:t>
      </w:r>
      <w:r>
        <w:rPr>
          <w:rStyle w:val="Funotenanker"/>
        </w:rPr>
        <w:footnoteReference w:customMarkFollows="1" w:id="2087"/>
        <w:t>g</w:t>
      </w:r>
      <w:r>
        <w:rPr/>
        <w:t xml:space="preserve"> hat er geschaut </w:t>
      </w:r>
      <w:r>
        <w:rPr>
          <w:color w:val="808080"/>
        </w:rPr>
        <w:t>(sich angenommen)</w:t>
      </w:r>
      <w:r>
        <w:rPr/>
        <w:t xml:space="preserve"> </w:t>
      </w:r>
      <w:r>
        <w:rPr>
          <w:rStyle w:val="Funotenanker"/>
        </w:rPr>
        <w:footnoteReference w:customMarkFollows="1" w:id="2088"/>
        <w:t>h</w:t>
      </w:r>
      <w:r>
        <w:rPr/>
        <w:t xml:space="preserve"> </w:t>
      </w:r>
      <w:r>
        <w:rPr>
          <w:position w:val="8"/>
          <w:sz w:val="19"/>
        </w:rPr>
        <w:t>[[ ℘ &gt;&gt; BibleTOBIBLE:Ge 29:32]]</w:t>
      </w:r>
      <w:r>
        <w:rPr/>
        <w:t xml:space="preserve"> </w:t>
      </w:r>
      <w:r>
        <w:rPr>
          <w:position w:val="8"/>
          <w:sz w:val="19"/>
        </w:rPr>
        <w:t>[[ ℘ &gt;&gt; BibleTOBIBLE:1Sa 1:11]]</w:t>
      </w:r>
      <w:r>
        <w:rPr/>
        <w:t xml:space="preserve"> </w:t>
      </w:r>
      <w:r>
        <w:rPr>
          <w:position w:val="8"/>
          <w:sz w:val="19"/>
        </w:rPr>
        <w:t>[[ ℘ &gt;&gt; BibleTOBIBLE:Ps 31:8]]</w:t>
      </w:r>
      <w:r>
        <w:rPr/>
        <w:t xml:space="preserve"> </w:t>
      </w:r>
      <w:r>
        <w:rPr>
          <w:position w:val="8"/>
          <w:sz w:val="19"/>
        </w:rPr>
        <w:t>[[ ℘ &gt;&gt; BibleTOBIBLE:Ps 138:6]]</w:t>
      </w:r>
      <w:r>
        <w:rPr/>
        <w:t xml:space="preserve"> - „ </w:t>
      </w:r>
      <w:r>
        <w:rPr>
          <w:strike/>
          <w:color w:val="808080"/>
        </w:rPr>
        <w:t>{siehe}</w:t>
      </w:r>
      <w:r>
        <w:rPr/>
        <w:t xml:space="preserve"> </w:t>
      </w:r>
      <w:r>
        <w:rPr>
          <w:rStyle w:val="Funotenanker"/>
        </w:rPr>
        <w:footnoteReference w:customMarkFollows="1" w:id="2089"/>
        <w:t>i</w:t>
      </w:r>
      <w:r>
        <w:rPr/>
        <w:t xml:space="preserve"> von nun an halten für glücklich </w:t>
      </w:r>
      <w:r>
        <w:rPr>
          <w:color w:val="808080"/>
        </w:rPr>
        <w:t>(werden mich für glücklich halten)</w:t>
      </w:r>
      <w:r>
        <w:rPr/>
        <w:t xml:space="preserve"> </w:t>
      </w:r>
      <w:r>
        <w:rPr>
          <w:rStyle w:val="Funotenanker"/>
        </w:rPr>
        <w:footnoteReference w:customMarkFollows="1" w:id="2090"/>
        <w:t>j</w:t>
      </w:r>
      <w:r>
        <w:rPr/>
        <w:t xml:space="preserve"> mich alle Geschlechter </w:t>
      </w:r>
      <w:r>
        <w:rPr>
          <w:color w:val="808080"/>
        </w:rPr>
        <w:t>(jeder)</w:t>
      </w:r>
      <w:r>
        <w:rPr/>
        <w:t xml:space="preserve">! </w:t>
      </w:r>
      <w:r>
        <w:rPr>
          <w:position w:val="8"/>
          <w:sz w:val="19"/>
        </w:rPr>
        <w:t>[[ ℘ &gt;&gt; BibleTOBIBLE:Ge 30:13]]</w:t>
      </w:r>
      <w:r>
        <w:rPr/>
        <w:t xml:space="preserve"> </w:t>
      </w:r>
      <w:r>
        <w:rPr>
          <w:position w:val="8"/>
          <w:sz w:val="19"/>
        </w:rPr>
        <w:t>[[ ℘ &gt;&gt; BibleTOBIBLE:Mal 3:12]]</w:t>
      </w:r>
      <w:r>
        <w:rPr/>
        <w:t xml:space="preserve"> </w:t>
      </w:r>
      <w:r>
        <w:rPr>
          <w:position w:val="8"/>
          <w:sz w:val="19"/>
        </w:rPr>
        <w:t>[[ ℘ &gt;&gt; BibleTOBIBLE:Ps 72:17]]</w:t>
      </w:r>
      <w:r>
        <w:rPr/>
        <w:t xml:space="preserve"> </w:t>
      </w:r>
      <w:r>
        <w:rPr>
          <w:position w:val="8"/>
          <w:sz w:val="19"/>
        </w:rPr>
        <w:t>[[ ℘ &gt;&gt; BibleTOBIBLE:Lk 11:27]]</w:t>
      </w:r>
      <w:r>
        <w:rPr/>
        <w:t xml:space="preserve">- </w:t>
      </w:r>
      <w:r>
        <w:rPr>
          <w:color w:val="808080"/>
        </w:rPr>
        <w:t>(:)</w:t>
      </w:r>
      <w:r>
        <w:rPr/>
        <w:t xml:space="preserve"> </w:t>
      </w:r>
      <w:r>
        <w:rPr>
          <w:rStyle w:val="Funotenanker"/>
        </w:rPr>
        <w:footnoteReference w:customMarkFollows="1" w:id="2091"/>
        <w:t>k</w:t>
      </w:r>
      <w:r>
        <w:rPr/>
        <w:t xml:space="preserve"> “{{field-off:bible}} </w:t>
        <w:br/>
        <w:t>[[@BibleTOBIBLE:Lk 1:49]]</w:t>
      </w:r>
      <w:r>
        <w:rPr>
          <w:b/>
        </w:rPr>
        <w:t>49</w:t>
      </w:r>
      <w:r>
        <w:rPr/>
        <w:t xml:space="preserve"> {{field-on:bible}} </w:t>
      </w:r>
      <w:r>
        <w:rPr>
          <w:strike/>
          <w:color w:val="808080"/>
        </w:rPr>
        <w:t>{denn (dafür, dass)}</w:t>
      </w:r>
      <w:r>
        <w:rPr/>
        <w:t xml:space="preserve"> der Mächtige hat Großes an mir getan - </w:t>
      </w:r>
      <w:r>
        <w:rPr>
          <w:position w:val="8"/>
          <w:sz w:val="19"/>
        </w:rPr>
        <w:t>[[ ℘ &gt;&gt; BibleTOBIBLE:Dt 10:21]]</w:t>
      </w:r>
      <w:r>
        <w:rPr/>
        <w:t xml:space="preserve"> </w:t>
      </w:r>
      <w:r>
        <w:rPr>
          <w:position w:val="8"/>
          <w:sz w:val="19"/>
        </w:rPr>
        <w:t>[[ ℘ &gt;&gt; BibleTOBIBLE:Ps 126:2]]</w:t>
      </w:r>
      <w:r>
        <w:rPr/>
        <w:t xml:space="preserve">„ </w:t>
      </w:r>
      <w:r>
        <w:rPr>
          <w:strike/>
          <w:color w:val="808080"/>
        </w:rPr>
        <w:t>{und (dessen)}</w:t>
      </w:r>
      <w:r>
        <w:rPr/>
        <w:t xml:space="preserve"> </w:t>
      </w:r>
      <w:r>
        <w:rPr>
          <w:rStyle w:val="Funotenanker"/>
        </w:rPr>
        <w:footnoteReference w:customMarkFollows="1" w:id="2092"/>
        <w:t>l</w:t>
      </w:r>
      <w:r>
        <w:rPr/>
        <w:t xml:space="preserve"> heilig </w:t>
      </w:r>
      <w:r>
        <w:rPr>
          <w:b/>
          <w:color w:val="808080"/>
        </w:rPr>
        <w:t>[</w:t>
      </w:r>
      <w:r>
        <w:rPr/>
        <w:t xml:space="preserve">ist </w:t>
      </w:r>
      <w:r>
        <w:rPr>
          <w:color w:val="808080"/>
        </w:rPr>
        <w:t>(sei)</w:t>
      </w:r>
      <w:r>
        <w:rPr>
          <w:b/>
          <w:color w:val="808080"/>
        </w:rPr>
        <w:t>]</w:t>
      </w:r>
      <w:r>
        <w:rPr/>
        <w:t xml:space="preserve"> sein Name </w:t>
      </w:r>
      <w:r>
        <w:rPr>
          <w:color w:val="808080"/>
        </w:rPr>
        <w:t>(er)</w:t>
      </w:r>
      <w:r>
        <w:rPr/>
        <w:t xml:space="preserve"> </w:t>
      </w:r>
      <w:r>
        <w:rPr>
          <w:rStyle w:val="Funotenanker"/>
        </w:rPr>
        <w:footnoteReference w:customMarkFollows="1" w:id="2093"/>
        <w:t>m</w:t>
      </w:r>
      <w:r>
        <w:rPr/>
        <w:t xml:space="preserve">! - </w:t>
      </w:r>
      <w:r>
        <w:rPr>
          <w:position w:val="8"/>
          <w:sz w:val="19"/>
        </w:rPr>
        <w:t>[[ ℘ &gt;&gt; BibleTOBIBLE:Ps 111:9]]</w:t>
      </w:r>
      <w:r>
        <w:rPr/>
        <w:t xml:space="preserve">“{{field-off:bible}} </w:t>
        <w:br/>
        <w:t>[[@BibleTOBIBLE:Lk 1:50]]</w:t>
      </w:r>
      <w:r>
        <w:rPr>
          <w:b/>
        </w:rPr>
        <w:t>50</w:t>
      </w:r>
      <w:r>
        <w:rPr/>
        <w:t xml:space="preserve"> {{field-on:bible}} </w:t>
      </w:r>
      <w:r>
        <w:rPr>
          <w:strike/>
          <w:color w:val="808080"/>
        </w:rPr>
        <w:t>{und}</w:t>
      </w:r>
      <w:r>
        <w:rPr/>
        <w:t xml:space="preserve"> </w:t>
      </w:r>
      <w:r>
        <w:rPr>
          <w:rStyle w:val="Funotenanker"/>
        </w:rPr>
        <w:footnoteReference w:customMarkFollows="1" w:id="2094"/>
        <w:t>n</w:t>
      </w:r>
      <w:r>
        <w:rPr/>
        <w:t xml:space="preserve"> seine Huld </w:t>
      </w:r>
      <w:r>
        <w:rPr>
          <w:color w:val="808080"/>
        </w:rPr>
        <w:t>(Gnade, Erbarmen, Barmherzigkeit)</w:t>
      </w:r>
      <w:r>
        <w:rPr/>
        <w:t xml:space="preserve"> </w:t>
      </w:r>
      <w:r>
        <w:rPr>
          <w:rStyle w:val="Funotenanker"/>
        </w:rPr>
        <w:footnoteReference w:customMarkFollows="1" w:id="2095"/>
        <w:t>o</w:t>
      </w:r>
      <w:r>
        <w:rPr/>
        <w:t xml:space="preserve"> </w:t>
      </w:r>
      <w:r>
        <w:rPr>
          <w:b/>
          <w:color w:val="808080"/>
        </w:rPr>
        <w:t>[</w:t>
      </w:r>
      <w:r>
        <w:rPr/>
        <w:t xml:space="preserve">ist </w:t>
      </w:r>
      <w:r>
        <w:rPr>
          <w:color w:val="808080"/>
        </w:rPr>
        <w:t>(währt, wird währen)</w:t>
      </w:r>
      <w:r>
        <w:rPr/>
        <w:t xml:space="preserve"> </w:t>
      </w:r>
      <w:r>
        <w:rPr>
          <w:rStyle w:val="Funotenanker"/>
        </w:rPr>
        <w:footnoteReference w:customMarkFollows="1" w:id="2096"/>
        <w:t>p</w:t>
      </w:r>
      <w:r>
        <w:rPr/>
        <w:t xml:space="preserve"> </w:t>
      </w:r>
      <w:r>
        <w:rPr>
          <w:b/>
          <w:color w:val="808080"/>
        </w:rPr>
        <w:t>]</w:t>
      </w:r>
      <w:r>
        <w:rPr/>
        <w:t xml:space="preserve"> in Generationen und Generationen </w:t>
      </w:r>
      <w:r>
        <w:rPr>
          <w:color w:val="808080"/>
        </w:rPr>
        <w:t>(alle Generationen, ewig)</w:t>
      </w:r>
      <w:r>
        <w:rPr/>
        <w:t>„ für jene, die ihn fürchten.</w:t>
      </w:r>
      <w:r>
        <w:rPr>
          <w:rStyle w:val="Funotenanker"/>
        </w:rPr>
        <w:footnoteReference w:customMarkFollows="1" w:id="2097"/>
        <w:t>q</w:t>
      </w:r>
      <w:r>
        <w:rPr/>
        <w:t xml:space="preserve"> </w:t>
      </w:r>
      <w:r>
        <w:rPr>
          <w:position w:val="8"/>
          <w:sz w:val="19"/>
        </w:rPr>
        <w:t>[[ ℘ &gt;&gt; BibleTOBIBLE:Dt 5:10]]</w:t>
      </w:r>
      <w:r>
        <w:rPr/>
        <w:t xml:space="preserve"> </w:t>
      </w:r>
      <w:r>
        <w:rPr>
          <w:position w:val="8"/>
          <w:sz w:val="19"/>
        </w:rPr>
        <w:t>[[ ℘ &gt;&gt; BibleTOBIBLE:Dt 7:9]]</w:t>
      </w:r>
      <w:r>
        <w:rPr/>
        <w:t xml:space="preserve"> </w:t>
      </w:r>
      <w:r>
        <w:rPr>
          <w:position w:val="8"/>
          <w:sz w:val="19"/>
        </w:rPr>
        <w:t>[[ ℘ &gt;&gt; BibleTOBIBLE:Ps 103:11]]</w:t>
      </w:r>
      <w:r>
        <w:rPr/>
        <w:t xml:space="preserve"> </w:t>
      </w:r>
      <w:r>
        <w:rPr>
          <w:position w:val="8"/>
          <w:sz w:val="19"/>
        </w:rPr>
        <w:t>[[ ℘ &gt;&gt; BibleTOBIBLE:Ps 103:13]]</w:t>
      </w:r>
      <w:r>
        <w:rPr/>
        <w:t xml:space="preserve"> </w:t>
      </w:r>
      <w:r>
        <w:rPr>
          <w:position w:val="8"/>
          <w:sz w:val="19"/>
        </w:rPr>
        <w:t>[[ ℘ &gt;&gt; BibleTOBIBLE:Ps 103:17]]</w:t>
      </w:r>
      <w:r>
        <w:rPr/>
        <w:t xml:space="preserve">“{{field-off:bible}} </w:t>
        <w:br/>
        <w:t>[[@BibleTOBIBLE:Lk 1:51]]</w:t>
      </w:r>
      <w:r>
        <w:rPr>
          <w:b/>
        </w:rPr>
        <w:t>51</w:t>
      </w:r>
      <w:r>
        <w:rPr/>
        <w:t xml:space="preserve"> {{field-on:bible}} </w:t>
      </w:r>
      <w:r>
        <w:rPr>
          <w:color w:val="808080"/>
        </w:rPr>
        <w:t>(</w:t>
      </w:r>
      <w:r>
        <w:rPr>
          <w:b/>
          <w:color w:val="808080"/>
        </w:rPr>
        <w:t>[</w:t>
      </w:r>
      <w:r>
        <w:rPr>
          <w:color w:val="808080"/>
        </w:rPr>
        <w:t>So hat er begonnen, zu tun, Nun wird er tun</w:t>
      </w:r>
      <w:r>
        <w:rPr>
          <w:b/>
          <w:color w:val="808080"/>
        </w:rPr>
        <w:t>]</w:t>
      </w:r>
      <w:r>
        <w:rPr>
          <w:color w:val="808080"/>
        </w:rPr>
        <w:t>)</w:t>
      </w:r>
      <w:r>
        <w:rPr/>
        <w:t xml:space="preserve"> </w:t>
      </w:r>
      <w:r>
        <w:rPr>
          <w:rStyle w:val="Funotenanker"/>
        </w:rPr>
        <w:footnoteReference w:customMarkFollows="1" w:id="2098"/>
        <w:t>r</w:t>
      </w:r>
      <w:r>
        <w:rPr/>
        <w:t xml:space="preserve"> Machttaten </w:t>
      </w:r>
      <w:r>
        <w:rPr>
          <w:color w:val="808080"/>
        </w:rPr>
        <w:t>(Gewalt, (seine) Herrschaft)</w:t>
      </w:r>
      <w:r>
        <w:rPr/>
        <w:t xml:space="preserve"> hat er getan </w:t>
      </w:r>
      <w:r>
        <w:rPr>
          <w:color w:val="808080"/>
        </w:rPr>
        <w:t>(ausgeübt)</w:t>
      </w:r>
      <w:r>
        <w:rPr/>
        <w:t xml:space="preserve"> </w:t>
      </w:r>
      <w:r>
        <w:rPr>
          <w:rStyle w:val="Funotenanker"/>
        </w:rPr>
        <w:footnoteReference w:customMarkFollows="1" w:id="2099"/>
        <w:t>s</w:t>
      </w:r>
      <w:r>
        <w:rPr/>
        <w:t xml:space="preserve"> mit seinem Arm </w:t>
      </w:r>
      <w:r>
        <w:rPr>
          <w:color w:val="808080"/>
        </w:rPr>
        <w:t>(Macht)</w:t>
      </w:r>
      <w:r>
        <w:rPr/>
        <w:t>:</w:t>
      </w:r>
      <w:r>
        <w:rPr>
          <w:rStyle w:val="Funotenanker"/>
        </w:rPr>
        <w:footnoteReference w:customMarkFollows="1" w:id="2100"/>
        <w:t>t</w:t>
      </w:r>
      <w:r>
        <w:rPr/>
        <w:t xml:space="preserve"> </w:t>
      </w:r>
      <w:r>
        <w:rPr>
          <w:position w:val="8"/>
          <w:sz w:val="19"/>
        </w:rPr>
        <w:t>[[ ℘ &gt;&gt; BibleTOBIBLE:Is 51:9]]</w:t>
      </w:r>
      <w:r>
        <w:rPr/>
        <w:t xml:space="preserve"> </w:t>
      </w:r>
      <w:r>
        <w:rPr>
          <w:position w:val="8"/>
          <w:sz w:val="19"/>
        </w:rPr>
        <w:t>[[ ℘ &gt;&gt; BibleTOBIBLE:Ps 44:4]]</w:t>
      </w:r>
      <w:r>
        <w:rPr/>
        <w:t xml:space="preserve"> </w:t>
      </w:r>
      <w:r>
        <w:rPr>
          <w:position w:val="8"/>
          <w:sz w:val="19"/>
        </w:rPr>
        <w:t>[[ ℘ &gt;&gt; BibleTOBIBLE:Ps 60:14]]</w:t>
      </w:r>
      <w:r>
        <w:rPr/>
        <w:t xml:space="preserve"> </w:t>
      </w:r>
      <w:r>
        <w:rPr>
          <w:position w:val="8"/>
          <w:sz w:val="19"/>
        </w:rPr>
        <w:t>[[ ℘ &gt;&gt; BibleTOBIBLE:Ps 89:11]]</w:t>
      </w:r>
      <w:r>
        <w:rPr/>
        <w:t xml:space="preserve"> </w:t>
      </w:r>
      <w:r>
        <w:rPr>
          <w:position w:val="8"/>
          <w:sz w:val="19"/>
        </w:rPr>
        <w:t>[[ ℘ &gt;&gt; BibleTOBIBLE:Ps 118:14]]</w:t>
      </w:r>
      <w:r>
        <w:rPr/>
        <w:t xml:space="preserve">„ er zerstreute </w:t>
      </w:r>
      <w:r>
        <w:rPr>
          <w:color w:val="808080"/>
        </w:rPr>
        <w:t>(machte zunichte)</w:t>
      </w:r>
      <w:r>
        <w:rPr/>
        <w:t xml:space="preserve"> </w:t>
      </w:r>
      <w:r>
        <w:rPr>
          <w:rStyle w:val="Funotenanker"/>
        </w:rPr>
        <w:footnoteReference w:customMarkFollows="1" w:id="2101"/>
        <w:t>u</w:t>
      </w:r>
      <w:r>
        <w:rPr/>
        <w:t xml:space="preserve"> Hochmütige </w:t>
      </w:r>
      <w:r>
        <w:rPr>
          <w:color w:val="808080"/>
        </w:rPr>
        <w:t>(Stolze)</w:t>
      </w:r>
      <w:r>
        <w:rPr/>
        <w:t xml:space="preserve"> </w:t>
      </w:r>
      <w:r>
        <w:rPr>
          <w:rStyle w:val="Funotenanker"/>
        </w:rPr>
        <w:footnoteReference w:customMarkFollows="1" w:id="2102"/>
        <w:t>v</w:t>
      </w:r>
      <w:r>
        <w:rPr/>
        <w:t xml:space="preserve"> an der Gesinnung ihres Gemüts </w:t>
      </w:r>
      <w:r>
        <w:rPr>
          <w:color w:val="808080"/>
        </w:rPr>
        <w:t>(Hochmütige)</w:t>
      </w:r>
      <w:r>
        <w:rPr/>
        <w:t xml:space="preserve"> </w:t>
      </w:r>
      <w:r>
        <w:rPr>
          <w:rStyle w:val="Funotenanker"/>
        </w:rPr>
        <w:footnoteReference w:customMarkFollows="1" w:id="2103"/>
        <w:t>w</w:t>
      </w:r>
      <w:r>
        <w:rPr/>
        <w:t xml:space="preserve"> </w:t>
      </w:r>
      <w:r>
        <w:rPr>
          <w:position w:val="8"/>
          <w:sz w:val="19"/>
        </w:rPr>
        <w:t>[[ ℘ &gt;&gt; BibleTOBIBLE:Nu 10:35]]</w:t>
      </w:r>
      <w:r>
        <w:rPr/>
        <w:t xml:space="preserve"> </w:t>
      </w:r>
      <w:r>
        <w:rPr>
          <w:position w:val="8"/>
          <w:sz w:val="19"/>
        </w:rPr>
        <w:t>[[ ℘ &gt;&gt; BibleTOBIBLE:Dt 28:63]]</w:t>
      </w:r>
      <w:r>
        <w:rPr/>
        <w:t xml:space="preserve"> </w:t>
      </w:r>
      <w:r>
        <w:rPr>
          <w:position w:val="8"/>
          <w:sz w:val="19"/>
        </w:rPr>
        <w:t>[[ ℘ &gt;&gt; BibleTOBIBLE:1Sa 11:11]]</w:t>
      </w:r>
      <w:r>
        <w:rPr/>
        <w:t xml:space="preserve"> </w:t>
      </w:r>
      <w:r>
        <w:rPr>
          <w:position w:val="8"/>
          <w:sz w:val="19"/>
        </w:rPr>
        <w:t>[[ ℘ &gt;&gt; BibleTOBIBLE:2Ki 25:5]]</w:t>
      </w:r>
      <w:r>
        <w:rPr/>
        <w:t xml:space="preserve"> </w:t>
      </w:r>
      <w:r>
        <w:rPr>
          <w:position w:val="8"/>
          <w:sz w:val="19"/>
        </w:rPr>
        <w:t>[[ ℘ &gt;&gt; BibleTOBIBLE:Je 9:15]]</w:t>
      </w:r>
      <w:r>
        <w:rPr/>
        <w:t xml:space="preserve"> </w:t>
      </w:r>
      <w:r>
        <w:rPr>
          <w:position w:val="8"/>
          <w:sz w:val="19"/>
        </w:rPr>
        <w:t>[[ ℘ &gt;&gt; BibleTOBIBLE:Je 18:17]]</w:t>
      </w:r>
      <w:r>
        <w:rPr/>
        <w:t xml:space="preserve"> </w:t>
      </w:r>
      <w:r>
        <w:rPr>
          <w:position w:val="8"/>
          <w:sz w:val="19"/>
        </w:rPr>
        <w:t>[[ ℘ &gt;&gt; BibleTOBIBLE:Je 40:15]]</w:t>
      </w:r>
      <w:r>
        <w:rPr/>
        <w:t xml:space="preserve"> </w:t>
      </w:r>
      <w:r>
        <w:rPr>
          <w:position w:val="8"/>
          <w:sz w:val="19"/>
        </w:rPr>
        <w:t>[[ ℘ &gt;&gt; BibleTOBIBLE:Eze 12:15]]</w:t>
      </w:r>
      <w:r>
        <w:rPr/>
        <w:t xml:space="preserve"> </w:t>
      </w:r>
      <w:r>
        <w:rPr>
          <w:position w:val="8"/>
          <w:sz w:val="19"/>
        </w:rPr>
        <w:t>[[ ℘ &gt;&gt; BibleTOBIBLE:Ps 68:2]]</w:t>
      </w:r>
      <w:r>
        <w:rPr/>
        <w:t xml:space="preserve"> </w:t>
      </w:r>
      <w:r>
        <w:rPr>
          <w:position w:val="8"/>
          <w:sz w:val="19"/>
        </w:rPr>
        <w:t>[[ ℘ &gt;&gt; BibleTOBIBLE:Ps 144:6]]</w:t>
      </w:r>
      <w:r>
        <w:rPr/>
        <w:t xml:space="preserve">;“{{field-off:bible}} </w:t>
        <w:br/>
        <w:t>[[@BibleTOBIBLE:Lk 1:52]]</w:t>
      </w:r>
      <w:r>
        <w:rPr>
          <w:b/>
        </w:rPr>
        <w:t>52</w:t>
      </w:r>
      <w:r>
        <w:rPr/>
        <w:t xml:space="preserve"> {{field-on:bible}}er stürzte Machthaber </w:t>
      </w:r>
      <w:r>
        <w:rPr>
          <w:color w:val="808080"/>
        </w:rPr>
        <w:t>(Mächtige)</w:t>
      </w:r>
      <w:r>
        <w:rPr/>
        <w:t xml:space="preserve"> </w:t>
      </w:r>
      <w:r>
        <w:rPr>
          <w:rStyle w:val="Funotenanker"/>
        </w:rPr>
        <w:footnoteReference w:customMarkFollows="1" w:id="2104"/>
        <w:t>x</w:t>
      </w:r>
      <w:r>
        <w:rPr/>
        <w:t xml:space="preserve"> von </w:t>
      </w:r>
      <w:r>
        <w:rPr>
          <w:b/>
          <w:color w:val="808080"/>
        </w:rPr>
        <w:t>[</w:t>
      </w:r>
      <w:r>
        <w:rPr/>
        <w:t>ihren</w:t>
      </w:r>
      <w:r>
        <w:rPr>
          <w:b/>
          <w:color w:val="808080"/>
        </w:rPr>
        <w:t>]</w:t>
      </w:r>
      <w:r>
        <w:rPr/>
        <w:t xml:space="preserve"> Thronen </w:t>
      </w:r>
      <w:r>
        <w:rPr>
          <w:b/>
          <w:color w:val="808080"/>
        </w:rPr>
        <w:t>[</w:t>
      </w:r>
      <w:r>
        <w:rPr/>
        <w:t>herab</w:t>
      </w:r>
      <w:r>
        <w:rPr>
          <w:b/>
          <w:color w:val="808080"/>
        </w:rPr>
        <w:t>]</w:t>
      </w:r>
      <w:r>
        <w:rPr/>
        <w:t xml:space="preserve"> </w:t>
      </w:r>
      <w:r>
        <w:rPr>
          <w:rStyle w:val="Funotenanker"/>
        </w:rPr>
        <w:footnoteReference w:customMarkFollows="1" w:id="2105"/>
        <w:t>y</w:t>
      </w:r>
      <w:r>
        <w:rPr/>
        <w:t>„ und erhöhte Arme;</w:t>
      </w:r>
      <w:r>
        <w:rPr>
          <w:position w:val="8"/>
          <w:sz w:val="19"/>
        </w:rPr>
        <w:t>[[ ℘ &gt;&gt; BibleTOBIBLE:1Sa 2:7]]</w:t>
      </w:r>
      <w:r>
        <w:rPr/>
        <w:t xml:space="preserve"> </w:t>
      </w:r>
      <w:r>
        <w:rPr>
          <w:position w:val="8"/>
          <w:sz w:val="19"/>
        </w:rPr>
        <w:t>[[ ℘ &gt;&gt; BibleTOBIBLE:Job 5:11]]</w:t>
      </w:r>
      <w:r>
        <w:rPr/>
        <w:t xml:space="preserve"> </w:t>
      </w:r>
      <w:r>
        <w:rPr>
          <w:position w:val="8"/>
          <w:sz w:val="19"/>
        </w:rPr>
        <w:t>[[ ℘ &gt;&gt; BibleTOBIBLE:Ps 75:8]]</w:t>
      </w:r>
      <w:r>
        <w:rPr/>
        <w:t xml:space="preserve"> </w:t>
      </w:r>
      <w:r>
        <w:rPr>
          <w:position w:val="8"/>
          <w:sz w:val="19"/>
        </w:rPr>
        <w:t>[[ ℘ &gt;&gt; BibleTOBIBLE:Ps 147:6]]</w:t>
      </w:r>
      <w:r>
        <w:rPr/>
        <w:t xml:space="preserve"> </w:t>
      </w:r>
      <w:r>
        <w:rPr>
          <w:position w:val="8"/>
          <w:sz w:val="19"/>
        </w:rPr>
        <w:t>[[ ℘ &gt;&gt; BibleTOBIBLE:Lk 4:18]]</w:t>
      </w:r>
      <w:r>
        <w:rPr/>
        <w:t xml:space="preserve"> </w:t>
      </w:r>
      <w:r>
        <w:rPr>
          <w:position w:val="8"/>
          <w:sz w:val="19"/>
        </w:rPr>
        <w:t>[[ ℘ &gt;&gt; BibleTOBIBLE:Lk 6:20]]</w:t>
      </w:r>
      <w:r>
        <w:rPr/>
        <w:t xml:space="preserve">“{{field-off:bible}} </w:t>
        <w:br/>
        <w:t>[[@BibleTOBIBLE:Lk 1:53]]</w:t>
      </w:r>
      <w:r>
        <w:rPr>
          <w:b/>
        </w:rPr>
        <w:t>53</w:t>
      </w:r>
      <w:r>
        <w:rPr/>
        <w:t xml:space="preserve"> {{field-on:bible}}Hungernde</w:t>
      </w:r>
      <w:r>
        <w:rPr>
          <w:rStyle w:val="Funotenanker"/>
        </w:rPr>
        <w:footnoteReference w:customMarkFollows="1" w:id="2106"/>
        <w:t>z</w:t>
      </w:r>
      <w:r>
        <w:rPr/>
        <w:t xml:space="preserve"> bereichert </w:t>
      </w:r>
      <w:r>
        <w:rPr>
          <w:color w:val="808080"/>
        </w:rPr>
        <w:t>(füllt, sättigt)</w:t>
      </w:r>
      <w:r>
        <w:rPr/>
        <w:t xml:space="preserve"> </w:t>
      </w:r>
      <w:r>
        <w:rPr>
          <w:rStyle w:val="Funotenanker"/>
        </w:rPr>
        <w:footnoteReference w:customMarkFollows="1" w:id="2107"/>
        <w:t>aa</w:t>
      </w:r>
      <w:r>
        <w:rPr/>
        <w:t xml:space="preserve"> er mit Gutem </w:t>
      </w:r>
      <w:r>
        <w:rPr>
          <w:color w:val="808080"/>
        </w:rPr>
        <w:t>(Gütern)</w:t>
      </w:r>
      <w:r>
        <w:rPr/>
        <w:t xml:space="preserve"> </w:t>
      </w:r>
      <w:r>
        <w:rPr>
          <w:position w:val="8"/>
          <w:sz w:val="19"/>
        </w:rPr>
        <w:t>[[ ℘ &gt;&gt; BibleTOBIBLE:Ps 107:9]]</w:t>
      </w:r>
      <w:r>
        <w:rPr/>
        <w:t xml:space="preserve"> </w:t>
      </w:r>
      <w:r>
        <w:rPr>
          <w:position w:val="8"/>
          <w:sz w:val="19"/>
        </w:rPr>
        <w:t>[[ ℘ &gt;&gt; BibleTOBIBLE:Lk 6:21]]</w:t>
      </w:r>
      <w:r>
        <w:rPr/>
        <w:t xml:space="preserve">„ und Reiche schickt er leer </w:t>
      </w:r>
      <w:r>
        <w:rPr>
          <w:color w:val="808080"/>
        </w:rPr>
        <w:t>(mit leeren Händen)</w:t>
      </w:r>
      <w:r>
        <w:rPr/>
        <w:t xml:space="preserve"> </w:t>
      </w:r>
      <w:r>
        <w:rPr>
          <w:rStyle w:val="Funotenanker"/>
        </w:rPr>
        <w:footnoteReference w:customMarkFollows="1" w:id="2108"/>
        <w:t>ab</w:t>
      </w:r>
      <w:r>
        <w:rPr/>
        <w:t xml:space="preserve"> fort.</w:t>
      </w:r>
      <w:r>
        <w:rPr>
          <w:position w:val="8"/>
          <w:sz w:val="19"/>
        </w:rPr>
        <w:t>[[ ℘ &gt;&gt; BibleTOBIBLE:1Sa 2:5]]</w:t>
      </w:r>
      <w:r>
        <w:rPr/>
        <w:t xml:space="preserve"> </w:t>
      </w:r>
      <w:r>
        <w:rPr>
          <w:position w:val="8"/>
          <w:sz w:val="19"/>
        </w:rPr>
        <w:t>[[ ℘ &gt;&gt; BibleTOBIBLE:Ps 34:11]]</w:t>
      </w:r>
      <w:r>
        <w:rPr/>
        <w:t xml:space="preserve">“{{field-off:bible}} </w:t>
        <w:br/>
        <w:t>[[@BibleTOBIBLE:Lk 1:54]]</w:t>
      </w:r>
      <w:r>
        <w:rPr>
          <w:b/>
        </w:rPr>
        <w:t>54</w:t>
      </w:r>
      <w:r>
        <w:rPr/>
        <w:t xml:space="preserve"> {{field-on:bible}}Er hat sich Israel, seines Sklaven </w:t>
      </w:r>
      <w:r>
        <w:rPr>
          <w:color w:val="808080"/>
        </w:rPr>
        <w:t>(Knaben, Knechtes)</w:t>
      </w:r>
      <w:r>
        <w:rPr/>
        <w:t xml:space="preserve"> angenommen:</w:t>
      </w:r>
      <w:r>
        <w:rPr>
          <w:rStyle w:val="Funotenanker"/>
        </w:rPr>
        <w:footnoteReference w:customMarkFollows="1" w:id="2109"/>
        <w:t>ac</w:t>
      </w:r>
      <w:r>
        <w:rPr/>
        <w:t xml:space="preserve"> </w:t>
      </w:r>
      <w:r>
        <w:rPr>
          <w:position w:val="8"/>
          <w:sz w:val="19"/>
        </w:rPr>
        <w:t>[[ ℘ &gt;&gt; BibleTOBIBLE:Is 41:8]]</w:t>
      </w:r>
      <w:r>
        <w:rPr/>
        <w:t xml:space="preserve"> </w:t>
      </w:r>
      <w:r>
        <w:rPr>
          <w:position w:val="8"/>
          <w:sz w:val="19"/>
        </w:rPr>
        <w:t>[[ ℘ &gt;&gt; BibleTOBIBLE:Is 42:1]]</w:t>
      </w:r>
      <w:r>
        <w:rPr/>
        <w:t xml:space="preserve"> </w:t>
      </w:r>
      <w:r>
        <w:rPr>
          <w:position w:val="8"/>
          <w:sz w:val="19"/>
        </w:rPr>
        <w:t>[[ ℘ &gt;&gt; BibleTOBIBLE:Is 44:21]]</w:t>
      </w:r>
      <w:r>
        <w:rPr/>
        <w:t xml:space="preserve"> </w:t>
      </w:r>
      <w:r>
        <w:rPr>
          <w:position w:val="8"/>
          <w:sz w:val="19"/>
        </w:rPr>
        <w:t>[[ ℘ &gt;&gt; BibleTOBIBLE:Is 49:3]]</w:t>
      </w:r>
      <w:r>
        <w:rPr/>
        <w:t xml:space="preserve"> </w:t>
      </w:r>
      <w:r>
        <w:rPr>
          <w:position w:val="8"/>
          <w:sz w:val="19"/>
        </w:rPr>
        <w:t>[[ ℘ &gt;&gt; BibleTOBIBLE:Lk 1:69]]</w:t>
      </w:r>
      <w:r>
        <w:rPr/>
        <w:t xml:space="preserve">„ er hat sich </w:t>
      </w:r>
      <w:r>
        <w:rPr>
          <w:color w:val="808080"/>
        </w:rPr>
        <w:t>(gnädig)</w:t>
      </w:r>
      <w:r>
        <w:rPr/>
        <w:t xml:space="preserve"> zugewandt </w:t>
      </w:r>
      <w:r>
        <w:rPr>
          <w:color w:val="808080"/>
        </w:rPr>
        <w:t>(hat gedacht an)</w:t>
      </w:r>
      <w:r>
        <w:rPr/>
        <w:t xml:space="preserve"> mit </w:t>
      </w:r>
      <w:r>
        <w:rPr>
          <w:b/>
          <w:color w:val="808080"/>
        </w:rPr>
        <w:t>[</w:t>
      </w:r>
      <w:r>
        <w:rPr/>
        <w:t>seiner</w:t>
      </w:r>
      <w:r>
        <w:rPr>
          <w:b/>
          <w:color w:val="808080"/>
        </w:rPr>
        <w:t>]</w:t>
      </w:r>
      <w:r>
        <w:rPr/>
        <w:t xml:space="preserve"> Huld </w:t>
      </w:r>
      <w:r>
        <w:rPr>
          <w:color w:val="808080"/>
        </w:rPr>
        <w:t>(huldvoll, was seine Huld angeht)</w:t>
      </w:r>
      <w:r>
        <w:rPr/>
        <w:t xml:space="preserve"> </w:t>
      </w:r>
      <w:r>
        <w:rPr>
          <w:position w:val="8"/>
          <w:sz w:val="19"/>
        </w:rPr>
        <w:t>[[ ℘ &gt;&gt; BibleTOBIBLE:Ge 30:22]]</w:t>
      </w:r>
      <w:r>
        <w:rPr/>
        <w:t xml:space="preserve"> </w:t>
      </w:r>
      <w:r>
        <w:rPr>
          <w:position w:val="8"/>
          <w:sz w:val="19"/>
        </w:rPr>
        <w:t>[[ ℘ &gt;&gt; BibleTOBIBLE:1Sa 1:11]][[ ℘ &gt;&gt; BibleTOBIBLE:1Sa 1:19]]</w:t>
      </w:r>
      <w:r>
        <w:rPr/>
        <w:t xml:space="preserve"> </w:t>
      </w:r>
      <w:r>
        <w:rPr>
          <w:position w:val="8"/>
          <w:sz w:val="19"/>
        </w:rPr>
        <w:t>[[ ℘ &gt;&gt; BibleTOBIBLE:2Sa 22:51]]</w:t>
      </w:r>
      <w:r>
        <w:rPr/>
        <w:t xml:space="preserve"> </w:t>
      </w:r>
      <w:r>
        <w:rPr>
          <w:position w:val="8"/>
          <w:sz w:val="19"/>
        </w:rPr>
        <w:t>[[ ℘ &gt;&gt; BibleTOBIBLE:Ps 89:3]]</w:t>
      </w:r>
      <w:r>
        <w:rPr/>
        <w:t xml:space="preserve"> -</w:t>
      </w:r>
      <w:r>
        <w:rPr>
          <w:rStyle w:val="Funotenanker"/>
        </w:rPr>
        <w:footnoteReference w:customMarkFollows="1" w:id="2110"/>
        <w:t>ad</w:t>
      </w:r>
      <w:r>
        <w:rPr/>
        <w:t xml:space="preserve"> “{{field-off:bible}} </w:t>
        <w:br/>
        <w:t>[[@BibleTOBIBLE:Lk 1:55]]</w:t>
      </w:r>
      <w:r>
        <w:rPr>
          <w:b/>
        </w:rPr>
        <w:t>55</w:t>
      </w:r>
      <w:r>
        <w:rPr/>
        <w:t xml:space="preserve"> {{field-on:bible}}wie er es </w:t>
      </w:r>
      <w:r>
        <w:rPr>
          <w:color w:val="808080"/>
        </w:rPr>
        <w:t>(ja auch)</w:t>
      </w:r>
      <w:r>
        <w:rPr/>
        <w:t xml:space="preserve"> unseren Vätern </w:t>
      </w:r>
      <w:r>
        <w:rPr>
          <w:color w:val="808080"/>
        </w:rPr>
        <w:t>(Vorfahren)</w:t>
      </w:r>
      <w:r>
        <w:rPr/>
        <w:t xml:space="preserve"> gesagt hat </w:t>
      </w:r>
      <w:r>
        <w:rPr>
          <w:color w:val="808080"/>
        </w:rPr>
        <w:t>(verheißen hat)</w:t>
      </w:r>
      <w:r>
        <w:rPr/>
        <w:t xml:space="preserve"> </w:t>
      </w:r>
      <w:r>
        <w:rPr>
          <w:rStyle w:val="Funotenanker"/>
        </w:rPr>
        <w:footnoteReference w:customMarkFollows="1" w:id="2111"/>
        <w:t>ae</w:t>
      </w:r>
      <w:r>
        <w:rPr/>
        <w:t xml:space="preserve"> </w:t>
      </w:r>
      <w:r>
        <w:rPr>
          <w:position w:val="8"/>
          <w:sz w:val="19"/>
        </w:rPr>
        <w:t>[[ ℘ &gt;&gt; BibleTOBIBLE:Mic 7:20]]</w:t>
      </w:r>
      <w:r>
        <w:rPr/>
        <w:t xml:space="preserve"> - „ </w:t>
      </w:r>
      <w:r>
        <w:rPr>
          <w:color w:val="808080"/>
        </w:rPr>
        <w:t>(für)</w:t>
      </w:r>
      <w:r>
        <w:rPr/>
        <w:t xml:space="preserve"> Abraham und seinem Samen </w:t>
      </w:r>
      <w:r>
        <w:rPr>
          <w:color w:val="808080"/>
        </w:rPr>
        <w:t>(seine Nachkommen)</w:t>
      </w:r>
      <w:r>
        <w:rPr/>
        <w:t xml:space="preserve"> auf ewig </w:t>
      </w:r>
      <w:r>
        <w:rPr>
          <w:color w:val="808080"/>
        </w:rPr>
        <w:t>(allen seinen Nachkommen, seiner ganzen Nachkommenschaft)</w:t>
      </w:r>
      <w:r>
        <w:rPr/>
        <w:t xml:space="preserve">. </w:t>
      </w:r>
      <w:r>
        <w:rPr>
          <w:position w:val="8"/>
          <w:sz w:val="19"/>
        </w:rPr>
        <w:t>[[ ℘ &gt;&gt; BibleTOBIBLE:Ge 17:7]]</w:t>
      </w:r>
      <w:r>
        <w:rPr/>
        <w:t xml:space="preserve"> </w:t>
      </w:r>
      <w:r>
        <w:rPr>
          <w:position w:val="8"/>
          <w:sz w:val="19"/>
        </w:rPr>
        <w:t>[[ ℘ &gt;&gt; BibleTOBIBLE:2Sa 22:51]]</w:t>
      </w:r>
      <w:r>
        <w:rPr/>
        <w:t xml:space="preserve"> </w:t>
      </w:r>
      <w:r>
        <w:rPr>
          <w:position w:val="8"/>
          <w:sz w:val="19"/>
        </w:rPr>
        <w:t>[[ ℘ &gt;&gt; BibleTOBIBLE:Mic 7:20]][[ ℘ &gt;&gt; BibleTOBIBLE:Lk 1:69]]</w:t>
      </w:r>
      <w:r>
        <w:rPr/>
        <w:t xml:space="preserve">“{{field-off:bible}}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2112"/>
        <w:t>Status</w:t>
      </w:r>
      <w:r>
        <w:rPr/>
        <w:t xml:space="preserve"> Im fünfzehnten Herrschaftsjahr </w:t>
      </w:r>
      <w:r>
        <w:rPr>
          <w:strike/>
          <w:color w:val="808080"/>
        </w:rPr>
        <w:t>{aber}</w:t>
      </w:r>
      <w:r>
        <w:rPr/>
        <w:t xml:space="preserve"> des Kaisers Tiberius, als</w:t>
      </w:r>
      <w:r>
        <w:rPr>
          <w:rStyle w:val="Funotenanker"/>
        </w:rPr>
        <w:footnoteReference w:customMarkFollows="1" w:id="2113"/>
        <w:t>a</w:t>
      </w:r>
      <w:r>
        <w:rPr/>
        <w:t xml:space="preserve"> Pontius Pilatus über Judäa herrschte und als Herodes Vierfürst </w:t>
      </w:r>
      <w:r>
        <w:rPr>
          <w:color w:val="808080"/>
        </w:rPr>
        <w:t>(Tetrarch)</w:t>
      </w:r>
      <w:r>
        <w:rPr/>
        <w:t xml:space="preserve"> </w:t>
      </w:r>
      <w:r>
        <w:rPr>
          <w:rStyle w:val="Funotenanker"/>
        </w:rPr>
        <w:footnoteReference w:customMarkFollows="1" w:id="2114"/>
        <w:t>b</w:t>
      </w:r>
      <w:r>
        <w:rPr/>
        <w:t xml:space="preserve"> über Galiläa war, sein Bruder Philippus aber Vierfürst über Ituräa und das trachonitische Gebiet und Lysanias Vierfürst über Abilene,{{field-off:bible}} </w:t>
        <w:br/>
        <w:t>[[@BibleTOBIBLE:Lk 3:2]]</w:t>
      </w:r>
      <w:r>
        <w:rPr>
          <w:b/>
        </w:rPr>
        <w:t>2</w:t>
      </w:r>
      <w:r>
        <w:rPr/>
        <w:t xml:space="preserve"> {{field-on:bible}}zur </w:t>
      </w:r>
      <w:r>
        <w:rPr>
          <w:b/>
          <w:color w:val="808080"/>
        </w:rPr>
        <w:t>[</w:t>
      </w:r>
      <w:r>
        <w:rPr/>
        <w:t>Zeit</w:t>
      </w:r>
      <w:r>
        <w:rPr>
          <w:b/>
          <w:color w:val="808080"/>
        </w:rPr>
        <w:t>]</w:t>
      </w:r>
      <w:r>
        <w:rPr/>
        <w:t xml:space="preserve"> der Hohenpriester Hannas und Kajaphas, kam Gottes Wort </w:t>
      </w:r>
      <w:r>
        <w:rPr>
          <w:color w:val="808080"/>
        </w:rPr>
        <w:t>(Rede, Sache)</w:t>
      </w:r>
      <w:r>
        <w:rPr/>
        <w:t xml:space="preserve"> über </w:t>
      </w:r>
      <w:r>
        <w:rPr>
          <w:color w:val="808080"/>
        </w:rPr>
        <w:t>(in die Gewalt von, zu)</w:t>
      </w:r>
      <w:r>
        <w:rPr/>
        <w:t xml:space="preserve"> Johannes, den Sohn des Zacharias, in der einsamen </w:t>
      </w:r>
      <w:r>
        <w:rPr>
          <w:b/>
          <w:color w:val="808080"/>
        </w:rPr>
        <w:t>[</w:t>
      </w:r>
      <w:r>
        <w:rPr/>
        <w:t>Gegend</w:t>
      </w:r>
      <w:r>
        <w:rPr>
          <w:b/>
          <w:color w:val="808080"/>
        </w:rPr>
        <w:t>]</w:t>
      </w:r>
      <w:r>
        <w:rPr/>
        <w:t xml:space="preserve">.{{field-off:bible}} </w:t>
        <w:br/>
        <w:t>[[@BibleTOBIBLE:Lk 3:3]]</w:t>
      </w:r>
      <w:r>
        <w:rPr>
          <w:b/>
        </w:rPr>
        <w:t>3</w:t>
      </w:r>
      <w:r>
        <w:rPr/>
        <w:t xml:space="preserve"> {{field-on:bible}}Und so ging er in das ganze Jordan-Umland und</w:t>
      </w:r>
      <w:r>
        <w:rPr>
          <w:rStyle w:val="Funotenanker"/>
        </w:rPr>
        <w:footnoteReference w:customMarkFollows="1" w:id="2115"/>
        <w:t>c</w:t>
      </w:r>
      <w:r>
        <w:rPr/>
        <w:t xml:space="preserve"> verkündete </w:t>
      </w:r>
      <w:r>
        <w:rPr>
          <w:color w:val="808080"/>
        </w:rPr>
        <w:t>(rief auf zu, machte bekannt)</w:t>
      </w:r>
      <w:r>
        <w:rPr/>
        <w:t xml:space="preserve"> eine Bußtaufe </w:t>
      </w:r>
      <w:r>
        <w:rPr>
          <w:color w:val="808080"/>
        </w:rPr>
        <w:t>(Untertauchen als Zeichen von Sinneswandel, Bad der Reue)</w:t>
      </w:r>
      <w:r>
        <w:rPr/>
        <w:t xml:space="preserve"> zur Sündenvergebung </w:t>
      </w:r>
      <w:r>
        <w:rPr>
          <w:color w:val="808080"/>
        </w:rPr>
        <w:t>(Lossprechung von Vergehen, Straferlass)</w:t>
      </w:r>
      <w:r>
        <w:rPr/>
        <w:t xml:space="preserve">,{{field-off:bible}} </w:t>
        <w:br/>
        <w:t>[[@BibleTOBIBLE:Lk 3:4]]</w:t>
      </w:r>
      <w:r>
        <w:rPr>
          <w:b/>
        </w:rPr>
        <w:t>4</w:t>
      </w:r>
      <w:r>
        <w:rPr/>
        <w:t xml:space="preserve"> {{field-on:bible}}wie es im Buch der Worte </w:t>
      </w:r>
      <w:r>
        <w:rPr>
          <w:color w:val="808080"/>
        </w:rPr>
        <w:t>(Erzählungen, Nachrichten)</w:t>
      </w:r>
      <w:r>
        <w:rPr/>
        <w:t xml:space="preserve"> des Propheten Jesaja steht </w:t>
      </w:r>
      <w:r>
        <w:rPr>
          <w:color w:val="808080"/>
        </w:rPr>
        <w:t>(aufgeschrieben ist)</w:t>
      </w:r>
      <w:r>
        <w:rPr/>
        <w:t xml:space="preserve"> </w:t>
      </w:r>
      <w:r>
        <w:rPr>
          <w:rStyle w:val="Funotenanker"/>
        </w:rPr>
        <w:footnoteReference w:customMarkFollows="1" w:id="2116"/>
        <w:t>d</w:t>
      </w:r>
      <w:r>
        <w:rPr/>
        <w:t xml:space="preserve">: </w:t>
        <w:br/>
        <w:t xml:space="preserve">„Eine Stimme eines Rufenden in der einsamen </w:t>
      </w:r>
      <w:r>
        <w:rPr>
          <w:b/>
          <w:color w:val="808080"/>
        </w:rPr>
        <w:t>[</w:t>
      </w:r>
      <w:r>
        <w:rPr/>
        <w:t>Gegend</w:t>
      </w:r>
      <w:r>
        <w:rPr>
          <w:b/>
          <w:color w:val="808080"/>
        </w:rPr>
        <w:t>]</w:t>
      </w:r>
      <w:r>
        <w:rPr/>
        <w:t xml:space="preserve"> </w:t>
      </w:r>
      <w:r>
        <w:rPr>
          <w:color w:val="808080"/>
        </w:rPr>
        <w:t>(Einöde, Steppe, Wüste)</w:t>
      </w:r>
      <w:r>
        <w:rPr/>
        <w:t>:</w:t>
        <w:br/>
        <w:t xml:space="preserve">Bereitet den Weg </w:t>
      </w:r>
      <w:r>
        <w:rPr>
          <w:color w:val="808080"/>
        </w:rPr>
        <w:t>(Straße, Strecke)</w:t>
      </w:r>
      <w:r>
        <w:rPr/>
        <w:t xml:space="preserve"> des Herrn vor,</w:t>
        <w:br/>
        <w:t xml:space="preserve">macht seine Straßen gerade </w:t>
      </w:r>
      <w:r>
        <w:rPr>
          <w:color w:val="808080"/>
        </w:rPr>
        <w:t>(eben)</w:t>
      </w:r>
      <w:r>
        <w:rPr/>
        <w:t>;</w:t>
        <w:br/>
        <w:t xml:space="preserve">{{field-off:bible}} </w:t>
        <w:br/>
        <w:t>[[@BibleTOBIBLE:Lk 3:5]]</w:t>
      </w:r>
      <w:r>
        <w:rPr>
          <w:b/>
        </w:rPr>
        <w:t>5</w:t>
      </w:r>
      <w:r>
        <w:rPr/>
        <w:t xml:space="preserve"> {{field-on:bible}} </w:t>
        <w:br/>
        <w:t xml:space="preserve">Jedes Tal wird </w:t>
      </w:r>
      <w:r>
        <w:rPr>
          <w:color w:val="808080"/>
        </w:rPr>
        <w:t>(soll)</w:t>
      </w:r>
      <w:r>
        <w:rPr/>
        <w:t xml:space="preserve"> ausgefüllt werden</w:t>
        <w:br/>
        <w:t xml:space="preserve">und jeder Berg und </w:t>
      </w:r>
      <w:r>
        <w:rPr>
          <w:b/>
          <w:color w:val="808080"/>
        </w:rPr>
        <w:t>[</w:t>
      </w:r>
      <w:r>
        <w:rPr/>
        <w:t>jeder</w:t>
      </w:r>
      <w:r>
        <w:rPr>
          <w:b/>
          <w:color w:val="808080"/>
        </w:rPr>
        <w:t>]</w:t>
      </w:r>
      <w:r>
        <w:rPr/>
        <w:t xml:space="preserve"> Hügel eingeebnet </w:t>
      </w:r>
      <w:r>
        <w:rPr>
          <w:color w:val="808080"/>
        </w:rPr>
        <w:t>(erniedrigt)</w:t>
      </w:r>
      <w:r>
        <w:rPr/>
        <w:t>,</w:t>
        <w:br/>
        <w:t xml:space="preserve">und das Krumme wird </w:t>
      </w:r>
      <w:r>
        <w:rPr>
          <w:color w:val="808080"/>
        </w:rPr>
        <w:t>(soll)</w:t>
      </w:r>
      <w:r>
        <w:rPr/>
        <w:t xml:space="preserve"> zu einer geradlinigen </w:t>
      </w:r>
      <w:r>
        <w:rPr>
          <w:b/>
          <w:color w:val="808080"/>
        </w:rPr>
        <w:t>[</w:t>
      </w:r>
      <w:r>
        <w:rPr/>
        <w:t>Straße</w:t>
      </w:r>
      <w:r>
        <w:rPr>
          <w:b/>
          <w:color w:val="808080"/>
        </w:rPr>
        <w:t>]</w:t>
      </w:r>
      <w:r>
        <w:rPr/>
        <w:t xml:space="preserve"> werden,</w:t>
        <w:br/>
        <w:t xml:space="preserve">und die holprigen </w:t>
      </w:r>
      <w:r>
        <w:rPr>
          <w:color w:val="808080"/>
        </w:rPr>
        <w:t>(bergigen, rauhen)</w:t>
      </w:r>
      <w:r>
        <w:rPr/>
        <w:t xml:space="preserve"> zu ebenen Wegen;</w:t>
        <w:br/>
        <w:t xml:space="preserve">{{field-off:bible}} </w:t>
        <w:br/>
        <w:t>[[@BibleTOBIBLE:Lk 3:6]]</w:t>
      </w:r>
      <w:r>
        <w:rPr>
          <w:b/>
        </w:rPr>
        <w:t>6</w:t>
      </w:r>
      <w:r>
        <w:rPr/>
        <w:t xml:space="preserve"> {{field-on:bible}} </w:t>
        <w:br/>
        <w:t xml:space="preserve">und alles Sterbliche </w:t>
      </w:r>
      <w:r>
        <w:rPr>
          <w:color w:val="808080"/>
        </w:rPr>
        <w:t>(alles Fleisch, jeder Leib, jeder Mensch)</w:t>
      </w:r>
      <w:r>
        <w:rPr/>
        <w:t xml:space="preserve"> wird </w:t>
      </w:r>
      <w:r>
        <w:rPr>
          <w:color w:val="808080"/>
        </w:rPr>
        <w:t>(soll)</w:t>
      </w:r>
      <w:r>
        <w:rPr/>
        <w:t xml:space="preserve"> Gottes Heil </w:t>
      </w:r>
      <w:r>
        <w:rPr>
          <w:color w:val="808080"/>
        </w:rPr>
        <w:t>(die Rettung durch Gott)</w:t>
      </w:r>
      <w:r>
        <w:rPr/>
        <w:t xml:space="preserve"> sehen </w:t>
      </w:r>
      <w:r>
        <w:rPr>
          <w:color w:val="808080"/>
        </w:rPr>
        <w:t>(erblicken, bemerken)</w:t>
      </w:r>
      <w:r>
        <w:rPr/>
        <w:t>.“</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w:t>
      </w:r>
      <w:r>
        <w:rPr>
          <w:rStyle w:val="Funotenanker"/>
        </w:rPr>
        <w:footnoteReference w:customMarkFollows="1" w:id="2117"/>
        <w:t>e</w:t>
      </w:r>
      <w:r>
        <w:rPr/>
        <w:t xml:space="preserve"> herauskamen </w:t>
      </w:r>
      <w:r>
        <w:rPr>
          <w:color w:val="808080"/>
        </w:rPr>
        <w:t>(herausgekommen waren)</w:t>
      </w:r>
      <w:r>
        <w:rPr/>
        <w:t xml:space="preserve">, um von ihm getauft </w:t>
      </w:r>
      <w:r>
        <w:rPr>
          <w:color w:val="808080"/>
        </w:rPr>
        <w:t>(untergetaucht)</w:t>
      </w:r>
      <w:r>
        <w:rPr/>
        <w:t xml:space="preserve"> zu werden: „</w:t>
      </w:r>
      <w:r>
        <w:rPr>
          <w:b/>
          <w:color w:val="808080"/>
        </w:rPr>
        <w:t>[</w:t>
      </w:r>
      <w:r>
        <w:rPr/>
        <w:t>Ihr</w:t>
      </w:r>
      <w:r>
        <w:rPr>
          <w:b/>
          <w:color w:val="808080"/>
        </w:rPr>
        <w:t>]</w:t>
      </w:r>
      <w:r>
        <w:rPr/>
        <w:t xml:space="preserve"> Brut von Giftschlangen, wer hat euch bewiesen </w:t>
      </w:r>
      <w:r>
        <w:rPr>
          <w:color w:val="808080"/>
        </w:rPr>
        <w:t>(gezeigt, angedeutet)</w:t>
      </w:r>
      <w:r>
        <w:rPr/>
        <w:t>, dass ihr dem kommenden Zorn entfliehen werdet</w:t>
      </w:r>
      <w:r>
        <w:rPr>
          <w:rStyle w:val="Funotenanker"/>
        </w:rPr>
        <w:footnoteReference w:customMarkFollows="1" w:id="2118"/>
        <w:t>f</w:t>
      </w:r>
      <w:r>
        <w:rPr/>
        <w:t xml:space="preserve">?{{field-off:bible}} </w:t>
        <w:br/>
        <w:t>[[@BibleTOBIBLE:Lk 3:8]]</w:t>
      </w:r>
      <w:r>
        <w:rPr>
          <w:b/>
        </w:rPr>
        <w:t>8</w:t>
      </w:r>
      <w:r>
        <w:rPr/>
        <w:t xml:space="preserve"> {{field-on:bible}}Bringt also angemessene Früchte der Buße </w:t>
      </w:r>
      <w:r>
        <w:rPr>
          <w:color w:val="808080"/>
        </w:rPr>
        <w:t>(Ertrag der Umkehr, Werke der Reue)</w:t>
      </w:r>
      <w:r>
        <w:rPr/>
        <w:t xml:space="preserve"> </w:t>
      </w:r>
      <w:r>
        <w:rPr>
          <w:rStyle w:val="Funotenanker"/>
        </w:rPr>
        <w:footnoteReference w:customMarkFollows="1" w:id="2119"/>
        <w:t>g</w:t>
      </w:r>
      <w:r>
        <w:rPr/>
        <w:t xml:space="preserve"> und fangt </w:t>
      </w:r>
      <w:r>
        <w:rPr>
          <w:b/>
          <w:color w:val="808080"/>
        </w:rPr>
        <w:t>[</w:t>
      </w:r>
      <w:r>
        <w:rPr/>
        <w:t>jetzt</w:t>
      </w:r>
      <w:r>
        <w:rPr>
          <w:b/>
          <w:color w:val="808080"/>
        </w:rPr>
        <w:t>]</w:t>
      </w:r>
      <w:r>
        <w:rPr/>
        <w:t xml:space="preserve"> nicht an, zueinander zu sagen: »</w:t>
      </w:r>
      <w:r>
        <w:rPr>
          <w:b/>
          <w:color w:val="808080"/>
        </w:rPr>
        <w:t>[</w:t>
      </w:r>
      <w:r>
        <w:rPr/>
        <w:t>Aber</w:t>
      </w:r>
      <w:r>
        <w:rPr>
          <w:b/>
          <w:color w:val="808080"/>
        </w:rPr>
        <w:t>]</w:t>
      </w:r>
      <w:r>
        <w:rPr/>
        <w:t xml:space="preserve"> wir haben </w:t>
      </w:r>
      <w:r>
        <w:rPr>
          <w:b/>
          <w:color w:val="808080"/>
        </w:rPr>
        <w:t>[</w:t>
      </w:r>
      <w:r>
        <w:rPr/>
        <w:t>doch</w:t>
      </w:r>
      <w:r>
        <w:rPr>
          <w:b/>
          <w:color w:val="808080"/>
        </w:rPr>
        <w:t>]</w:t>
      </w:r>
      <w:r>
        <w:rPr/>
        <w:t xml:space="preserve"> Abraham zum Vorfahr </w:t>
      </w:r>
      <w:r>
        <w:rPr>
          <w:color w:val="808080"/>
        </w:rPr>
        <w:t>(Vater)</w:t>
      </w:r>
      <w:r>
        <w:rPr/>
        <w:t xml:space="preserve">!« Denn ich sage euch: Gott kann aus diesen Steinen dem Abraham neue Nachfahren </w:t>
      </w:r>
      <w:r>
        <w:rPr>
          <w:color w:val="808080"/>
        </w:rPr>
        <w:t>(Kinder)</w:t>
      </w:r>
      <w:r>
        <w:rPr/>
        <w:t xml:space="preserve"> erwecken.{{field-off:bible}} </w:t>
        <w:br/>
        <w:t>[[@BibleTOBIBLE:Lk 3:9]]</w:t>
      </w:r>
      <w:r>
        <w:rPr>
          <w:b/>
        </w:rPr>
        <w:t>9</w:t>
      </w:r>
      <w:r>
        <w:rPr/>
        <w:t xml:space="preserve"> {{field-on:bible}}Es liegt </w:t>
      </w:r>
      <w:r>
        <w:rPr>
          <w:strike/>
          <w:color w:val="808080"/>
        </w:rPr>
        <w:t>{aber}</w:t>
      </w:r>
      <w:r>
        <w:rPr/>
        <w:t xml:space="preserve"> auch schon das Beil an der Wurzel der Bäume: Es wird nämlich </w:t>
      </w:r>
      <w:r>
        <w:rPr>
          <w:color w:val="808080"/>
        </w:rPr>
        <w:t>(also, nun)</w:t>
      </w:r>
      <w:r>
        <w:rPr/>
        <w:t xml:space="preserve"> jeder Baum, der keine gute Frucht bringt, gefällt und ins Feuer geworfen.“{{field-off:bible}} </w:t>
        <w:br/>
        <w:t>[[@BibleTOBIBLE:Lk 3:10]]</w:t>
      </w:r>
      <w:r>
        <w:rPr>
          <w:b/>
        </w:rPr>
        <w:t>10</w:t>
      </w:r>
      <w:r>
        <w:rPr/>
        <w:t xml:space="preserve"> {{field-on:bible}}Daraufhin fragten ihn die Menschenmengen </w:t>
      </w:r>
      <w:r>
        <w:rPr>
          <w:strike/>
          <w:color w:val="808080"/>
        </w:rPr>
        <w:t>{sagend}</w:t>
      </w:r>
      <w:r>
        <w:rPr/>
        <w:t xml:space="preserve">: „Was also sollen wir tun?“{{field-off:bible}} </w:t>
        <w:br/>
        <w:t>[[@BibleTOBIBLE:Lk 3:11]]</w:t>
      </w:r>
      <w:r>
        <w:rPr>
          <w:b/>
        </w:rPr>
        <w:t>11</w:t>
      </w:r>
      <w:r>
        <w:rPr/>
        <w:t xml:space="preserve"> {{field-on:bible}}Da er antwortete er </w:t>
      </w:r>
      <w:r>
        <w:rPr>
          <w:b/>
          <w:color w:val="808080"/>
        </w:rPr>
        <w:t>[</w:t>
      </w:r>
      <w:r>
        <w:rPr/>
        <w:t>jeweils</w:t>
      </w:r>
      <w:r>
        <w:rPr>
          <w:b/>
          <w:color w:val="808080"/>
        </w:rPr>
        <w:t>]</w:t>
      </w:r>
      <w:r>
        <w:rPr/>
        <w:t xml:space="preserve"> </w:t>
      </w:r>
      <w:r>
        <w:rPr>
          <w:rStyle w:val="Funotenanker"/>
        </w:rPr>
        <w:footnoteReference w:customMarkFollows="1" w:id="2120"/>
        <w:t>h</w:t>
      </w:r>
      <w:r>
        <w:rPr/>
        <w:t xml:space="preserve">: „Wer zwei Untergewänder </w:t>
      </w:r>
      <w:r>
        <w:rPr>
          <w:color w:val="808080"/>
        </w:rPr>
        <w:t>(Hemden)</w:t>
      </w:r>
      <w:r>
        <w:rPr/>
        <w:t xml:space="preserve"> hat, teile mit dem, der keines hat, und wer Essen hat, tue ebenso.“{{field-off:bible}} </w:t>
        <w:br/>
        <w:t>[[@BibleTOBIBLE:Lk 3:12]]</w:t>
      </w:r>
      <w:r>
        <w:rPr>
          <w:b/>
        </w:rPr>
        <w:t>12</w:t>
      </w:r>
      <w:r>
        <w:rPr/>
        <w:t xml:space="preserve"> {{field-on:bible}}Es kamen aber auch einige Zollpächter </w:t>
      </w:r>
      <w:r>
        <w:rPr>
          <w:color w:val="808080"/>
        </w:rPr>
        <w:t>(Zolleinnehmer)</w:t>
      </w:r>
      <w:r>
        <w:rPr/>
        <w:t xml:space="preserve">, um getauft </w:t>
      </w:r>
      <w:r>
        <w:rPr>
          <w:color w:val="808080"/>
        </w:rPr>
        <w:t>(eingetaucht, gewaschen)</w:t>
      </w:r>
      <w:r>
        <w:rPr/>
        <w:t xml:space="preserve"> zu werden, und sie sagten zu ihm: „Lehrer </w:t>
      </w:r>
      <w:r>
        <w:rPr>
          <w:color w:val="808080"/>
        </w:rPr>
        <w:t>(Meister, Ratgeber)</w:t>
      </w:r>
      <w:r>
        <w:rPr/>
        <w:t xml:space="preserve"> was sollen wir tun?“{{field-off:bible}} </w:t>
        <w:br/>
        <w:t>[[@BibleTOBIBLE:Lk 3:13]]</w:t>
      </w:r>
      <w:r>
        <w:rPr>
          <w:b/>
        </w:rPr>
        <w:t>13</w:t>
      </w:r>
      <w:r>
        <w:rPr/>
        <w:t xml:space="preserve"> {{field-on:bible}}Da sagte er zu ihnen: „Treibt </w:t>
      </w:r>
      <w:r>
        <w:rPr>
          <w:color w:val="808080"/>
        </w:rPr>
        <w:t>(fordert)</w:t>
      </w:r>
      <w:r>
        <w:rPr/>
        <w:t xml:space="preserve"> nicht mehr ein, als was euch angeordnet </w:t>
      </w:r>
      <w:r>
        <w:rPr>
          <w:color w:val="808080"/>
        </w:rPr>
        <w:t>(festgelegt)</w:t>
      </w:r>
      <w:r>
        <w:rPr/>
        <w:t xml:space="preserve"> ist.“{{field-off:bible}} </w:t>
        <w:br/>
        <w:t>[[@BibleTOBIBLE:Lk 3:14]]</w:t>
      </w:r>
      <w:r>
        <w:rPr>
          <w:b/>
        </w:rPr>
        <w:t>14</w:t>
      </w:r>
      <w:r>
        <w:rPr/>
        <w:t xml:space="preserve"> {{field-on:bible}}Wiederum fragten ihn </w:t>
      </w:r>
      <w:r>
        <w:rPr>
          <w:strike/>
          <w:color w:val="808080"/>
        </w:rPr>
        <w:t>{aber}</w:t>
      </w:r>
      <w:r>
        <w:rPr/>
        <w:t xml:space="preserve"> auch Soldaten </w:t>
      </w:r>
      <w:r>
        <w:rPr>
          <w:color w:val="808080"/>
        </w:rPr>
        <w:t>(Krieger in einem Feldzug)</w:t>
      </w:r>
      <w:r>
        <w:rPr/>
        <w:t xml:space="preserve"> </w:t>
      </w:r>
      <w:r>
        <w:rPr>
          <w:strike/>
          <w:color w:val="808080"/>
        </w:rPr>
        <w:t>{sagend}</w:t>
      </w:r>
      <w:r>
        <w:rPr/>
        <w:t xml:space="preserve">: „Was sollen denn wir tun?“ Und er sagte ihnen: „Nötigt </w:t>
      </w:r>
      <w:r>
        <w:rPr>
          <w:color w:val="808080"/>
        </w:rPr>
        <w:t>(misshandelt, erpresst)</w:t>
      </w:r>
      <w:r>
        <w:rPr/>
        <w:t xml:space="preserve"> nicht, schikaniert </w:t>
      </w:r>
      <w:r>
        <w:rPr>
          <w:color w:val="808080"/>
        </w:rPr>
        <w:t>(unterdrückt, betrügt)</w:t>
      </w:r>
      <w:r>
        <w:rPr/>
        <w:t xml:space="preserve"> auch nicht, und begnügt euch mit eurem Sold.“{{field-off:bible}} </w:t>
        <w:br/>
        <w:t>[[@BibleTOBIBLE:Lk 3:15]]</w:t>
      </w:r>
      <w:r>
        <w:rPr>
          <w:b/>
        </w:rPr>
        <w:t>15</w:t>
      </w:r>
      <w:r>
        <w:rPr/>
        <w:t xml:space="preserve"> {{field-on:bible}}Weil </w:t>
      </w:r>
      <w:r>
        <w:rPr>
          <w:color w:val="808080"/>
        </w:rPr>
        <w:t>(als)</w:t>
      </w:r>
      <w:r>
        <w:rPr/>
        <w:t xml:space="preserve"> aber die Volksmenge erwartungsvoll war und alle in ihren Herzen </w:t>
      </w:r>
      <w:r>
        <w:rPr>
          <w:color w:val="808080"/>
        </w:rPr>
        <w:t>(bei sich selbst, im Stillen)</w:t>
      </w:r>
      <w:r>
        <w:rPr/>
        <w:t xml:space="preserve"> überlegten </w:t>
      </w:r>
      <w:r>
        <w:rPr>
          <w:color w:val="808080"/>
        </w:rPr>
        <w:t>(vermuteten)</w:t>
      </w:r>
      <w:r>
        <w:rPr/>
        <w:t xml:space="preserve">, dass </w:t>
      </w:r>
      <w:r>
        <w:rPr>
          <w:color w:val="808080"/>
        </w:rPr>
        <w:t>(ob)</w:t>
      </w:r>
      <w:r>
        <w:rPr/>
        <w:t xml:space="preserve"> er vielleicht der Christus sei,{{field-off:bible}} </w:t>
        <w:br/>
        <w:t>[[@BibleTOBIBLE:Lk 3:16]]</w:t>
      </w:r>
      <w:r>
        <w:rPr>
          <w:b/>
        </w:rPr>
        <w:t>16</w:t>
      </w:r>
      <w:r>
        <w:rPr/>
        <w:t xml:space="preserve"> {{field-on:bible}}antwortete Johannes </w:t>
      </w:r>
      <w:r>
        <w:rPr>
          <w:b/>
          <w:color w:val="808080"/>
        </w:rPr>
        <w:t>[</w:t>
      </w:r>
      <w:r>
        <w:rPr/>
        <w:t>ihnen</w:t>
      </w:r>
      <w:r>
        <w:rPr>
          <w:b/>
          <w:color w:val="808080"/>
        </w:rPr>
        <w:t>]</w:t>
      </w:r>
      <w:r>
        <w:rPr/>
        <w:t xml:space="preserve"> allen </w:t>
      </w:r>
      <w:r>
        <w:rPr>
          <w:strike/>
          <w:color w:val="808080"/>
        </w:rPr>
        <w:t>{sagend}</w:t>
      </w:r>
      <w:r>
        <w:rPr/>
        <w:t xml:space="preserve">: „Ich meinerseits taufe </w:t>
      </w:r>
      <w:r>
        <w:rPr>
          <w:color w:val="808080"/>
        </w:rPr>
        <w:t>(tauche unter, wasche)</w:t>
      </w:r>
      <w:r>
        <w:rPr/>
        <w:t xml:space="preserve"> euch mit Wasser; es wird aber der kommen, der</w:t>
      </w:r>
      <w:r>
        <w:rPr>
          <w:rStyle w:val="Funotenanker"/>
        </w:rPr>
        <w:footnoteReference w:customMarkFollows="1" w:id="2121"/>
        <w:t>i</w:t>
      </w:r>
      <w:r>
        <w:rPr/>
        <w:t xml:space="preserve"> stärker ist als ich; ich bin unwürdig, diesem</w:t>
      </w:r>
      <w:r>
        <w:rPr>
          <w:rStyle w:val="Funotenanker"/>
        </w:rPr>
        <w:footnoteReference w:customMarkFollows="1" w:id="2122"/>
        <w:t>j</w:t>
      </w:r>
      <w:r>
        <w:rPr/>
        <w:t xml:space="preserve"> </w:t>
      </w:r>
      <w:r>
        <w:rPr>
          <w:b/>
          <w:color w:val="808080"/>
        </w:rPr>
        <w:t>[</w:t>
      </w:r>
      <w:r>
        <w:rPr/>
        <w:t>auch nur</w:t>
      </w:r>
      <w:r>
        <w:rPr>
          <w:b/>
          <w:color w:val="808080"/>
        </w:rPr>
        <w:t>]</w:t>
      </w:r>
      <w:r>
        <w:rPr/>
        <w:t xml:space="preserve"> die Riemen der Schuhe </w:t>
      </w:r>
      <w:r>
        <w:rPr>
          <w:color w:val="808080"/>
        </w:rPr>
        <w:t>(Sandalen)</w:t>
      </w:r>
      <w:r>
        <w:rPr/>
        <w:t xml:space="preserve"> zu lösen</w:t>
      </w:r>
      <w:r>
        <w:rPr>
          <w:rStyle w:val="Funotenanker"/>
        </w:rPr>
        <w:footnoteReference w:customMarkFollows="1" w:id="2123"/>
        <w:t>k</w:t>
      </w:r>
      <w:r>
        <w:rPr/>
        <w:t xml:space="preserve">; der wird euch taufen </w:t>
      </w:r>
      <w:r>
        <w:rPr>
          <w:color w:val="808080"/>
        </w:rPr>
        <w:t>(eintauchen, waschen)</w:t>
      </w:r>
      <w:r>
        <w:rPr/>
        <w:t xml:space="preserve"> in </w:t>
      </w:r>
      <w:r>
        <w:rPr>
          <w:color w:val="808080"/>
        </w:rPr>
        <w:t>(mit)</w:t>
      </w:r>
      <w:r>
        <w:rPr/>
        <w:t xml:space="preserve"> heiligem Geist und Feuer;{{field-off:bible}} </w:t>
        <w:br/>
        <w:t>[[@BibleTOBIBLE:Lk 3:17]]</w:t>
      </w:r>
      <w:r>
        <w:rPr>
          <w:b/>
        </w:rPr>
        <w:t>17</w:t>
      </w:r>
      <w:r>
        <w:rPr/>
        <w:t xml:space="preserve"> {{field-on:bible}}dieser </w:t>
      </w:r>
      <w:r>
        <w:rPr>
          <w:color w:val="808080"/>
        </w:rPr>
        <w:t>(er)</w:t>
      </w:r>
      <w:r>
        <w:rPr/>
        <w:t xml:space="preserve"> </w:t>
      </w:r>
      <w:r>
        <w:rPr>
          <w:b/>
          <w:color w:val="808080"/>
        </w:rPr>
        <w:t>[</w:t>
      </w:r>
      <w:r>
        <w:rPr/>
        <w:t>hält bereits</w:t>
      </w:r>
      <w:r>
        <w:rPr>
          <w:b/>
          <w:color w:val="808080"/>
        </w:rPr>
        <w:t>]</w:t>
      </w:r>
      <w:r>
        <w:rPr/>
        <w:t xml:space="preserve"> die Worfschaufel</w:t>
      </w:r>
      <w:r>
        <w:rPr>
          <w:rStyle w:val="Funotenanker"/>
        </w:rPr>
        <w:footnoteReference w:customMarkFollows="1" w:id="2124"/>
        <w:t>l</w:t>
      </w:r>
      <w:r>
        <w:rPr/>
        <w:t xml:space="preserve"> in seiner Hand, um seine Tenne </w:t>
      </w:r>
      <w:r>
        <w:rPr>
          <w:color w:val="808080"/>
        </w:rPr>
        <w:t>(Dreschplatz)</w:t>
      </w:r>
      <w:r>
        <w:rPr/>
        <w:t xml:space="preserve"> zu reinigen und das Korn in seiner Scheune zu sammeln, das Stroh </w:t>
      </w:r>
      <w:r>
        <w:rPr>
          <w:color w:val="808080"/>
        </w:rPr>
        <w:t>(Streu)</w:t>
      </w:r>
      <w:r>
        <w:rPr/>
        <w:t xml:space="preserve"> aber wird er verbrennen mit unauslöschbarem Feuer.“{{field-off:bible}} </w:t>
        <w:br/>
        <w:t>[[@BibleTOBIBLE:Lk 3:18]]</w:t>
      </w:r>
      <w:r>
        <w:rPr>
          <w:b/>
        </w:rPr>
        <w:t>18</w:t>
      </w:r>
      <w:r>
        <w:rPr/>
        <w:t xml:space="preserve"> {{field-on:bible}}Und so noch zu vielen anderen Dingen aufrufend </w:t>
      </w:r>
      <w:r>
        <w:rPr>
          <w:color w:val="808080"/>
        </w:rPr>
        <w:t>(ermahnend)</w:t>
      </w:r>
      <w:r>
        <w:rPr/>
        <w:t xml:space="preserve">, verkündete er </w:t>
      </w:r>
      <w:r>
        <w:rPr>
          <w:b/>
          <w:color w:val="808080"/>
        </w:rPr>
        <w:t>[</w:t>
      </w:r>
      <w:r>
        <w:rPr/>
        <w:t>die</w:t>
      </w:r>
      <w:r>
        <w:rPr>
          <w:b/>
          <w:color w:val="808080"/>
        </w:rPr>
        <w:t>]</w:t>
      </w:r>
      <w:r>
        <w:rPr/>
        <w:t xml:space="preserve"> frohe Botschaft </w:t>
      </w:r>
      <w:r>
        <w:rPr>
          <w:color w:val="808080"/>
        </w:rPr>
        <w:t>(brachte er gute Nachricht, machte er das Evangelium bekannt)</w:t>
      </w:r>
      <w:r>
        <w:rPr/>
        <w:t xml:space="preserve"> der Volksmenge.{{field-off:bible}} </w:t>
        <w:br/>
        <w:t>[[@BibleTOBIBLE:Lk 3:19]]</w:t>
      </w:r>
      <w:r>
        <w:rPr>
          <w:b/>
        </w:rPr>
        <w:t>19</w:t>
      </w:r>
      <w:r>
        <w:rPr/>
        <w:t xml:space="preserve"> {{field-on:bible}}Der Vierfürst </w:t>
      </w:r>
      <w:r>
        <w:rPr>
          <w:color w:val="808080"/>
        </w:rPr>
        <w:t>(Tetrarch)</w:t>
      </w:r>
      <w:r>
        <w:rPr/>
        <w:t xml:space="preserve"> Herodes aber – der </w:t>
      </w:r>
      <w:r>
        <w:rPr>
          <w:color w:val="808080"/>
        </w:rPr>
        <w:t>(weil er, nachdem er)</w:t>
      </w:r>
      <w:r>
        <w:rPr/>
        <w:t xml:space="preserve"> kritisiert </w:t>
      </w:r>
      <w:r>
        <w:rPr>
          <w:color w:val="808080"/>
        </w:rPr>
        <w:t>(beschimpft, getadelt)</w:t>
      </w:r>
      <w:r>
        <w:rPr/>
        <w:t xml:space="preserve"> worden war von ihm </w:t>
      </w:r>
      <w:r>
        <w:rPr>
          <w:color w:val="808080"/>
        </w:rPr>
        <w:t>(Johannes)</w:t>
      </w:r>
      <w:r>
        <w:rPr/>
        <w:t xml:space="preserve"> wegen Herodias, der Frau seines Bruders, und wegen allem, was Herodes an bösen Dingen getan hatte –{{field-off:bible}} </w:t>
        <w:br/>
        <w:t>[[@BibleTOBIBLE:Lk 3:20]]</w:t>
      </w:r>
      <w:r>
        <w:rPr>
          <w:b/>
        </w:rPr>
        <w:t>20</w:t>
      </w:r>
      <w:r>
        <w:rPr/>
        <w:t xml:space="preserve"> {{field-on:bible}}fügte auch noch dieses zu allem hinzu: </w:t>
      </w:r>
      <w:r>
        <w:rPr>
          <w:strike/>
          <w:color w:val="808080"/>
        </w:rPr>
        <w:t>{und}</w:t>
      </w:r>
      <w:r>
        <w:rPr/>
        <w:t xml:space="preserve"> er sperrte Johannes in ein Gefängnis.{{field-off:bible}} </w:t>
        <w:br/>
        <w:t>[[@BibleTOBIBLE:Lk 3:21]]</w:t>
      </w:r>
      <w:r>
        <w:rPr>
          <w:b/>
        </w:rPr>
        <w:t>21</w:t>
      </w:r>
      <w:r>
        <w:rPr/>
        <w:t xml:space="preserve"> {{field-on:bible}}Beim Getauft-Werden </w:t>
      </w:r>
      <w:r>
        <w:rPr>
          <w:color w:val="808080"/>
        </w:rPr>
        <w:t>(Untergetaucht-Werden)</w:t>
      </w:r>
      <w:r>
        <w:rPr/>
        <w:t xml:space="preserve"> des ganzen Volkes, als </w:t>
      </w:r>
      <w:r>
        <w:rPr>
          <w:color w:val="808080"/>
        </w:rPr>
        <w:t>(während, weil)</w:t>
      </w:r>
      <w:r>
        <w:rPr/>
        <w:t xml:space="preserve"> </w:t>
      </w:r>
      <w:r>
        <w:rPr>
          <w:rStyle w:val="Funotenanker"/>
        </w:rPr>
        <w:footnoteReference w:customMarkFollows="1" w:id="2125"/>
        <w:t>m</w:t>
      </w:r>
      <w:r>
        <w:rPr/>
        <w:t xml:space="preserve"> auch Jesus getauft </w:t>
      </w:r>
      <w:r>
        <w:rPr>
          <w:color w:val="808080"/>
        </w:rPr>
        <w:t>(untergetauft)</w:t>
      </w:r>
      <w:r>
        <w:rPr/>
        <w:t xml:space="preserve"> wurde und betete, da geschah es, dass der Himmel geöffnet wurde{{field-off:bible}} </w:t>
        <w:br/>
        <w:t>[[@BibleTOBIBLE:Lk 3:22]]</w:t>
      </w:r>
      <w:r>
        <w:rPr>
          <w:b/>
        </w:rPr>
        <w:t>22</w:t>
      </w:r>
      <w:r>
        <w:rPr/>
        <w:t xml:space="preserve"> {{field-on:bible}}und dass der heilige Geist in leiblicher Gestalt </w:t>
      </w:r>
      <w:r>
        <w:rPr>
          <w:color w:val="808080"/>
        </w:rPr>
        <w:t>(körperlichem Aussehen)</w:t>
      </w:r>
      <w:r>
        <w:rPr/>
        <w:t xml:space="preserve"> wie eine Taube </w:t>
      </w:r>
      <w:r>
        <w:rPr>
          <w:color w:val="808080"/>
        </w:rPr>
        <w:t>(als Taube)</w:t>
      </w:r>
      <w:r>
        <w:rPr/>
        <w:t xml:space="preserve"> auf ihn herabkam und dass eine Stimme aus dem Himmel erklang </w:t>
      </w:r>
      <w:r>
        <w:rPr>
          <w:color w:val="808080"/>
        </w:rPr>
        <w:t>(geschah, sich ereignete)</w:t>
      </w:r>
      <w:r>
        <w:rPr/>
        <w:t xml:space="preserve">: „Du bist mein geliebter Sohn, an dir habe ich Gefallen gefunden </w:t>
      </w:r>
      <w:r>
        <w:rPr>
          <w:color w:val="808080"/>
        </w:rPr>
        <w:t>(du hast mich erfreut)</w:t>
      </w:r>
      <w:r>
        <w:rPr/>
        <w:t xml:space="preserve">.“{{field-off:bible}} </w:t>
        <w:br/>
        <w:t>[[@BibleTOBIBLE:Lk 3:23]]</w:t>
      </w:r>
      <w:r>
        <w:rPr>
          <w:b/>
        </w:rPr>
        <w:t>23</w:t>
      </w:r>
      <w:r>
        <w:rPr/>
        <w:t xml:space="preserve"> {{field-on:bible}}Und er, Jesus, war zu Beginn </w:t>
      </w:r>
      <w:r>
        <w:rPr>
          <w:color w:val="808080"/>
        </w:rPr>
        <w:t>(bei seinem ersten Auftreten)</w:t>
      </w:r>
      <w:r>
        <w:rPr/>
        <w:t xml:space="preserve"> ungefähr 30 Jahre alt und war</w:t>
      </w:r>
      <w:r>
        <w:rPr>
          <w:rStyle w:val="Funotenanker"/>
        </w:rPr>
        <w:footnoteReference w:customMarkFollows="1" w:id="2126"/>
        <w:t>n</w:t>
      </w:r>
      <w:r>
        <w:rPr/>
        <w:t xml:space="preserve"> ein Sohn – wie man dachte </w:t>
      </w:r>
      <w:r>
        <w:rPr>
          <w:color w:val="808080"/>
        </w:rPr>
        <w:t>(glaubte)</w:t>
      </w:r>
      <w:r>
        <w:rPr/>
        <w:t xml:space="preserve"> – von Joseph, </w:t>
      </w:r>
      <w:r>
        <w:rPr>
          <w:b/>
          <w:color w:val="808080"/>
        </w:rPr>
        <w:t>[</w:t>
      </w:r>
      <w:r>
        <w:rPr/>
        <w:t>ein Sohn</w:t>
      </w:r>
      <w:r>
        <w:rPr>
          <w:b/>
          <w:color w:val="808080"/>
        </w:rPr>
        <w:t>]</w:t>
      </w:r>
      <w:r>
        <w:rPr/>
        <w:t xml:space="preserve"> von Eli,{{field-off:bible}} </w:t>
        <w:br/>
        <w:t>[[@BibleTOBIBLE:Lk 3:24]]</w:t>
      </w:r>
      <w:r>
        <w:rPr>
          <w:b/>
        </w:rPr>
        <w:t>24</w:t>
      </w:r>
      <w:r>
        <w:rPr/>
        <w:t xml:space="preserve"> {{field-on:bible}}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Levi,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Jannai, </w:t>
      </w:r>
      <w:r>
        <w:rPr>
          <w:b/>
          <w:color w:val="808080"/>
        </w:rPr>
        <w:t>[</w:t>
      </w:r>
      <w:r>
        <w:rPr/>
        <w:t>ein Sohn</w:t>
      </w:r>
      <w:r>
        <w:rPr>
          <w:b/>
          <w:color w:val="808080"/>
        </w:rPr>
        <w:t>]</w:t>
      </w:r>
      <w:r>
        <w:rPr/>
        <w:t xml:space="preserve"> von Josef,{{field-off:bible}} </w:t>
        <w:br/>
        <w:t>[[@BibleTOBIBLE:Lk 3:25]]</w:t>
      </w:r>
      <w:r>
        <w:rPr>
          <w:b/>
        </w:rPr>
        <w:t>25</w:t>
      </w:r>
      <w:r>
        <w:rPr/>
        <w:t xml:space="preserve"> {{field-on:bible}}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Amos, </w:t>
      </w:r>
      <w:r>
        <w:rPr>
          <w:b/>
          <w:color w:val="808080"/>
        </w:rPr>
        <w:t>[</w:t>
      </w:r>
      <w:r>
        <w:rPr/>
        <w:t>ein Sohn</w:t>
      </w:r>
      <w:r>
        <w:rPr>
          <w:b/>
          <w:color w:val="808080"/>
        </w:rPr>
        <w:t>]</w:t>
      </w:r>
      <w:r>
        <w:rPr/>
        <w:t xml:space="preserve"> von Nahum, </w:t>
      </w:r>
      <w:r>
        <w:rPr>
          <w:b/>
          <w:color w:val="808080"/>
        </w:rPr>
        <w:t>[</w:t>
      </w:r>
      <w:r>
        <w:rPr/>
        <w:t>ein Sohn</w:t>
      </w:r>
      <w:r>
        <w:rPr>
          <w:b/>
          <w:color w:val="808080"/>
        </w:rPr>
        <w:t>]</w:t>
      </w:r>
      <w:r>
        <w:rPr/>
        <w:t xml:space="preserve"> von Hesli, </w:t>
      </w:r>
      <w:r>
        <w:rPr>
          <w:b/>
          <w:color w:val="808080"/>
        </w:rPr>
        <w:t>[</w:t>
      </w:r>
      <w:r>
        <w:rPr/>
        <w:t>ein Sohn</w:t>
      </w:r>
      <w:r>
        <w:rPr>
          <w:b/>
          <w:color w:val="808080"/>
        </w:rPr>
        <w:t>]</w:t>
      </w:r>
      <w:r>
        <w:rPr/>
        <w:t xml:space="preserve"> von Naggai,{{field-off:bible}} </w:t>
        <w:br/>
        <w:t>[[@BibleTOBIBLE:Lk 3:26]]</w:t>
      </w:r>
      <w:r>
        <w:rPr>
          <w:b/>
        </w:rPr>
        <w:t>26</w:t>
      </w:r>
      <w:r>
        <w:rPr/>
        <w:t xml:space="preserve"> {{field-on:bible}} </w:t>
      </w:r>
      <w:r>
        <w:rPr>
          <w:b/>
          <w:color w:val="808080"/>
        </w:rPr>
        <w:t>[</w:t>
      </w:r>
      <w:r>
        <w:rPr/>
        <w:t>ein Sohn</w:t>
      </w:r>
      <w:r>
        <w:rPr>
          <w:b/>
          <w:color w:val="808080"/>
        </w:rPr>
        <w:t>]</w:t>
      </w:r>
      <w:r>
        <w:rPr/>
        <w:t xml:space="preserve"> von Mahat,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Schimi, </w:t>
      </w:r>
      <w:r>
        <w:rPr>
          <w:b/>
          <w:color w:val="808080"/>
        </w:rPr>
        <w:t>[</w:t>
      </w:r>
      <w:r>
        <w:rPr/>
        <w:t>ein Sohn</w:t>
      </w:r>
      <w:r>
        <w:rPr>
          <w:b/>
          <w:color w:val="808080"/>
        </w:rPr>
        <w:t>]</w:t>
      </w:r>
      <w:r>
        <w:rPr/>
        <w:t xml:space="preserve"> von Josech, </w:t>
      </w:r>
      <w:r>
        <w:rPr>
          <w:b/>
          <w:color w:val="808080"/>
        </w:rPr>
        <w:t>[</w:t>
      </w:r>
      <w:r>
        <w:rPr/>
        <w:t>ein Sohn</w:t>
      </w:r>
      <w:r>
        <w:rPr>
          <w:b/>
          <w:color w:val="808080"/>
        </w:rPr>
        <w:t>]</w:t>
      </w:r>
      <w:r>
        <w:rPr/>
        <w:t xml:space="preserve"> von Joda,{{field-off:bible}} </w:t>
        <w:br/>
        <w:t>[[@BibleTOBIBLE:Lk 3:27]]</w:t>
      </w:r>
      <w:r>
        <w:rPr>
          <w:b/>
        </w:rPr>
        <w:t>27</w:t>
      </w:r>
      <w:r>
        <w:rPr/>
        <w:t xml:space="preserve"> {{field-on:bible}} </w:t>
      </w:r>
      <w:r>
        <w:rPr>
          <w:b/>
          <w:color w:val="808080"/>
        </w:rPr>
        <w:t>[</w:t>
      </w:r>
      <w:r>
        <w:rPr/>
        <w:t>ein Sohn</w:t>
      </w:r>
      <w:r>
        <w:rPr>
          <w:b/>
          <w:color w:val="808080"/>
        </w:rPr>
        <w:t>]</w:t>
      </w:r>
      <w:r>
        <w:rPr/>
        <w:t xml:space="preserve"> von Johanan, </w:t>
      </w:r>
      <w:r>
        <w:rPr>
          <w:b/>
          <w:color w:val="808080"/>
        </w:rPr>
        <w:t>[</w:t>
      </w:r>
      <w:r>
        <w:rPr/>
        <w:t>ein Sohn</w:t>
      </w:r>
      <w:r>
        <w:rPr>
          <w:b/>
          <w:color w:val="808080"/>
        </w:rPr>
        <w:t>]</w:t>
      </w:r>
      <w:r>
        <w:rPr/>
        <w:t xml:space="preserve"> von Resa, </w:t>
      </w:r>
      <w:r>
        <w:rPr>
          <w:b/>
          <w:color w:val="808080"/>
        </w:rPr>
        <w:t>[</w:t>
      </w:r>
      <w:r>
        <w:rPr/>
        <w:t>ein Sohn</w:t>
      </w:r>
      <w:r>
        <w:rPr>
          <w:b/>
          <w:color w:val="808080"/>
        </w:rPr>
        <w:t>]</w:t>
      </w:r>
      <w:r>
        <w:rPr/>
        <w:t xml:space="preserve"> von Serubbabel, </w:t>
      </w:r>
      <w:r>
        <w:rPr>
          <w:b/>
          <w:color w:val="808080"/>
        </w:rPr>
        <w:t>[</w:t>
      </w:r>
      <w:r>
        <w:rPr/>
        <w:t>ein Sohn</w:t>
      </w:r>
      <w:r>
        <w:rPr>
          <w:b/>
          <w:color w:val="808080"/>
        </w:rPr>
        <w:t>]</w:t>
      </w:r>
      <w:r>
        <w:rPr/>
        <w:t xml:space="preserve"> von Schealtiël, </w:t>
      </w:r>
      <w:r>
        <w:rPr>
          <w:b/>
          <w:color w:val="808080"/>
        </w:rPr>
        <w:t>[</w:t>
      </w:r>
      <w:r>
        <w:rPr/>
        <w:t>ein Sohn</w:t>
      </w:r>
      <w:r>
        <w:rPr>
          <w:b/>
          <w:color w:val="808080"/>
        </w:rPr>
        <w:t>]</w:t>
      </w:r>
      <w:r>
        <w:rPr/>
        <w:t xml:space="preserve"> von Neri,{{field-off:bible}} </w:t>
        <w:br/>
        <w:t>[[@BibleTOBIBLE:Lk 3:28]]</w:t>
      </w:r>
      <w:r>
        <w:rPr>
          <w:b/>
        </w:rPr>
        <w:t>28</w:t>
      </w:r>
      <w:r>
        <w:rPr/>
        <w:t xml:space="preserve"> {{field-on:bible}}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Addi, </w:t>
      </w:r>
      <w:r>
        <w:rPr>
          <w:b/>
          <w:color w:val="808080"/>
        </w:rPr>
        <w:t>[</w:t>
      </w:r>
      <w:r>
        <w:rPr/>
        <w:t>ein Sohn</w:t>
      </w:r>
      <w:r>
        <w:rPr>
          <w:b/>
          <w:color w:val="808080"/>
        </w:rPr>
        <w:t>]</w:t>
      </w:r>
      <w:r>
        <w:rPr/>
        <w:t xml:space="preserve"> von Kosam, </w:t>
      </w:r>
      <w:r>
        <w:rPr>
          <w:b/>
          <w:color w:val="808080"/>
        </w:rPr>
        <w:t>[</w:t>
      </w:r>
      <w:r>
        <w:rPr/>
        <w:t>ein Sohn</w:t>
      </w:r>
      <w:r>
        <w:rPr>
          <w:b/>
          <w:color w:val="808080"/>
        </w:rPr>
        <w:t>]</w:t>
      </w:r>
      <w:r>
        <w:rPr/>
        <w:t xml:space="preserve"> von Elmadam, </w:t>
      </w:r>
      <w:r>
        <w:rPr>
          <w:b/>
          <w:color w:val="808080"/>
        </w:rPr>
        <w:t>[</w:t>
      </w:r>
      <w:r>
        <w:rPr/>
        <w:t>ein Sohn</w:t>
      </w:r>
      <w:r>
        <w:rPr>
          <w:b/>
          <w:color w:val="808080"/>
        </w:rPr>
        <w:t>]</w:t>
      </w:r>
      <w:r>
        <w:rPr/>
        <w:t xml:space="preserve"> von Er,{{field-off:bible}} </w:t>
        <w:br/>
        <w:t>[[@BibleTOBIBLE:Lk 3:29]]</w:t>
      </w:r>
      <w:r>
        <w:rPr>
          <w:b/>
        </w:rPr>
        <w:t>29</w:t>
      </w:r>
      <w:r>
        <w:rPr/>
        <w:t xml:space="preserve"> {{field-on:bible}} </w:t>
      </w:r>
      <w:r>
        <w:rPr>
          <w:b/>
          <w:color w:val="808080"/>
        </w:rPr>
        <w:t>[</w:t>
      </w:r>
      <w:r>
        <w:rPr/>
        <w:t>ein Sohn</w:t>
      </w:r>
      <w:r>
        <w:rPr>
          <w:b/>
          <w:color w:val="808080"/>
        </w:rPr>
        <w:t>]</w:t>
      </w:r>
      <w:r>
        <w:rPr/>
        <w:t xml:space="preserve"> von Joschua, </w:t>
      </w:r>
      <w:r>
        <w:rPr>
          <w:b/>
          <w:color w:val="808080"/>
        </w:rPr>
        <w:t>[</w:t>
      </w:r>
      <w:r>
        <w:rPr/>
        <w:t>ein Sohn</w:t>
      </w:r>
      <w:r>
        <w:rPr>
          <w:b/>
          <w:color w:val="808080"/>
        </w:rPr>
        <w:t>]</w:t>
      </w:r>
      <w:r>
        <w:rPr/>
        <w:t xml:space="preserve"> von Eliëser, </w:t>
      </w:r>
      <w:r>
        <w:rPr>
          <w:b/>
          <w:color w:val="808080"/>
        </w:rPr>
        <w:t>[</w:t>
      </w:r>
      <w:r>
        <w:rPr/>
        <w:t>ein Sohn</w:t>
      </w:r>
      <w:r>
        <w:rPr>
          <w:b/>
          <w:color w:val="808080"/>
        </w:rPr>
        <w:t>]</w:t>
      </w:r>
      <w:r>
        <w:rPr/>
        <w:t xml:space="preserve"> von Jorim,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von Levi,{{field-off:bible}} </w:t>
        <w:br/>
        <w:t>[[@BibleTOBIBLE:Lk 3:30]]</w:t>
      </w:r>
      <w:r>
        <w:rPr>
          <w:b/>
        </w:rPr>
        <w:t>30</w:t>
      </w:r>
      <w:r>
        <w:rPr/>
        <w:t xml:space="preserve"> {{field-on:bible}} </w:t>
      </w:r>
      <w:r>
        <w:rPr>
          <w:b/>
          <w:color w:val="808080"/>
        </w:rPr>
        <w:t>[</w:t>
      </w:r>
      <w:r>
        <w:rPr/>
        <w:t>ein Sohn</w:t>
      </w:r>
      <w:r>
        <w:rPr>
          <w:b/>
          <w:color w:val="808080"/>
        </w:rPr>
        <w:t>]</w:t>
      </w:r>
      <w:r>
        <w:rPr/>
        <w:t xml:space="preserve"> von Simeon, </w:t>
      </w:r>
      <w:r>
        <w:rPr>
          <w:b/>
          <w:color w:val="808080"/>
        </w:rPr>
        <w:t>[</w:t>
      </w:r>
      <w:r>
        <w:rPr/>
        <w:t>ein Sohn</w:t>
      </w:r>
      <w:r>
        <w:rPr>
          <w:b/>
          <w:color w:val="808080"/>
        </w:rPr>
        <w:t>]</w:t>
      </w:r>
      <w:r>
        <w:rPr/>
        <w:t xml:space="preserve"> von Juda, </w:t>
      </w:r>
      <w:r>
        <w:rPr>
          <w:b/>
          <w:color w:val="808080"/>
        </w:rPr>
        <w:t>[</w:t>
      </w:r>
      <w:r>
        <w:rPr/>
        <w:t>ein Sohn</w:t>
      </w:r>
      <w:r>
        <w:rPr>
          <w:b/>
          <w:color w:val="808080"/>
        </w:rPr>
        <w:t>]</w:t>
      </w:r>
      <w:r>
        <w:rPr/>
        <w:t xml:space="preserve"> von Josef, </w:t>
      </w:r>
      <w:r>
        <w:rPr>
          <w:b/>
          <w:color w:val="808080"/>
        </w:rPr>
        <w:t>[</w:t>
      </w:r>
      <w:r>
        <w:rPr/>
        <w:t>ein Sohn</w:t>
      </w:r>
      <w:r>
        <w:rPr>
          <w:b/>
          <w:color w:val="808080"/>
        </w:rPr>
        <w:t>]</w:t>
      </w:r>
      <w:r>
        <w:rPr/>
        <w:t xml:space="preserve"> von Jonam, </w:t>
      </w:r>
      <w:r>
        <w:rPr>
          <w:b/>
          <w:color w:val="808080"/>
        </w:rPr>
        <w:t>[</w:t>
      </w:r>
      <w:r>
        <w:rPr/>
        <w:t>ein Sohn</w:t>
      </w:r>
      <w:r>
        <w:rPr>
          <w:b/>
          <w:color w:val="808080"/>
        </w:rPr>
        <w:t>]</w:t>
      </w:r>
      <w:r>
        <w:rPr/>
        <w:t xml:space="preserve"> von Eljakim,{{field-off:bible}} </w:t>
        <w:br/>
        <w:t>[[@BibleTOBIBLE:Lk 3:31]]</w:t>
      </w:r>
      <w:r>
        <w:rPr>
          <w:b/>
        </w:rPr>
        <w:t>31</w:t>
      </w:r>
      <w:r>
        <w:rPr/>
        <w:t xml:space="preserve"> {{field-on:bible}} </w:t>
      </w:r>
      <w:r>
        <w:rPr>
          <w:b/>
          <w:color w:val="808080"/>
        </w:rPr>
        <w:t>[</w:t>
      </w:r>
      <w:r>
        <w:rPr/>
        <w:t>ein Sohn</w:t>
      </w:r>
      <w:r>
        <w:rPr>
          <w:b/>
          <w:color w:val="808080"/>
        </w:rPr>
        <w:t>]</w:t>
      </w:r>
      <w:r>
        <w:rPr/>
        <w:t xml:space="preserve"> von Melea, </w:t>
      </w:r>
      <w:r>
        <w:rPr>
          <w:b/>
          <w:color w:val="808080"/>
        </w:rPr>
        <w:t>[</w:t>
      </w:r>
      <w:r>
        <w:rPr/>
        <w:t>ein Sohn</w:t>
      </w:r>
      <w:r>
        <w:rPr>
          <w:b/>
          <w:color w:val="808080"/>
        </w:rPr>
        <w:t>]</w:t>
      </w:r>
      <w:r>
        <w:rPr/>
        <w:t xml:space="preserve"> von Menna, </w:t>
      </w:r>
      <w:r>
        <w:rPr>
          <w:b/>
          <w:color w:val="808080"/>
        </w:rPr>
        <w:t>[</w:t>
      </w:r>
      <w:r>
        <w:rPr/>
        <w:t>ein Sohn</w:t>
      </w:r>
      <w:r>
        <w:rPr>
          <w:b/>
          <w:color w:val="808080"/>
        </w:rPr>
        <w:t>]</w:t>
      </w:r>
      <w:r>
        <w:rPr/>
        <w:t xml:space="preserve"> von Mattata, </w:t>
      </w:r>
      <w:r>
        <w:rPr>
          <w:b/>
          <w:color w:val="808080"/>
        </w:rPr>
        <w:t>[</w:t>
      </w:r>
      <w:r>
        <w:rPr/>
        <w:t>ein Sohn</w:t>
      </w:r>
      <w:r>
        <w:rPr>
          <w:b/>
          <w:color w:val="808080"/>
        </w:rPr>
        <w:t>]</w:t>
      </w:r>
      <w:r>
        <w:rPr/>
        <w:t xml:space="preserve"> von Natan, </w:t>
      </w:r>
      <w:r>
        <w:rPr>
          <w:b/>
          <w:color w:val="808080"/>
        </w:rPr>
        <w:t>[</w:t>
      </w:r>
      <w:r>
        <w:rPr/>
        <w:t>ein Sohn</w:t>
      </w:r>
      <w:r>
        <w:rPr>
          <w:b/>
          <w:color w:val="808080"/>
        </w:rPr>
        <w:t>]</w:t>
      </w:r>
      <w:r>
        <w:rPr/>
        <w:t xml:space="preserve"> von David,{{field-off:bible}} </w:t>
        <w:br/>
        <w:t>[[@BibleTOBIBLE:Lk 3:32]]</w:t>
      </w:r>
      <w:r>
        <w:rPr>
          <w:b/>
        </w:rPr>
        <w:t>32</w:t>
      </w:r>
      <w:r>
        <w:rPr/>
        <w:t xml:space="preserve"> {{field-on:bible}} </w:t>
      </w:r>
      <w:r>
        <w:rPr>
          <w:b/>
          <w:color w:val="808080"/>
        </w:rPr>
        <w:t>[</w:t>
      </w:r>
      <w:r>
        <w:rPr/>
        <w:t>ein Sohn</w:t>
      </w:r>
      <w:r>
        <w:rPr>
          <w:b/>
          <w:color w:val="808080"/>
        </w:rPr>
        <w:t>]</w:t>
      </w:r>
      <w:r>
        <w:rPr/>
        <w:t xml:space="preserve"> von Isai, </w:t>
      </w:r>
      <w:r>
        <w:rPr>
          <w:b/>
          <w:color w:val="808080"/>
        </w:rPr>
        <w:t>[</w:t>
      </w:r>
      <w:r>
        <w:rPr/>
        <w:t>ein Sohn</w:t>
      </w:r>
      <w:r>
        <w:rPr>
          <w:b/>
          <w:color w:val="808080"/>
        </w:rPr>
        <w:t>]</w:t>
      </w:r>
      <w:r>
        <w:rPr/>
        <w:t xml:space="preserve"> von Obed, </w:t>
      </w:r>
      <w:r>
        <w:rPr>
          <w:b/>
          <w:color w:val="808080"/>
        </w:rPr>
        <w:t>[</w:t>
      </w:r>
      <w:r>
        <w:rPr/>
        <w:t>ein Sohn</w:t>
      </w:r>
      <w:r>
        <w:rPr>
          <w:b/>
          <w:color w:val="808080"/>
        </w:rPr>
        <w:t>]</w:t>
      </w:r>
      <w:r>
        <w:rPr/>
        <w:t xml:space="preserve"> von Boas, </w:t>
      </w:r>
      <w:r>
        <w:rPr>
          <w:b/>
          <w:color w:val="808080"/>
        </w:rPr>
        <w:t>[</w:t>
      </w:r>
      <w:r>
        <w:rPr/>
        <w:t>ein Sohn</w:t>
      </w:r>
      <w:r>
        <w:rPr>
          <w:b/>
          <w:color w:val="808080"/>
        </w:rPr>
        <w:t>]</w:t>
      </w:r>
      <w:r>
        <w:rPr/>
        <w:t xml:space="preserve"> von Salmon, </w:t>
      </w:r>
      <w:r>
        <w:rPr>
          <w:b/>
          <w:color w:val="808080"/>
        </w:rPr>
        <w:t>[</w:t>
      </w:r>
      <w:r>
        <w:rPr/>
        <w:t>ein Sohn</w:t>
      </w:r>
      <w:r>
        <w:rPr>
          <w:b/>
          <w:color w:val="808080"/>
        </w:rPr>
        <w:t>]</w:t>
      </w:r>
      <w:r>
        <w:rPr/>
        <w:t xml:space="preserve"> von Nachschon,{{field-off:bible}} </w:t>
        <w:br/>
        <w:t>[[@BibleTOBIBLE:Lk 3:33]]</w:t>
      </w:r>
      <w:r>
        <w:rPr>
          <w:b/>
        </w:rPr>
        <w:t>33</w:t>
      </w:r>
      <w:r>
        <w:rPr/>
        <w:t xml:space="preserve"> {{field-on:bible}} </w:t>
      </w:r>
      <w:r>
        <w:rPr>
          <w:b/>
          <w:color w:val="808080"/>
        </w:rPr>
        <w:t>[</w:t>
      </w:r>
      <w:r>
        <w:rPr/>
        <w:t>ein Sohn</w:t>
      </w:r>
      <w:r>
        <w:rPr>
          <w:b/>
          <w:color w:val="808080"/>
        </w:rPr>
        <w:t>]</w:t>
      </w:r>
      <w:r>
        <w:rPr/>
        <w:t xml:space="preserve"> von Amminadab, </w:t>
      </w:r>
      <w:r>
        <w:rPr>
          <w:b/>
          <w:color w:val="808080"/>
        </w:rPr>
        <w:t>[</w:t>
      </w:r>
      <w:r>
        <w:rPr/>
        <w:t>ein Sohn</w:t>
      </w:r>
      <w:r>
        <w:rPr>
          <w:b/>
          <w:color w:val="808080"/>
        </w:rPr>
        <w:t>]</w:t>
      </w:r>
      <w:r>
        <w:rPr/>
        <w:t xml:space="preserve"> von Admin, </w:t>
      </w:r>
      <w:r>
        <w:rPr>
          <w:b/>
          <w:color w:val="808080"/>
        </w:rPr>
        <w:t>[</w:t>
      </w:r>
      <w:r>
        <w:rPr/>
        <w:t>ein Sohn</w:t>
      </w:r>
      <w:r>
        <w:rPr>
          <w:b/>
          <w:color w:val="808080"/>
        </w:rPr>
        <w:t>]</w:t>
      </w:r>
      <w:r>
        <w:rPr/>
        <w:t xml:space="preserve"> von Arni, </w:t>
      </w:r>
      <w:r>
        <w:rPr>
          <w:b/>
          <w:color w:val="808080"/>
        </w:rPr>
        <w:t>[</w:t>
      </w:r>
      <w:r>
        <w:rPr/>
        <w:t>ein Sohn</w:t>
      </w:r>
      <w:r>
        <w:rPr>
          <w:b/>
          <w:color w:val="808080"/>
        </w:rPr>
        <w:t>]</w:t>
      </w:r>
      <w:r>
        <w:rPr/>
        <w:t xml:space="preserve"> von Hezron, </w:t>
      </w:r>
      <w:r>
        <w:rPr>
          <w:b/>
          <w:color w:val="808080"/>
        </w:rPr>
        <w:t>[</w:t>
      </w:r>
      <w:r>
        <w:rPr/>
        <w:t>ein Sohn</w:t>
      </w:r>
      <w:r>
        <w:rPr>
          <w:b/>
          <w:color w:val="808080"/>
        </w:rPr>
        <w:t>]</w:t>
      </w:r>
      <w:r>
        <w:rPr/>
        <w:t xml:space="preserve"> von Perez, </w:t>
      </w:r>
      <w:r>
        <w:rPr>
          <w:b/>
          <w:color w:val="808080"/>
        </w:rPr>
        <w:t>[</w:t>
      </w:r>
      <w:r>
        <w:rPr/>
        <w:t>ein Sohn</w:t>
      </w:r>
      <w:r>
        <w:rPr>
          <w:b/>
          <w:color w:val="808080"/>
        </w:rPr>
        <w:t>]</w:t>
      </w:r>
      <w:r>
        <w:rPr/>
        <w:t xml:space="preserve"> von Juda,{{field-off:bible}} </w:t>
        <w:br/>
        <w:t>[[@BibleTOBIBLE:Lk 3:34]]</w:t>
      </w:r>
      <w:r>
        <w:rPr>
          <w:b/>
        </w:rPr>
        <w:t>34</w:t>
      </w:r>
      <w:r>
        <w:rPr/>
        <w:t xml:space="preserve"> {{field-on:bible}} </w:t>
      </w:r>
      <w:r>
        <w:rPr>
          <w:b/>
          <w:color w:val="808080"/>
        </w:rPr>
        <w:t>[</w:t>
      </w:r>
      <w:r>
        <w:rPr/>
        <w:t>ein Sohn</w:t>
      </w:r>
      <w:r>
        <w:rPr>
          <w:b/>
          <w:color w:val="808080"/>
        </w:rPr>
        <w:t>]</w:t>
      </w:r>
      <w:r>
        <w:rPr/>
        <w:t xml:space="preserve"> von Jakob, </w:t>
      </w:r>
      <w:r>
        <w:rPr>
          <w:b/>
          <w:color w:val="808080"/>
        </w:rPr>
        <w:t>[</w:t>
      </w:r>
      <w:r>
        <w:rPr/>
        <w:t>ein Sohn</w:t>
      </w:r>
      <w:r>
        <w:rPr>
          <w:b/>
          <w:color w:val="808080"/>
        </w:rPr>
        <w:t>]</w:t>
      </w:r>
      <w:r>
        <w:rPr/>
        <w:t xml:space="preserve"> von Isaak, </w:t>
      </w:r>
      <w:r>
        <w:rPr>
          <w:b/>
          <w:color w:val="808080"/>
        </w:rPr>
        <w:t>[</w:t>
      </w:r>
      <w:r>
        <w:rPr/>
        <w:t>ein Sohn</w:t>
      </w:r>
      <w:r>
        <w:rPr>
          <w:b/>
          <w:color w:val="808080"/>
        </w:rPr>
        <w:t>]</w:t>
      </w:r>
      <w:r>
        <w:rPr/>
        <w:t xml:space="preserve"> von Abraham, </w:t>
      </w:r>
      <w:r>
        <w:rPr>
          <w:b/>
          <w:color w:val="808080"/>
        </w:rPr>
        <w:t>[</w:t>
      </w:r>
      <w:r>
        <w:rPr/>
        <w:t>ein Sohn</w:t>
      </w:r>
      <w:r>
        <w:rPr>
          <w:b/>
          <w:color w:val="808080"/>
        </w:rPr>
        <w:t>]</w:t>
      </w:r>
      <w:r>
        <w:rPr/>
        <w:t xml:space="preserve"> von Terach, </w:t>
      </w:r>
      <w:r>
        <w:rPr>
          <w:b/>
          <w:color w:val="808080"/>
        </w:rPr>
        <w:t>[</w:t>
      </w:r>
      <w:r>
        <w:rPr/>
        <w:t>ein Sohn</w:t>
      </w:r>
      <w:r>
        <w:rPr>
          <w:b/>
          <w:color w:val="808080"/>
        </w:rPr>
        <w:t>]</w:t>
      </w:r>
      <w:r>
        <w:rPr/>
        <w:t xml:space="preserve"> von Nahor,{{field-off:bible}} </w:t>
        <w:br/>
        <w:t>[[@BibleTOBIBLE:Lk 3:35]]</w:t>
      </w:r>
      <w:r>
        <w:rPr>
          <w:b/>
        </w:rPr>
        <w:t>35</w:t>
      </w:r>
      <w:r>
        <w:rPr/>
        <w:t xml:space="preserve"> {{field-on:bible}} </w:t>
      </w:r>
      <w:r>
        <w:rPr>
          <w:b/>
          <w:color w:val="808080"/>
        </w:rPr>
        <w:t>[</w:t>
      </w:r>
      <w:r>
        <w:rPr/>
        <w:t>ein Sohn</w:t>
      </w:r>
      <w:r>
        <w:rPr>
          <w:b/>
          <w:color w:val="808080"/>
        </w:rPr>
        <w:t>]</w:t>
      </w:r>
      <w:r>
        <w:rPr/>
        <w:t xml:space="preserve"> von Serug, </w:t>
      </w:r>
      <w:r>
        <w:rPr>
          <w:b/>
          <w:color w:val="808080"/>
        </w:rPr>
        <w:t>[</w:t>
      </w:r>
      <w:r>
        <w:rPr/>
        <w:t>ein Sohn</w:t>
      </w:r>
      <w:r>
        <w:rPr>
          <w:b/>
          <w:color w:val="808080"/>
        </w:rPr>
        <w:t>]</w:t>
      </w:r>
      <w:r>
        <w:rPr/>
        <w:t xml:space="preserve"> von Regu, </w:t>
      </w:r>
      <w:r>
        <w:rPr>
          <w:b/>
          <w:color w:val="808080"/>
        </w:rPr>
        <w:t>[</w:t>
      </w:r>
      <w:r>
        <w:rPr/>
        <w:t>ein Sohn</w:t>
      </w:r>
      <w:r>
        <w:rPr>
          <w:b/>
          <w:color w:val="808080"/>
        </w:rPr>
        <w:t>]</w:t>
      </w:r>
      <w:r>
        <w:rPr/>
        <w:t xml:space="preserve"> von Peleg, </w:t>
      </w:r>
      <w:r>
        <w:rPr>
          <w:b/>
          <w:color w:val="808080"/>
        </w:rPr>
        <w:t>[</w:t>
      </w:r>
      <w:r>
        <w:rPr/>
        <w:t>ein Sohn</w:t>
      </w:r>
      <w:r>
        <w:rPr>
          <w:b/>
          <w:color w:val="808080"/>
        </w:rPr>
        <w:t>]</w:t>
      </w:r>
      <w:r>
        <w:rPr/>
        <w:t xml:space="preserve"> von Eber, </w:t>
      </w:r>
      <w:r>
        <w:rPr>
          <w:b/>
          <w:color w:val="808080"/>
        </w:rPr>
        <w:t>[</w:t>
      </w:r>
      <w:r>
        <w:rPr/>
        <w:t>ein Sohn</w:t>
      </w:r>
      <w:r>
        <w:rPr>
          <w:b/>
          <w:color w:val="808080"/>
        </w:rPr>
        <w:t>]</w:t>
      </w:r>
      <w:r>
        <w:rPr/>
        <w:t xml:space="preserve"> von Schelach,{{field-off:bible}} </w:t>
        <w:br/>
        <w:t>[[@BibleTOBIBLE:Lk 3:36]]</w:t>
      </w:r>
      <w:r>
        <w:rPr>
          <w:b/>
        </w:rPr>
        <w:t>36</w:t>
      </w:r>
      <w:r>
        <w:rPr/>
        <w:t xml:space="preserve"> {{field-on:bible}} </w:t>
      </w:r>
      <w:r>
        <w:rPr>
          <w:b/>
          <w:color w:val="808080"/>
        </w:rPr>
        <w:t>[</w:t>
      </w:r>
      <w:r>
        <w:rPr/>
        <w:t>ein Sohn</w:t>
      </w:r>
      <w:r>
        <w:rPr>
          <w:b/>
          <w:color w:val="808080"/>
        </w:rPr>
        <w:t>]</w:t>
      </w:r>
      <w:r>
        <w:rPr/>
        <w:t xml:space="preserve"> von Kenan, </w:t>
      </w:r>
      <w:r>
        <w:rPr>
          <w:b/>
          <w:color w:val="808080"/>
        </w:rPr>
        <w:t>[</w:t>
      </w:r>
      <w:r>
        <w:rPr/>
        <w:t>ein Sohn</w:t>
      </w:r>
      <w:r>
        <w:rPr>
          <w:b/>
          <w:color w:val="808080"/>
        </w:rPr>
        <w:t>]</w:t>
      </w:r>
      <w:r>
        <w:rPr/>
        <w:t xml:space="preserve"> von Arpachschad, </w:t>
      </w:r>
      <w:r>
        <w:rPr>
          <w:b/>
          <w:color w:val="808080"/>
        </w:rPr>
        <w:t>[</w:t>
      </w:r>
      <w:r>
        <w:rPr/>
        <w:t>ein Sohn</w:t>
      </w:r>
      <w:r>
        <w:rPr>
          <w:b/>
          <w:color w:val="808080"/>
        </w:rPr>
        <w:t>]</w:t>
      </w:r>
      <w:r>
        <w:rPr/>
        <w:t xml:space="preserve"> von Sem, </w:t>
      </w:r>
      <w:r>
        <w:rPr>
          <w:b/>
          <w:color w:val="808080"/>
        </w:rPr>
        <w:t>[</w:t>
      </w:r>
      <w:r>
        <w:rPr/>
        <w:t>ein Sohn</w:t>
      </w:r>
      <w:r>
        <w:rPr>
          <w:b/>
          <w:color w:val="808080"/>
        </w:rPr>
        <w:t>]</w:t>
      </w:r>
      <w:r>
        <w:rPr/>
        <w:t xml:space="preserve"> von Noach, </w:t>
      </w:r>
      <w:r>
        <w:rPr>
          <w:b/>
          <w:color w:val="808080"/>
        </w:rPr>
        <w:t>[</w:t>
      </w:r>
      <w:r>
        <w:rPr/>
        <w:t>ein Sohn</w:t>
      </w:r>
      <w:r>
        <w:rPr>
          <w:b/>
          <w:color w:val="808080"/>
        </w:rPr>
        <w:t>]</w:t>
      </w:r>
      <w:r>
        <w:rPr/>
        <w:t xml:space="preserve"> von Lamech,{{field-off:bible}} </w:t>
        <w:br/>
        <w:t>[[@BibleTOBIBLE:Lk 3:37]]</w:t>
      </w:r>
      <w:r>
        <w:rPr>
          <w:b/>
        </w:rPr>
        <w:t>37</w:t>
      </w:r>
      <w:r>
        <w:rPr/>
        <w:t xml:space="preserve"> {{field-on:bible}} </w:t>
      </w:r>
      <w:r>
        <w:rPr>
          <w:b/>
          <w:color w:val="808080"/>
        </w:rPr>
        <w:t>[</w:t>
      </w:r>
      <w:r>
        <w:rPr/>
        <w:t>ein Sohn</w:t>
      </w:r>
      <w:r>
        <w:rPr>
          <w:b/>
          <w:color w:val="808080"/>
        </w:rPr>
        <w:t>]</w:t>
      </w:r>
      <w:r>
        <w:rPr/>
        <w:t xml:space="preserve"> von Metuschelach, </w:t>
      </w:r>
      <w:r>
        <w:rPr>
          <w:b/>
          <w:color w:val="808080"/>
        </w:rPr>
        <w:t>[</w:t>
      </w:r>
      <w:r>
        <w:rPr/>
        <w:t>ein Sohn</w:t>
      </w:r>
      <w:r>
        <w:rPr>
          <w:b/>
          <w:color w:val="808080"/>
        </w:rPr>
        <w:t>]</w:t>
      </w:r>
      <w:r>
        <w:rPr/>
        <w:t xml:space="preserve"> von Henoch, </w:t>
      </w:r>
      <w:r>
        <w:rPr>
          <w:b/>
          <w:color w:val="808080"/>
        </w:rPr>
        <w:t>[</w:t>
      </w:r>
      <w:r>
        <w:rPr/>
        <w:t>ein Sohn</w:t>
      </w:r>
      <w:r>
        <w:rPr>
          <w:b/>
          <w:color w:val="808080"/>
        </w:rPr>
        <w:t>]</w:t>
      </w:r>
      <w:r>
        <w:rPr/>
        <w:t xml:space="preserve"> von Jered, </w:t>
      </w:r>
      <w:r>
        <w:rPr>
          <w:b/>
          <w:color w:val="808080"/>
        </w:rPr>
        <w:t>[</w:t>
      </w:r>
      <w:r>
        <w:rPr/>
        <w:t>ein Sohn</w:t>
      </w:r>
      <w:r>
        <w:rPr>
          <w:b/>
          <w:color w:val="808080"/>
        </w:rPr>
        <w:t>]</w:t>
      </w:r>
      <w:r>
        <w:rPr/>
        <w:t xml:space="preserve"> von Mahalalel, </w:t>
      </w:r>
      <w:r>
        <w:rPr>
          <w:b/>
          <w:color w:val="808080"/>
        </w:rPr>
        <w:t>[</w:t>
      </w:r>
      <w:r>
        <w:rPr/>
        <w:t>ein Sohn</w:t>
      </w:r>
      <w:r>
        <w:rPr>
          <w:b/>
          <w:color w:val="808080"/>
        </w:rPr>
        <w:t>]</w:t>
      </w:r>
      <w:r>
        <w:rPr/>
        <w:t xml:space="preserve"> von Kenan,{{field-off:bible}} </w:t>
        <w:br/>
        <w:t>[[@BibleTOBIBLE:Lk 3:38]]</w:t>
      </w:r>
      <w:r>
        <w:rPr>
          <w:b/>
        </w:rPr>
        <w:t>38</w:t>
      </w:r>
      <w:r>
        <w:rPr/>
        <w:t xml:space="preserve"> {{field-on:bible}} </w:t>
      </w:r>
      <w:r>
        <w:rPr>
          <w:b/>
          <w:color w:val="808080"/>
        </w:rPr>
        <w:t>[</w:t>
      </w:r>
      <w:r>
        <w:rPr/>
        <w:t>ein Sohn</w:t>
      </w:r>
      <w:r>
        <w:rPr>
          <w:b/>
          <w:color w:val="808080"/>
        </w:rPr>
        <w:t>]</w:t>
      </w:r>
      <w:r>
        <w:rPr/>
        <w:t xml:space="preserve"> von Enosch, </w:t>
      </w:r>
      <w:r>
        <w:rPr>
          <w:b/>
          <w:color w:val="808080"/>
        </w:rPr>
        <w:t>[</w:t>
      </w:r>
      <w:r>
        <w:rPr/>
        <w:t>ein Sohn</w:t>
      </w:r>
      <w:r>
        <w:rPr>
          <w:b/>
          <w:color w:val="808080"/>
        </w:rPr>
        <w:t>]</w:t>
      </w:r>
      <w:r>
        <w:rPr/>
        <w:t xml:space="preserve"> von Set, </w:t>
      </w:r>
      <w:r>
        <w:rPr>
          <w:b/>
          <w:color w:val="808080"/>
        </w:rPr>
        <w:t>[</w:t>
      </w:r>
      <w:r>
        <w:rPr/>
        <w:t>ein Sohn</w:t>
      </w:r>
      <w:r>
        <w:rPr>
          <w:b/>
          <w:color w:val="808080"/>
        </w:rPr>
        <w:t>]</w:t>
      </w:r>
      <w:r>
        <w:rPr/>
        <w:t xml:space="preserve"> von Adam, </w:t>
      </w:r>
      <w:r>
        <w:rPr>
          <w:b/>
          <w:color w:val="808080"/>
        </w:rPr>
        <w:t>[</w:t>
      </w:r>
      <w:r>
        <w:rPr/>
        <w:t>ein Sohn</w:t>
      </w:r>
      <w:r>
        <w:rPr>
          <w:b/>
          <w:color w:val="808080"/>
        </w:rPr>
        <w:t>]</w:t>
      </w:r>
      <w:r>
        <w:rPr/>
        <w:t xml:space="preserve"> Gottes.{{field-off:bible}} </w:t>
      </w:r>
    </w:p>
    <w:p>
      <w:pPr>
        <w:pStyle w:val="Berschrift2"/>
        <w:rPr/>
      </w:pPr>
      <w:r>
        <w:rPr/>
        <w:t>[[@BibleTOBIBLE:Jn]]Johannes</w:t>
      </w:r>
    </w:p>
    <w:p>
      <w:pPr>
        <w:pStyle w:val="Berschrift3"/>
        <w:rPr/>
      </w:pPr>
      <w:r>
        <w:rPr/>
        <w:t>[[@BibleTOBIBLE:Jn 21]]Kapitel 21</w:t>
      </w:r>
    </w:p>
    <w:p>
      <w:pPr>
        <w:pStyle w:val="Textkrper"/>
        <w:rPr/>
      </w:pPr>
      <w:r>
        <w:rPr/>
        <w:br/>
        <w:t>[[@BibleTOBIBLE:Jn 21:1]]</w:t>
      </w:r>
      <w:r>
        <w:rPr>
          <w:b/>
        </w:rPr>
        <w:t>1</w:t>
      </w:r>
      <w:r>
        <w:rPr/>
        <w:t xml:space="preserve"> {{field-on:bible}} </w:t>
      </w:r>
      <w:r>
        <w:rPr>
          <w:rStyle w:val="Funotenanker"/>
        </w:rPr>
        <w:footnoteReference w:customMarkFollows="1" w:id="2127"/>
        <w:t>Status</w:t>
      </w:r>
      <w:r>
        <w:rPr/>
        <w:t xml:space="preserve"> Danach </w:t>
      </w:r>
      <w:r>
        <w:rPr>
          <w:color w:val="808080"/>
        </w:rPr>
        <w:t>(später)</w:t>
      </w:r>
      <w:r>
        <w:rPr/>
        <w:t xml:space="preserve"> zeigte sich </w:t>
      </w:r>
      <w:r>
        <w:rPr>
          <w:color w:val="808080"/>
        </w:rPr>
        <w:t>(gab sich zu erkennen)</w:t>
      </w:r>
      <w:r>
        <w:rPr/>
        <w:t xml:space="preserve"> Jesus den Jüngern noch einmal am See Tiberias. Und so zeigte er sich </w:t>
      </w:r>
      <w:r>
        <w:rPr>
          <w:color w:val="808080"/>
        </w:rPr>
        <w:t>(gab er sich zu erkennen)</w:t>
      </w:r>
      <w:r>
        <w:rPr/>
        <w:t xml:space="preserve">:{{field-off:bible}} </w:t>
        <w:br/>
        <w:t>[[@BibleTOBIBLE:Jn 21:2]]</w:t>
      </w:r>
      <w:r>
        <w:rPr>
          <w:b/>
        </w:rPr>
        <w:t>2</w:t>
      </w:r>
      <w:r>
        <w:rPr/>
        <w:t xml:space="preserve"> {{field-on:bible}}Simon Petrus und Thomas, der Didymus </w:t>
      </w:r>
      <w:r>
        <w:rPr>
          <w:color w:val="808080"/>
        </w:rPr>
        <w:t>(Zwilling)</w:t>
      </w:r>
      <w:r>
        <w:rPr/>
        <w:t xml:space="preserve"> genannt wird, sowie </w:t>
      </w:r>
      <w:r>
        <w:rPr>
          <w:color w:val="808080"/>
        </w:rPr>
        <w:t>(und)</w:t>
      </w:r>
      <w:r>
        <w:rPr/>
        <w:t xml:space="preserve"> Nathanael aus Kana </w:t>
      </w:r>
      <w:r>
        <w:rPr>
          <w:b/>
          <w:color w:val="808080"/>
        </w:rPr>
        <w:t>[</w:t>
      </w:r>
      <w:r>
        <w:rPr/>
        <w:t>in</w:t>
      </w:r>
      <w:r>
        <w:rPr>
          <w:b/>
          <w:color w:val="808080"/>
        </w:rPr>
        <w:t>]</w:t>
      </w:r>
      <w:r>
        <w:rPr/>
        <w:t xml:space="preserve"> Galiläa</w:t>
      </w:r>
      <w:r>
        <w:rPr>
          <w:rStyle w:val="Funotenanker"/>
        </w:rPr>
        <w:footnoteReference w:customMarkFollows="1" w:id="2128"/>
        <w:t>a</w:t>
      </w:r>
      <w:r>
        <w:rPr/>
        <w:t xml:space="preserve"> und die </w:t>
      </w:r>
      <w:r>
        <w:rPr>
          <w:b/>
          <w:color w:val="808080"/>
        </w:rPr>
        <w:t>[</w:t>
      </w:r>
      <w:r>
        <w:rPr/>
        <w:t>Söhne</w:t>
      </w:r>
      <w:r>
        <w:rPr>
          <w:b/>
          <w:color w:val="808080"/>
        </w:rPr>
        <w:t>]</w:t>
      </w:r>
      <w:r>
        <w:rPr/>
        <w:t xml:space="preserve"> des Zebedäus und zwei weitere </w:t>
      </w:r>
      <w:r>
        <w:rPr>
          <w:color w:val="808080"/>
        </w:rPr>
        <w:t>(andere)</w:t>
      </w:r>
      <w:r>
        <w:rPr/>
        <w:t xml:space="preserve"> von seinen Jüngern waren zusammen </w:t>
      </w:r>
      <w:r>
        <w:rPr>
          <w:color w:val="808080"/>
        </w:rPr>
        <w:t>(beisammen)</w:t>
      </w:r>
      <w:r>
        <w:rPr/>
        <w:t xml:space="preserve">.{{field-off:bible}} </w:t>
        <w:br/>
        <w:t>[[@BibleTOBIBLE:Jn 21:3]]</w:t>
      </w:r>
      <w:r>
        <w:rPr>
          <w:b/>
        </w:rPr>
        <w:t>3</w:t>
      </w:r>
      <w:r>
        <w:rPr/>
        <w:t xml:space="preserve"> {{field-on:bible}}Simon Petrus sagte ihnen: „Ich gehe fischen.“ </w:t>
      </w:r>
      <w:r>
        <w:rPr>
          <w:b/>
          <w:color w:val="808080"/>
        </w:rPr>
        <w:t>[</w:t>
      </w:r>
      <w:r>
        <w:rPr/>
        <w:t>Die anderen</w:t>
      </w:r>
      <w:r>
        <w:rPr>
          <w:b/>
          <w:color w:val="808080"/>
        </w:rPr>
        <w:t>]</w:t>
      </w:r>
      <w:r>
        <w:rPr/>
        <w:t xml:space="preserve"> entgegneten </w:t>
      </w:r>
      <w:r>
        <w:rPr>
          <w:color w:val="808080"/>
        </w:rPr>
        <w:t>(sagten)</w:t>
      </w:r>
      <w:r>
        <w:rPr/>
        <w:t xml:space="preserve"> </w:t>
      </w:r>
      <w:r>
        <w:rPr>
          <w:strike/>
          <w:color w:val="808080"/>
        </w:rPr>
        <w:t>{ihm}</w:t>
      </w:r>
      <w:r>
        <w:rPr/>
        <w:t>: „</w:t>
      </w:r>
      <w:r>
        <w:rPr>
          <w:strike/>
          <w:color w:val="808080"/>
        </w:rPr>
        <w:t>{Auch}</w:t>
      </w:r>
      <w:r>
        <w:rPr/>
        <w:t xml:space="preserve"> Wir kommen mit dir!“ Sie brachen auf </w:t>
      </w:r>
      <w:r>
        <w:rPr>
          <w:color w:val="808080"/>
        </w:rPr>
        <w:t>(gingen hinaus)</w:t>
      </w:r>
      <w:r>
        <w:rPr/>
        <w:t xml:space="preserve"> und bestiegen das Boot </w:t>
      </w:r>
      <w:r>
        <w:rPr>
          <w:color w:val="808080"/>
        </w:rPr>
        <w:t>(gingen hinaus zum Boot und legten ab)</w:t>
      </w:r>
      <w:r>
        <w:rPr/>
        <w:t xml:space="preserve"> </w:t>
      </w:r>
      <w:r>
        <w:rPr>
          <w:rStyle w:val="Funotenanker"/>
        </w:rPr>
        <w:footnoteReference w:customMarkFollows="1" w:id="2129"/>
        <w:t>b</w:t>
      </w:r>
      <w:r>
        <w:rPr/>
        <w:t xml:space="preserve">, aber </w:t>
      </w:r>
      <w:r>
        <w:rPr>
          <w:color w:val="808080"/>
        </w:rPr>
        <w:t>(und)</w:t>
      </w:r>
      <w:r>
        <w:rPr/>
        <w:t xml:space="preserve"> in dieser </w:t>
      </w:r>
      <w:r>
        <w:rPr>
          <w:color w:val="808080"/>
        </w:rPr>
        <w:t>(jener)</w:t>
      </w:r>
      <w:r>
        <w:rPr/>
        <w:t xml:space="preserve"> Nacht fingen sie nichts.{{field-off:bible}} </w:t>
        <w:br/>
        <w:t>[[@BibleTOBIBLE:Jn 21:4]]</w:t>
      </w:r>
      <w:r>
        <w:rPr>
          <w:b/>
        </w:rPr>
        <w:t>4</w:t>
      </w:r>
      <w:r>
        <w:rPr/>
        <w:t xml:space="preserve"> {{field-on:bible}}Als es aber schon </w:t>
      </w:r>
      <w:r>
        <w:rPr>
          <w:color w:val="808080"/>
        </w:rPr>
        <w:t>(früher)</w:t>
      </w:r>
      <w:r>
        <w:rPr/>
        <w:t xml:space="preserve"> Morgen wurde </w:t>
      </w:r>
      <w:r>
        <w:rPr>
          <w:color w:val="808080"/>
        </w:rPr>
        <w:t>(war, geworden war)</w:t>
      </w:r>
      <w:r>
        <w:rPr/>
        <w:t xml:space="preserve"> </w:t>
      </w:r>
      <w:r>
        <w:rPr>
          <w:rStyle w:val="Funotenanker"/>
        </w:rPr>
        <w:footnoteReference w:customMarkFollows="1" w:id="2130"/>
        <w:t>c</w:t>
      </w:r>
      <w:r>
        <w:rPr/>
        <w:t xml:space="preserve">, stand Jesus am Ufer, die Jünger wussten </w:t>
      </w:r>
      <w:r>
        <w:rPr>
          <w:color w:val="808080"/>
        </w:rPr>
        <w:t>(erkannten)</w:t>
      </w:r>
      <w:r>
        <w:rPr/>
        <w:t xml:space="preserve"> aber </w:t>
      </w:r>
      <w:r>
        <w:rPr>
          <w:color w:val="808080"/>
        </w:rPr>
        <w:t>(allerdings)</w:t>
      </w:r>
      <w:r>
        <w:rPr/>
        <w:t xml:space="preserve"> noch nicht, dass es Jesus war</w:t>
      </w:r>
      <w:r>
        <w:rPr>
          <w:rStyle w:val="Funotenanker"/>
        </w:rPr>
        <w:footnoteReference w:customMarkFollows="1" w:id="2131"/>
        <w:t>d</w:t>
      </w:r>
      <w:r>
        <w:rPr/>
        <w:t xml:space="preserve">.{{field-off:bible}} </w:t>
        <w:br/>
        <w:t>[[@BibleTOBIBLE:Jn 21:5]]</w:t>
      </w:r>
      <w:r>
        <w:rPr>
          <w:b/>
        </w:rPr>
        <w:t>5</w:t>
      </w:r>
      <w:r>
        <w:rPr/>
        <w:t xml:space="preserve"> {{field-on:bible}}Dann </w:t>
      </w:r>
      <w:r>
        <w:rPr>
          <w:color w:val="808080"/>
        </w:rPr>
        <w:t>(also, nun)</w:t>
      </w:r>
      <w:r>
        <w:rPr/>
        <w:t xml:space="preserve"> rief </w:t>
      </w:r>
      <w:r>
        <w:rPr>
          <w:color w:val="808080"/>
        </w:rPr>
        <w:t>(sagte)</w:t>
      </w:r>
      <w:r>
        <w:rPr/>
        <w:t xml:space="preserve"> </w:t>
      </w:r>
      <w:r>
        <w:rPr>
          <w:rStyle w:val="Funotenanker"/>
        </w:rPr>
        <w:footnoteReference w:customMarkFollows="1" w:id="2132"/>
        <w:t>e</w:t>
      </w:r>
      <w:r>
        <w:rPr/>
        <w:t xml:space="preserve"> er ihnen zu: „Männer </w:t>
      </w:r>
      <w:r>
        <w:rPr>
          <w:color w:val="808080"/>
        </w:rPr>
        <w:t>(Kinder)</w:t>
      </w:r>
      <w:r>
        <w:rPr/>
        <w:t xml:space="preserve"> </w:t>
      </w:r>
      <w:r>
        <w:rPr>
          <w:rStyle w:val="Funotenanker"/>
        </w:rPr>
        <w:footnoteReference w:customMarkFollows="1" w:id="2133"/>
        <w:t>f</w:t>
      </w:r>
      <w:r>
        <w:rPr/>
        <w:t xml:space="preserve">, ihr habt keinen Happen </w:t>
      </w:r>
      <w:r>
        <w:rPr>
          <w:color w:val="808080"/>
        </w:rPr>
        <w:t>(Fisch)</w:t>
      </w:r>
      <w:r>
        <w:rPr/>
        <w:t xml:space="preserve"> zu essen, oder </w:t>
      </w:r>
      <w:r>
        <w:rPr>
          <w:color w:val="808080"/>
        </w:rPr>
        <w:t>(Habt ihr zufällig/vielleicht einen Happen zu essen)</w:t>
      </w:r>
      <w:r>
        <w:rPr/>
        <w:t>?“</w:t>
      </w:r>
      <w:r>
        <w:rPr>
          <w:rStyle w:val="Funotenanker"/>
        </w:rPr>
        <w:footnoteReference w:customMarkFollows="1" w:id="2134"/>
        <w:t>g</w:t>
      </w:r>
      <w:r>
        <w:rPr/>
        <w:t xml:space="preserve"> Sie riefen zurück </w:t>
      </w:r>
      <w:r>
        <w:rPr>
          <w:color w:val="808080"/>
        </w:rPr>
        <w:t>(antworteten, entgegneten)</w:t>
      </w:r>
      <w:r>
        <w:rPr/>
        <w:t xml:space="preserve">: „Nein!“{{field-off:bible}} </w:t>
        <w:br/>
        <w:t>[[@BibleTOBIBLE:Jn 21:6]]</w:t>
      </w:r>
      <w:r>
        <w:rPr>
          <w:b/>
        </w:rPr>
        <w:t>6</w:t>
      </w:r>
      <w:r>
        <w:rPr/>
        <w:t xml:space="preserve"> {{field-on:bible}}Da </w:t>
      </w:r>
      <w:r>
        <w:rPr>
          <w:color w:val="808080"/>
        </w:rPr>
        <w:t>(aber)</w:t>
      </w:r>
      <w:r>
        <w:rPr/>
        <w:t xml:space="preserve"> rief </w:t>
      </w:r>
      <w:r>
        <w:rPr>
          <w:color w:val="808080"/>
        </w:rPr>
        <w:t>(sagte)</w:t>
      </w:r>
      <w:r>
        <w:rPr/>
        <w:t xml:space="preserve"> er ihnen zu: „Werft euer Netz </w:t>
      </w:r>
      <w:r>
        <w:rPr>
          <w:b/>
          <w:color w:val="808080"/>
        </w:rPr>
        <w:t>[</w:t>
      </w:r>
      <w:r>
        <w:rPr/>
        <w:t>doch einmal</w:t>
      </w:r>
      <w:r>
        <w:rPr>
          <w:b/>
          <w:color w:val="808080"/>
        </w:rPr>
        <w:t>]</w:t>
      </w:r>
      <w:r>
        <w:rPr/>
        <w:t xml:space="preserve"> auf der rechten Seite des Bootes aus,</w:t>
      </w:r>
      <w:r>
        <w:rPr>
          <w:rStyle w:val="Funotenanker"/>
        </w:rPr>
        <w:footnoteReference w:customMarkFollows="1" w:id="2135"/>
        <w:t>h</w:t>
      </w:r>
      <w:r>
        <w:rPr/>
        <w:t xml:space="preserve"> dann </w:t>
      </w:r>
      <w:r>
        <w:rPr>
          <w:color w:val="808080"/>
        </w:rPr>
        <w:t>(und)</w:t>
      </w:r>
      <w:r>
        <w:rPr/>
        <w:t xml:space="preserve"> werdet ihr fündig </w:t>
      </w:r>
      <w:r>
        <w:rPr>
          <w:strike/>
          <w:color w:val="808080"/>
        </w:rPr>
        <w:t>{werden}</w:t>
      </w:r>
      <w:r>
        <w:rPr/>
        <w:t xml:space="preserve">!“ Also warfen sie </w:t>
      </w:r>
      <w:r>
        <w:rPr>
          <w:b/>
          <w:color w:val="808080"/>
        </w:rPr>
        <w:t>[</w:t>
      </w:r>
      <w:r>
        <w:rPr/>
        <w:t>es dort</w:t>
      </w:r>
      <w:r>
        <w:rPr>
          <w:b/>
          <w:color w:val="808080"/>
        </w:rPr>
        <w:t>]</w:t>
      </w:r>
      <w:r>
        <w:rPr/>
        <w:t xml:space="preserve"> aus, und sie konnten </w:t>
      </w:r>
      <w:r>
        <w:rPr>
          <w:color w:val="808080"/>
        </w:rPr>
        <w:t>(vermochten, waren nicht stark genug)</w:t>
      </w:r>
      <w:r>
        <w:rPr/>
        <w:t xml:space="preserve"> es wegen der Masse </w:t>
      </w:r>
      <w:r>
        <w:rPr>
          <w:b/>
          <w:color w:val="808080"/>
        </w:rPr>
        <w:t>[</w:t>
      </w:r>
      <w:r>
        <w:rPr/>
        <w:t>an</w:t>
      </w:r>
      <w:r>
        <w:rPr>
          <w:b/>
          <w:color w:val="808080"/>
        </w:rPr>
        <w:t>]</w:t>
      </w:r>
      <w:r>
        <w:rPr/>
        <w:t xml:space="preserve"> Fischen nicht mehr einholen.{{field-off:bible}} </w:t>
        <w:br/>
        <w:t>[[@BibleTOBIBLE:Jn 21:7]]</w:t>
      </w:r>
      <w:r>
        <w:rPr>
          <w:b/>
        </w:rPr>
        <w:t>7</w:t>
      </w:r>
      <w:r>
        <w:rPr/>
        <w:t xml:space="preserve"> {{field-on:bible}}Daraufhin </w:t>
      </w:r>
      <w:r>
        <w:rPr>
          <w:color w:val="808080"/>
        </w:rPr>
        <w:t>(da, darum)</w:t>
      </w:r>
      <w:r>
        <w:rPr/>
        <w:t xml:space="preserve"> sagte </w:t>
      </w:r>
      <w:r>
        <w:rPr>
          <w:color w:val="808080"/>
        </w:rPr>
        <w:t>(rief)</w:t>
      </w:r>
      <w:r>
        <w:rPr/>
        <w:t xml:space="preserve"> der Jünger, den Jesus liebte, zu Petrus: „Es ist der Herr!“ Als Simon Petrus hörte,</w:t>
      </w:r>
      <w:r>
        <w:rPr>
          <w:rStyle w:val="Funotenanker"/>
        </w:rPr>
        <w:footnoteReference w:customMarkFollows="1" w:id="2136"/>
        <w:t>i</w:t>
      </w:r>
      <w:r>
        <w:rPr/>
        <w:t xml:space="preserve"> dass es der Herr war, da band er sich das Obergewand hoch </w:t>
      </w:r>
      <w:r>
        <w:rPr>
          <w:color w:val="808080"/>
        </w:rPr>
        <w:t>(wickelte … um sich)</w:t>
      </w:r>
      <w:r>
        <w:rPr/>
        <w:t xml:space="preserve"> – er war nämlich </w:t>
      </w:r>
      <w:r>
        <w:rPr>
          <w:color w:val="808080"/>
        </w:rPr>
        <w:t>(denn)</w:t>
      </w:r>
      <w:r>
        <w:rPr/>
        <w:t xml:space="preserve"> nackt –,</w:t>
      </w:r>
      <w:r>
        <w:rPr>
          <w:rStyle w:val="Funotenanker"/>
        </w:rPr>
        <w:footnoteReference w:customMarkFollows="1" w:id="2137"/>
        <w:t>j</w:t>
      </w:r>
      <w:r>
        <w:rPr/>
        <w:t xml:space="preserve"> und stürzte sich ins Meer </w:t>
      </w:r>
      <w:r>
        <w:rPr>
          <w:color w:val="808080"/>
        </w:rPr>
        <w:t>(in den See)</w:t>
      </w:r>
      <w:r>
        <w:rPr/>
        <w:t xml:space="preserve"> </w:t>
      </w:r>
      <w:r>
        <w:rPr>
          <w:rStyle w:val="Funotenanker"/>
        </w:rPr>
        <w:footnoteReference w:customMarkFollows="1" w:id="2138"/>
        <w:t>k</w:t>
      </w:r>
      <w:r>
        <w:rPr/>
        <w:t xml:space="preserve">,{{field-off:bible}} </w:t>
        <w:br/>
        <w:t>[[@BibleTOBIBLE:Jn 21:8]]</w:t>
      </w:r>
      <w:r>
        <w:rPr>
          <w:b/>
        </w:rPr>
        <w:t>8</w:t>
      </w:r>
      <w:r>
        <w:rPr/>
        <w:t xml:space="preserve"> {{field-on:bible}}während </w:t>
      </w:r>
      <w:r>
        <w:rPr>
          <w:color w:val="808080"/>
        </w:rPr>
        <w:t>(aber)</w:t>
      </w:r>
      <w:r>
        <w:rPr/>
        <w:t xml:space="preserve"> die anderen Jünger </w:t>
      </w:r>
      <w:r>
        <w:rPr>
          <w:b/>
          <w:color w:val="808080"/>
        </w:rPr>
        <w:t>[</w:t>
      </w:r>
      <w:r>
        <w:rPr/>
        <w:t>mit</w:t>
      </w:r>
      <w:r>
        <w:rPr>
          <w:b/>
          <w:color w:val="808080"/>
        </w:rPr>
        <w:t>]</w:t>
      </w:r>
      <w:r>
        <w:rPr/>
        <w:t xml:space="preserve"> dem Boot </w:t>
      </w:r>
      <w:r>
        <w:rPr>
          <w:color w:val="808080"/>
        </w:rPr>
        <w:t>(kleinen Boot)</w:t>
      </w:r>
      <w:r>
        <w:rPr/>
        <w:t xml:space="preserve"> </w:t>
      </w:r>
      <w:r>
        <w:rPr>
          <w:rStyle w:val="Funotenanker"/>
        </w:rPr>
        <w:footnoteReference w:customMarkFollows="1" w:id="2139"/>
        <w:t>l</w:t>
      </w:r>
      <w:r>
        <w:rPr/>
        <w:t xml:space="preserve"> kamen. Sie waren nämlich </w:t>
      </w:r>
      <w:r>
        <w:rPr>
          <w:color w:val="808080"/>
        </w:rPr>
        <w:t>(denn)</w:t>
      </w:r>
      <w:r>
        <w:rPr/>
        <w:t xml:space="preserve"> nicht weit vom Land </w:t>
      </w:r>
      <w:r>
        <w:rPr>
          <w:color w:val="808080"/>
        </w:rPr>
        <w:t>(Ufer)</w:t>
      </w:r>
      <w:r>
        <w:rPr/>
        <w:t xml:space="preserve"> entfernt, nur etwa 200 Ellen. Dabei zogen sie das Netz </w:t>
      </w:r>
      <w:r>
        <w:rPr>
          <w:b/>
          <w:color w:val="808080"/>
        </w:rPr>
        <w:t>[</w:t>
      </w:r>
      <w:r>
        <w:rPr/>
        <w:t>mit</w:t>
      </w:r>
      <w:r>
        <w:rPr>
          <w:b/>
          <w:color w:val="808080"/>
        </w:rPr>
        <w:t>]</w:t>
      </w:r>
      <w:r>
        <w:rPr/>
        <w:t xml:space="preserve"> den Fischen </w:t>
      </w:r>
      <w:r>
        <w:rPr>
          <w:b/>
          <w:color w:val="808080"/>
        </w:rPr>
        <w:t>[</w:t>
      </w:r>
      <w:r>
        <w:rPr/>
        <w:t>hinter sich</w:t>
      </w:r>
      <w:r>
        <w:rPr>
          <w:b/>
          <w:color w:val="808080"/>
        </w:rPr>
        <w:t>]</w:t>
      </w:r>
      <w:r>
        <w:rPr/>
        <w:t xml:space="preserve"> her.</w:t>
      </w:r>
      <w:r>
        <w:rPr>
          <w:rStyle w:val="Funotenanker"/>
        </w:rPr>
        <w:footnoteReference w:customMarkFollows="1" w:id="2140"/>
        <w:t>m</w:t>
      </w:r>
      <w:r>
        <w:rPr/>
        <w:t xml:space="preserve"> {{field-off:bible}} </w:t>
        <w:br/>
        <w:t>[[@BibleTOBIBLE:Jn 21:9]]</w:t>
      </w:r>
      <w:r>
        <w:rPr>
          <w:b/>
        </w:rPr>
        <w:t>9</w:t>
      </w:r>
      <w:r>
        <w:rPr/>
        <w:t xml:space="preserve"> {{field-on:bible}}Als sie dann an Land </w:t>
      </w:r>
      <w:r>
        <w:rPr>
          <w:color w:val="808080"/>
        </w:rPr>
        <w:t>(ans Ufer)</w:t>
      </w:r>
      <w:r>
        <w:rPr/>
        <w:t xml:space="preserve"> kamen </w:t>
      </w:r>
      <w:r>
        <w:rPr>
          <w:color w:val="808080"/>
        </w:rPr>
        <w:t>(anlegten)</w:t>
      </w:r>
      <w:r>
        <w:rPr/>
        <w:t>, sahen sie ein vorbereitetes Kohlenfeuer, und ein Fisch war daraufgelegt und Brot.</w:t>
      </w:r>
      <w:r>
        <w:rPr>
          <w:rStyle w:val="Funotenanker"/>
        </w:rPr>
        <w:footnoteReference w:customMarkFollows="1" w:id="2141"/>
        <w:t>n</w:t>
      </w:r>
      <w:r>
        <w:rPr/>
        <w:t xml:space="preserve"> {{field-off:bible}} </w:t>
        <w:br/>
        <w:t>[[@BibleTOBIBLE:Jn 21:10]]</w:t>
      </w:r>
      <w:r>
        <w:rPr>
          <w:b/>
        </w:rPr>
        <w:t>10</w:t>
      </w:r>
      <w:r>
        <w:rPr/>
        <w:t xml:space="preserve"> {{field-on:bible}}Jesus sagte zu ihnen: „Holt </w:t>
      </w:r>
      <w:r>
        <w:rPr>
          <w:b/>
          <w:color w:val="808080"/>
        </w:rPr>
        <w:t>[</w:t>
      </w:r>
      <w:r>
        <w:rPr/>
        <w:t>doch einige</w:t>
      </w:r>
      <w:r>
        <w:rPr>
          <w:b/>
          <w:color w:val="808080"/>
        </w:rPr>
        <w:t>]</w:t>
      </w:r>
      <w:r>
        <w:rPr/>
        <w:t xml:space="preserve"> von den Fischen, die ihr gerade gefangen habt!“{{field-off:bible}} </w:t>
        <w:br/>
        <w:t>[[@BibleTOBIBLE:Jn 21:11]]</w:t>
      </w:r>
      <w:r>
        <w:rPr>
          <w:b/>
        </w:rPr>
        <w:t>11</w:t>
      </w:r>
      <w:r>
        <w:rPr/>
        <w:t xml:space="preserve"> {{field-on:bible}}Da stieg Simon Petrus </w:t>
      </w:r>
      <w:r>
        <w:rPr>
          <w:b/>
          <w:color w:val="808080"/>
        </w:rPr>
        <w:t>[</w:t>
      </w:r>
      <w:r>
        <w:rPr/>
        <w:t>ins Boot</w:t>
      </w:r>
      <w:r>
        <w:rPr>
          <w:b/>
          <w:color w:val="808080"/>
        </w:rPr>
        <w:t>]</w:t>
      </w:r>
      <w:r>
        <w:rPr/>
        <w:t xml:space="preserve"> </w:t>
      </w:r>
      <w:r>
        <w:rPr>
          <w:color w:val="808080"/>
        </w:rPr>
        <w:t>(kam an Land)</w:t>
      </w:r>
      <w:r>
        <w:rPr/>
        <w:t xml:space="preserve"> und zog das Netz an Land, angefüllt </w:t>
      </w:r>
      <w:r>
        <w:rPr>
          <w:b/>
          <w:color w:val="808080"/>
        </w:rPr>
        <w:t>[</w:t>
      </w:r>
      <w:r>
        <w:rPr/>
        <w:t>mit</w:t>
      </w:r>
      <w:r>
        <w:rPr>
          <w:b/>
          <w:color w:val="808080"/>
        </w:rPr>
        <w:t>]</w:t>
      </w:r>
      <w:r>
        <w:rPr/>
        <w:t xml:space="preserve"> 153 großen Fischen</w:t>
      </w:r>
      <w:r>
        <w:rPr>
          <w:rStyle w:val="Funotenanker"/>
        </w:rPr>
        <w:footnoteReference w:customMarkFollows="1" w:id="2142"/>
        <w:t>o</w:t>
      </w:r>
      <w:r>
        <w:rPr/>
        <w:t>, und obwohl es so viele waren,</w:t>
      </w:r>
      <w:r>
        <w:rPr>
          <w:rStyle w:val="Funotenanker"/>
        </w:rPr>
        <w:footnoteReference w:customMarkFollows="1" w:id="2143"/>
        <w:t>p</w:t>
      </w:r>
      <w:r>
        <w:rPr/>
        <w:t xml:space="preserve"> wurde das Netz nicht zerissen.{{field-off:bible}} </w:t>
        <w:br/>
        <w:t>[[@BibleTOBIBLE:Jn 21:12]]</w:t>
      </w:r>
      <w:r>
        <w:rPr>
          <w:b/>
        </w:rPr>
        <w:t>12</w:t>
      </w:r>
      <w:r>
        <w:rPr/>
        <w:t xml:space="preserve"> {{field-on:bible}}Jesus sagte zu ihnen: „Kommt, frühstückt!“ Und keiner </w:t>
      </w:r>
      <w:r>
        <w:rPr>
          <w:b/>
          <w:color w:val="808080"/>
        </w:rPr>
        <w:t>[</w:t>
      </w:r>
      <w:r>
        <w:rPr/>
        <w:t>von</w:t>
      </w:r>
      <w:r>
        <w:rPr>
          <w:b/>
          <w:color w:val="808080"/>
        </w:rPr>
        <w:t>]</w:t>
      </w:r>
      <w:r>
        <w:rPr/>
        <w:t xml:space="preserve"> den Jüngern</w:t>
      </w:r>
      <w:r>
        <w:rPr>
          <w:rStyle w:val="Funotenanker"/>
        </w:rPr>
        <w:footnoteReference w:customMarkFollows="1" w:id="2144"/>
        <w:t>q</w:t>
      </w:r>
      <w:r>
        <w:rPr/>
        <w:t xml:space="preserve"> traute sich </w:t>
      </w:r>
      <w:r>
        <w:rPr>
          <w:color w:val="808080"/>
        </w:rPr>
        <w:t>(wagte)</w:t>
      </w:r>
      <w:r>
        <w:rPr/>
        <w:t xml:space="preserve">, ihn zu fragen: „Wer bist du?“, weil </w:t>
      </w:r>
      <w:r>
        <w:rPr>
          <w:color w:val="808080"/>
        </w:rPr>
        <w:t>(obwohl)</w:t>
      </w:r>
      <w:r>
        <w:rPr/>
        <w:t xml:space="preserve"> sie wussten, dass es der Herr war.{{field-off:bible}} </w:t>
        <w:br/>
        <w:t>[[@BibleTOBIBLE:Jn 21:13]]</w:t>
      </w:r>
      <w:r>
        <w:rPr>
          <w:b/>
        </w:rPr>
        <w:t>13</w:t>
      </w:r>
      <w:r>
        <w:rPr/>
        <w:t xml:space="preserve"> {{field-on:bible}}Jesus kam und nahm</w:t>
      </w:r>
      <w:r>
        <w:rPr>
          <w:rStyle w:val="Funotenanker"/>
        </w:rPr>
        <w:footnoteReference w:customMarkFollows="1" w:id="2145"/>
        <w:t>r</w:t>
      </w:r>
      <w:r>
        <w:rPr/>
        <w:t xml:space="preserve"> das Brot und gab es ihnen, und den Fisch genauso.{{field-off:bible}} </w:t>
        <w:br/>
        <w:t>[[@BibleTOBIBLE:Jn 21:14]]</w:t>
      </w:r>
      <w:r>
        <w:rPr>
          <w:b/>
        </w:rPr>
        <w:t>14</w:t>
      </w:r>
      <w:r>
        <w:rPr/>
        <w:t xml:space="preserve"> {{field-on:bible}}Das war schon das dritte Mal, </w:t>
      </w:r>
      <w:r>
        <w:rPr>
          <w:b/>
          <w:color w:val="808080"/>
        </w:rPr>
        <w:t>[</w:t>
      </w:r>
      <w:r>
        <w:rPr/>
        <w:t>dass</w:t>
      </w:r>
      <w:r>
        <w:rPr>
          <w:b/>
          <w:color w:val="808080"/>
        </w:rPr>
        <w:t>]</w:t>
      </w:r>
      <w:r>
        <w:rPr/>
        <w:t xml:space="preserve"> Jesus sich den Jüngern zeigte </w:t>
      </w:r>
      <w:r>
        <w:rPr>
          <w:color w:val="808080"/>
        </w:rPr>
        <w:t>(sich zu erkennen gab)</w:t>
      </w:r>
      <w:r>
        <w:rPr/>
        <w:t>, nachdem er von den Toten auferweckt worden war</w:t>
      </w:r>
      <w:r>
        <w:rPr>
          <w:rStyle w:val="Funotenanker"/>
        </w:rPr>
        <w:footnoteReference w:customMarkFollows="1" w:id="2146"/>
        <w:t>s</w:t>
      </w:r>
      <w:r>
        <w:rPr/>
        <w:t xml:space="preserve">. Das war schon das dritte Mal, </w:t>
      </w:r>
      <w:r>
        <w:rPr>
          <w:b/>
          <w:color w:val="808080"/>
        </w:rPr>
        <w:t>[</w:t>
      </w:r>
      <w:r>
        <w:rPr/>
        <w:t>dass</w:t>
      </w:r>
      <w:r>
        <w:rPr>
          <w:b/>
          <w:color w:val="808080"/>
        </w:rPr>
        <w:t>]</w:t>
      </w:r>
      <w:r>
        <w:rPr/>
        <w:t xml:space="preserve"> Jesus sich den Jüngern zeigte, nachdem </w:t>
      </w:r>
      <w:r>
        <w:rPr>
          <w:color w:val="808080"/>
        </w:rPr>
        <w:t>(seit)</w:t>
      </w:r>
      <w:r>
        <w:rPr/>
        <w:t xml:space="preserve"> er von den Toten auferstanden war.{{field-off:bible}} </w:t>
        <w:br/>
        <w:t>[[@BibleTOBIBLE:Jn 21:15]]</w:t>
      </w:r>
      <w:r>
        <w:rPr>
          <w:b/>
        </w:rPr>
        <w:t>15</w:t>
      </w:r>
      <w:r>
        <w:rPr/>
        <w:t xml:space="preserve"> {{field-on:bible}}Als sie dann gefrühstückt hatten, sagte Jesus zu Simon Petrus: „Simon, </w:t>
      </w:r>
      <w:r>
        <w:rPr>
          <w:b/>
          <w:color w:val="808080"/>
        </w:rPr>
        <w:t>[</w:t>
      </w:r>
      <w:r>
        <w:rPr/>
        <w:t>Sohn</w:t>
      </w:r>
      <w:r>
        <w:rPr>
          <w:b/>
          <w:color w:val="808080"/>
        </w:rPr>
        <w:t>]</w:t>
      </w:r>
      <w:r>
        <w:rPr/>
        <w:t xml:space="preserve"> von Johannes</w:t>
      </w:r>
      <w:r>
        <w:rPr>
          <w:rStyle w:val="Funotenanker"/>
        </w:rPr>
        <w:footnoteReference w:customMarkFollows="1" w:id="2147"/>
        <w:t>t</w:t>
      </w:r>
      <w:r>
        <w:rPr/>
        <w:t xml:space="preserve">, liebst du mich mehr </w:t>
      </w:r>
      <w:r>
        <w:rPr>
          <w:b/>
          <w:color w:val="808080"/>
        </w:rPr>
        <w:t>[</w:t>
      </w:r>
      <w:r>
        <w:rPr/>
        <w:t>als</w:t>
      </w:r>
      <w:r>
        <w:rPr>
          <w:b/>
          <w:color w:val="808080"/>
        </w:rPr>
        <w:t>]</w:t>
      </w:r>
      <w:r>
        <w:rPr/>
        <w:t xml:space="preserve"> die hier </w:t>
      </w:r>
      <w:r>
        <w:rPr>
          <w:color w:val="808080"/>
        </w:rPr>
        <w:t>(diese)</w:t>
      </w:r>
      <w:r>
        <w:rPr/>
        <w:t xml:space="preserve">?“ Er entgegnete </w:t>
      </w:r>
      <w:r>
        <w:rPr>
          <w:color w:val="808080"/>
        </w:rPr>
        <w:t>(sagte)</w:t>
      </w:r>
      <w:r>
        <w:rPr/>
        <w:t xml:space="preserve"> </w:t>
      </w:r>
      <w:r>
        <w:rPr>
          <w:strike/>
          <w:color w:val="808080"/>
        </w:rPr>
        <w:t>{zu ihm}</w:t>
      </w:r>
      <w:r>
        <w:rPr/>
        <w:t xml:space="preserve">: „Ja, Herr, du weißt, dass ich dich lieb habe.“ [Jesus] erwiderte </w:t>
      </w:r>
      <w:r>
        <w:rPr>
          <w:color w:val="808080"/>
        </w:rPr>
        <w:t>(sagte)</w:t>
      </w:r>
      <w:r>
        <w:rPr/>
        <w:t xml:space="preserve"> </w:t>
      </w:r>
      <w:r>
        <w:rPr>
          <w:strike/>
          <w:color w:val="808080"/>
        </w:rPr>
        <w:t>{zu ihm}</w:t>
      </w:r>
      <w:r>
        <w:rPr/>
        <w:t xml:space="preserve">: „Füttere </w:t>
      </w:r>
      <w:r>
        <w:rPr>
          <w:color w:val="808080"/>
        </w:rPr>
        <w:t>(Weide)</w:t>
      </w:r>
      <w:r>
        <w:rPr/>
        <w:t xml:space="preserve"> meine Lämmer!“{{field-off:bible}} </w:t>
        <w:br/>
        <w:t>[[@BibleTOBIBLE:Jn 21:16]]</w:t>
      </w:r>
      <w:r>
        <w:rPr>
          <w:b/>
        </w:rPr>
        <w:t>16</w:t>
      </w:r>
      <w:r>
        <w:rPr/>
        <w:t xml:space="preserve"> {{field-on:bible}}Er sagte wiederum </w:t>
      </w:r>
      <w:r>
        <w:rPr>
          <w:color w:val="808080"/>
        </w:rPr>
        <w:t>(noch einmal)</w:t>
      </w:r>
      <w:r>
        <w:rPr/>
        <w:t xml:space="preserve">, ein zweites Mal, zu ihm: „Simon, </w:t>
      </w:r>
      <w:r>
        <w:rPr>
          <w:b/>
          <w:color w:val="808080"/>
        </w:rPr>
        <w:t>[</w:t>
      </w:r>
      <w:r>
        <w:rPr/>
        <w:t>Sohn</w:t>
      </w:r>
      <w:r>
        <w:rPr>
          <w:b/>
          <w:color w:val="808080"/>
        </w:rPr>
        <w:t>]</w:t>
      </w:r>
      <w:r>
        <w:rPr/>
        <w:t xml:space="preserve"> von Johannes, liebst du mich?“ Er entgegnete </w:t>
      </w:r>
      <w:r>
        <w:rPr>
          <w:color w:val="808080"/>
        </w:rPr>
        <w:t>(sagte)</w:t>
      </w:r>
      <w:r>
        <w:rPr/>
        <w:t xml:space="preserve"> </w:t>
      </w:r>
      <w:r>
        <w:rPr>
          <w:strike/>
          <w:color w:val="808080"/>
        </w:rPr>
        <w:t>{zu ihm}</w:t>
      </w:r>
      <w:r>
        <w:rPr/>
        <w:t xml:space="preserve">: „Ja, Herr, du weißt, dass ich dich lieb habe.“ [Jesus] erwiderte </w:t>
      </w:r>
      <w:r>
        <w:rPr>
          <w:color w:val="808080"/>
        </w:rPr>
        <w:t>(sagte)</w:t>
      </w:r>
      <w:r>
        <w:rPr/>
        <w:t xml:space="preserve"> </w:t>
      </w:r>
      <w:r>
        <w:rPr>
          <w:strike/>
          <w:color w:val="808080"/>
        </w:rPr>
        <w:t>{zu ihm}</w:t>
      </w:r>
      <w:r>
        <w:rPr/>
        <w:t xml:space="preserve">: „Hüte meine Schafe!“{{field-off:bible}} </w:t>
        <w:br/>
        <w:t>[[@BibleTOBIBLE:Jn 21:17]]</w:t>
      </w:r>
      <w:r>
        <w:rPr>
          <w:b/>
        </w:rPr>
        <w:t>17</w:t>
      </w:r>
      <w:r>
        <w:rPr/>
        <w:t xml:space="preserve"> {{field-on:bible}}Er sagte zum dritten Mal: „Simon, </w:t>
      </w:r>
      <w:r>
        <w:rPr>
          <w:b/>
          <w:color w:val="808080"/>
        </w:rPr>
        <w:t>[</w:t>
      </w:r>
      <w:r>
        <w:rPr/>
        <w:t>Sohn</w:t>
      </w:r>
      <w:r>
        <w:rPr>
          <w:b/>
          <w:color w:val="808080"/>
        </w:rPr>
        <w:t>]</w:t>
      </w:r>
      <w:r>
        <w:rPr/>
        <w:t xml:space="preserve"> von Johannes, hast du mich lieb?“ Petrus wurde traurig, weil er zum dritten Mal zu ihm gesagt hatte: „Hast du mich lieb?“, und er erwiderte </w:t>
      </w:r>
      <w:r>
        <w:rPr>
          <w:color w:val="808080"/>
        </w:rPr>
        <w:t>(sagte)</w:t>
      </w:r>
      <w:r>
        <w:rPr/>
        <w:t xml:space="preserve"> </w:t>
      </w:r>
      <w:r>
        <w:rPr>
          <w:strike/>
          <w:color w:val="808080"/>
        </w:rPr>
        <w:t>{zu ihm}</w:t>
      </w:r>
      <w:r>
        <w:rPr/>
        <w:t xml:space="preserve">: „Herr, du weißt alles, du weißt </w:t>
      </w:r>
      <w:r>
        <w:rPr>
          <w:color w:val="808080"/>
        </w:rPr>
        <w:t>(erkennst)</w:t>
      </w:r>
      <w:r>
        <w:rPr/>
        <w:t xml:space="preserve">, dass ich dich lieb habe.“ Jesus </w:t>
      </w:r>
      <w:r>
        <w:rPr>
          <w:rStyle w:val="Funotenanker"/>
        </w:rPr>
        <w:footnoteReference w:customMarkFollows="1" w:id="2148"/>
        <w:t>u</w:t>
      </w:r>
      <w:r>
        <w:rPr/>
        <w:t xml:space="preserve"> entgegnete </w:t>
      </w:r>
      <w:r>
        <w:rPr>
          <w:color w:val="808080"/>
        </w:rPr>
        <w:t>(sagte)</w:t>
      </w:r>
      <w:r>
        <w:rPr/>
        <w:t xml:space="preserve"> </w:t>
      </w:r>
      <w:r>
        <w:rPr>
          <w:strike/>
          <w:color w:val="808080"/>
        </w:rPr>
        <w:t>{zu ihm}</w:t>
      </w:r>
      <w:r>
        <w:rPr/>
        <w:t xml:space="preserve">: „Füttere </w:t>
      </w:r>
      <w:r>
        <w:rPr>
          <w:color w:val="808080"/>
        </w:rPr>
        <w:t>(Weide)</w:t>
      </w:r>
      <w:r>
        <w:rPr/>
        <w:t xml:space="preserve"> meine Schafe!{{field-off:bible}} </w:t>
        <w:br/>
        <w:t>[[@BibleTOBIBLE:Jn 21:18]]</w:t>
      </w:r>
      <w:r>
        <w:rPr>
          <w:b/>
        </w:rPr>
        <w:t>18</w:t>
      </w:r>
      <w:r>
        <w:rPr/>
        <w:t xml:space="preserve"> {{field-on:bible}}Wahrlich, wahrlich </w:t>
      </w:r>
      <w:r>
        <w:rPr>
          <w:color w:val="808080"/>
        </w:rPr>
        <w:t>(Amen, amen)</w:t>
      </w:r>
      <w:r>
        <w:rPr/>
        <w:t xml:space="preserve">, ich sage dir: Als du jünger warst, konntest du dich selbst anziehen </w:t>
      </w:r>
      <w:r>
        <w:rPr>
          <w:color w:val="808080"/>
        </w:rPr>
        <w:t>(einen Gürtel anlegen)</w:t>
      </w:r>
      <w:r>
        <w:rPr/>
        <w:t xml:space="preserve"> und bist gegangen, wohin du wolltest. Doch wenn du alt bist, wirst du deine Hände ausstrecken, und jemand anderes wird dich anziehen </w:t>
      </w:r>
      <w:r>
        <w:rPr>
          <w:color w:val="808080"/>
        </w:rPr>
        <w:t>(dir einen Gürtel anlegen)</w:t>
      </w:r>
      <w:r>
        <w:rPr/>
        <w:t xml:space="preserve"> und dich bringen </w:t>
      </w:r>
      <w:r>
        <w:rPr>
          <w:color w:val="808080"/>
        </w:rPr>
        <w:t>(tragen)</w:t>
      </w:r>
      <w:r>
        <w:rPr/>
        <w:t xml:space="preserve"> wohin du nicht </w:t>
      </w:r>
      <w:r>
        <w:rPr>
          <w:b/>
          <w:color w:val="808080"/>
        </w:rPr>
        <w:t>[</w:t>
      </w:r>
      <w:r>
        <w:rPr/>
        <w:t>gehen</w:t>
      </w:r>
      <w:r>
        <w:rPr>
          <w:b/>
          <w:color w:val="808080"/>
        </w:rPr>
        <w:t>]</w:t>
      </w:r>
      <w:r>
        <w:rPr/>
        <w:t xml:space="preserve"> willst.“{{field-off:bible}} </w:t>
        <w:br/>
        <w:t>[[@BibleTOBIBLE:Jn 21:19]]</w:t>
      </w:r>
      <w:r>
        <w:rPr>
          <w:b/>
        </w:rPr>
        <w:t>19</w:t>
      </w:r>
      <w:r>
        <w:rPr/>
        <w:t xml:space="preserve"> {{field-on:bible}}Das sagte er </w:t>
      </w:r>
      <w:r>
        <w:rPr>
          <w:strike/>
          <w:color w:val="808080"/>
        </w:rPr>
        <w:t>{aber}</w:t>
      </w:r>
      <w:r>
        <w:rPr/>
        <w:t xml:space="preserve">, um anzudeuten, </w:t>
      </w:r>
      <w:r>
        <w:rPr>
          <w:b/>
          <w:color w:val="808080"/>
        </w:rPr>
        <w:t>[</w:t>
      </w:r>
      <w:r>
        <w:rPr/>
        <w:t>mit</w:t>
      </w:r>
      <w:r>
        <w:rPr>
          <w:b/>
          <w:color w:val="808080"/>
        </w:rPr>
        <w:t>]</w:t>
      </w:r>
      <w:r>
        <w:rPr/>
        <w:t xml:space="preserve"> welcher Todesart er Gott verherrlichen </w:t>
      </w:r>
      <w:r>
        <w:rPr>
          <w:color w:val="808080"/>
        </w:rPr>
        <w:t>(ehren)</w:t>
      </w:r>
      <w:r>
        <w:rPr/>
        <w:t xml:space="preserve"> würde. Und nachdem er das gesagt hatte,</w:t>
      </w:r>
      <w:r>
        <w:rPr>
          <w:rStyle w:val="Funotenanker"/>
        </w:rPr>
        <w:footnoteReference w:customMarkFollows="1" w:id="2149"/>
        <w:t>v</w:t>
      </w:r>
      <w:r>
        <w:rPr/>
        <w:t xml:space="preserve"> sagte er: „Folge mir </w:t>
      </w:r>
      <w:r>
        <w:rPr>
          <w:color w:val="808080"/>
        </w:rPr>
        <w:t>(folge mir nach)</w:t>
      </w:r>
      <w:r>
        <w:rPr/>
        <w:t xml:space="preserve">!“{{field-off:bible}} </w:t>
        <w:br/>
        <w:t>[[@BibleTOBIBLE:Jn 21:20]]</w:t>
      </w:r>
      <w:r>
        <w:rPr>
          <w:b/>
        </w:rPr>
        <w:t>20</w:t>
      </w:r>
      <w:r>
        <w:rPr/>
        <w:t xml:space="preserve"> {{field-on:bible}}Als er sich umwandte,</w:t>
      </w:r>
      <w:r>
        <w:rPr>
          <w:rStyle w:val="Funotenanker"/>
        </w:rPr>
        <w:footnoteReference w:customMarkFollows="1" w:id="2150"/>
        <w:t>w</w:t>
      </w:r>
      <w:r>
        <w:rPr/>
        <w:t xml:space="preserve"> sah Petrus, dass der Jünger, den Jesus liebte, </w:t>
      </w:r>
      <w:r>
        <w:rPr>
          <w:b/>
          <w:color w:val="808080"/>
        </w:rPr>
        <w:t>[</w:t>
      </w:r>
      <w:r>
        <w:rPr/>
        <w:t>ihnen</w:t>
      </w:r>
      <w:r>
        <w:rPr>
          <w:b/>
          <w:color w:val="808080"/>
        </w:rPr>
        <w:t>]</w:t>
      </w:r>
      <w:r>
        <w:rPr/>
        <w:t xml:space="preserve"> folgte </w:t>
      </w:r>
      <w:r>
        <w:rPr>
          <w:color w:val="808080"/>
        </w:rPr>
        <w:t xml:space="preserve">(hinter </w:t>
      </w:r>
      <w:r>
        <w:rPr>
          <w:b/>
          <w:color w:val="808080"/>
        </w:rPr>
        <w:t>[</w:t>
      </w:r>
      <w:r>
        <w:rPr>
          <w:color w:val="808080"/>
        </w:rPr>
        <w:t>ihnen</w:t>
      </w:r>
      <w:r>
        <w:rPr>
          <w:b/>
          <w:color w:val="808080"/>
        </w:rPr>
        <w:t>]</w:t>
      </w:r>
      <w:r>
        <w:rPr>
          <w:color w:val="808080"/>
        </w:rPr>
        <w:t xml:space="preserve"> lief/war)</w:t>
      </w:r>
      <w:r>
        <w:rPr/>
        <w:t>,</w:t>
      </w:r>
      <w:r>
        <w:rPr>
          <w:rStyle w:val="Funotenanker"/>
        </w:rPr>
        <w:footnoteReference w:customMarkFollows="1" w:id="2151"/>
        <w:t>x</w:t>
      </w:r>
      <w:r>
        <w:rPr/>
        <w:t xml:space="preserve"> derjenige, der auch beim Abendessen an seiner Brust gelegen </w:t>
      </w:r>
      <w:r>
        <w:rPr>
          <w:color w:val="808080"/>
        </w:rPr>
        <w:t>(gesessen)</w:t>
      </w:r>
      <w:r>
        <w:rPr/>
        <w:t xml:space="preserve"> und gesagt hatte: „Herr, wer ist dein Verräter?“</w:t>
      </w:r>
      <w:r>
        <w:rPr>
          <w:position w:val="8"/>
          <w:sz w:val="19"/>
        </w:rPr>
        <w:t>[[ ℘ &gt;&gt; BibleTOBIBLE:Jn 13:23]]</w:t>
      </w:r>
      <w:r>
        <w:rPr/>
        <w:t xml:space="preserve"> {{field-off:bible}} </w:t>
        <w:br/>
        <w:t>[[@BibleTOBIBLE:Jn 21:21]]</w:t>
      </w:r>
      <w:r>
        <w:rPr>
          <w:b/>
        </w:rPr>
        <w:t>21</w:t>
      </w:r>
      <w:r>
        <w:rPr/>
        <w:t xml:space="preserve"> {{field-on:bible}}Als Petrus also</w:t>
      </w:r>
      <w:r>
        <w:rPr>
          <w:rStyle w:val="Funotenanker"/>
        </w:rPr>
        <w:footnoteReference w:customMarkFollows="1" w:id="2152"/>
        <w:t>y</w:t>
      </w:r>
      <w:r>
        <w:rPr/>
        <w:t xml:space="preserve"> diesen Jünger sah, fragte </w:t>
      </w:r>
      <w:r>
        <w:rPr>
          <w:color w:val="808080"/>
        </w:rPr>
        <w:t>(sagte zu)</w:t>
      </w:r>
      <w:r>
        <w:rPr/>
        <w:t xml:space="preserve"> er Jesus: „Herr, und was </w:t>
      </w:r>
      <w:r>
        <w:rPr>
          <w:b/>
          <w:color w:val="808080"/>
        </w:rPr>
        <w:t>[</w:t>
      </w:r>
      <w:r>
        <w:rPr/>
        <w:t>ist mit</w:t>
      </w:r>
      <w:r>
        <w:rPr>
          <w:b/>
          <w:color w:val="808080"/>
        </w:rPr>
        <w:t>]</w:t>
      </w:r>
      <w:r>
        <w:rPr/>
        <w:t xml:space="preserve"> ihm?“{{field-off:bible}} </w:t>
        <w:br/>
        <w:t>[[@BibleTOBIBLE:Jn 21:22]]</w:t>
      </w:r>
      <w:r>
        <w:rPr>
          <w:b/>
        </w:rPr>
        <w:t>22</w:t>
      </w:r>
      <w:r>
        <w:rPr/>
        <w:t xml:space="preserve"> {{field-on:bible}}Jesus entgegnete </w:t>
      </w:r>
      <w:r>
        <w:rPr>
          <w:color w:val="808080"/>
        </w:rPr>
        <w:t>(sagte)</w:t>
      </w:r>
      <w:r>
        <w:rPr/>
        <w:t xml:space="preserve"> </w:t>
      </w:r>
      <w:r>
        <w:rPr>
          <w:strike/>
          <w:color w:val="808080"/>
        </w:rPr>
        <w:t>{zu ihm}</w:t>
      </w:r>
      <w:r>
        <w:rPr/>
        <w:t>: „Wenn ich will, dass er bleibt,</w:t>
      </w:r>
      <w:r>
        <w:rPr>
          <w:rStyle w:val="Funotenanker"/>
        </w:rPr>
        <w:footnoteReference w:customMarkFollows="1" w:id="2153"/>
        <w:t>z</w:t>
      </w:r>
      <w:r>
        <w:rPr/>
        <w:t xml:space="preserve">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 Du folge mir nach </w:t>
      </w:r>
      <w:r>
        <w:rPr>
          <w:color w:val="808080"/>
        </w:rPr>
        <w:t>(folge mir)</w:t>
      </w:r>
      <w:r>
        <w:rPr/>
        <w:t xml:space="preserve">!“{{field-off:bible}} </w:t>
        <w:br/>
        <w:t>[[@BibleTOBIBLE:Jn 21:23]]</w:t>
      </w:r>
      <w:r>
        <w:rPr>
          <w:b/>
        </w:rPr>
        <w:t>23</w:t>
      </w:r>
      <w:r>
        <w:rPr/>
        <w:t xml:space="preserve"> {{field-on:bible}}Diese Äußerung </w:t>
      </w:r>
      <w:r>
        <w:rPr>
          <w:color w:val="808080"/>
        </w:rPr>
        <w:t>(Satz, Aussage, Wort)</w:t>
      </w:r>
      <w:r>
        <w:rPr/>
        <w:t xml:space="preserve"> verbreitete sich </w:t>
      </w:r>
      <w:r>
        <w:rPr>
          <w:color w:val="808080"/>
        </w:rPr>
        <w:t>(erreichte)</w:t>
      </w:r>
      <w:r>
        <w:rPr/>
        <w:t xml:space="preserve"> im Folgenden </w:t>
      </w:r>
      <w:r>
        <w:rPr>
          <w:color w:val="808080"/>
        </w:rPr>
        <w:t>(dann)</w:t>
      </w:r>
      <w:r>
        <w:rPr/>
        <w:t xml:space="preserve"> unter </w:t>
      </w:r>
      <w:r>
        <w:rPr>
          <w:color w:val="808080"/>
        </w:rPr>
        <w:t>(zu)</w:t>
      </w:r>
      <w:r>
        <w:rPr/>
        <w:t xml:space="preserve"> den Jüngern: dass der erwähnte </w:t>
      </w:r>
      <w:r>
        <w:rPr>
          <w:color w:val="808080"/>
        </w:rPr>
        <w:t>(jener)</w:t>
      </w:r>
      <w:r>
        <w:rPr/>
        <w:t xml:space="preserve"> Jünger nicht sterben würde – aber Jesus hatte nicht zu </w:t>
      </w:r>
      <w:r>
        <w:rPr>
          <w:b/>
          <w:color w:val="808080"/>
        </w:rPr>
        <w:t>[</w:t>
      </w:r>
      <w:r>
        <w:rPr/>
        <w:t>Petrus</w:t>
      </w:r>
      <w:r>
        <w:rPr>
          <w:b/>
          <w:color w:val="808080"/>
        </w:rPr>
        <w:t>]</w:t>
      </w:r>
      <w:r>
        <w:rPr/>
        <w:t xml:space="preserve"> gesagt, dass er nicht sterben würde, sondern: „Wenn ich will, dass er bleibt,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?“{{field-off:bible}} </w:t>
      </w:r>
    </w:p>
    <w:p>
      <w:pPr>
        <w:pStyle w:val="Berschrift2"/>
        <w:rPr/>
      </w:pPr>
      <w:r>
        <w:rPr/>
        <w:t>[[@BibleTOBIBLE:2Co]]2 Korinther</w:t>
      </w:r>
    </w:p>
    <w:p>
      <w:pPr>
        <w:pStyle w:val="Berschrift3"/>
        <w:rPr/>
      </w:pPr>
      <w:r>
        <w:rPr/>
        <w:t>[[@BibleTOBIBLE:2Co 2]]Kapitel 2</w:t>
      </w:r>
    </w:p>
    <w:p>
      <w:pPr>
        <w:pStyle w:val="Textkrper"/>
        <w:rPr/>
      </w:pPr>
      <w:r>
        <w:rPr/>
        <w:br/>
        <w:t>[[@BibleTOBIBLE:2Co 2:14]]</w:t>
      </w:r>
      <w:r>
        <w:rPr>
          <w:b/>
        </w:rPr>
        <w:t>14</w:t>
      </w:r>
      <w:r>
        <w:rPr/>
        <w:t xml:space="preserve"> {{field-on:bible}} </w:t>
      </w:r>
      <w:r>
        <w:rPr>
          <w:rStyle w:val="Funotenanker"/>
        </w:rPr>
        <w:footnoteReference w:customMarkFollows="1" w:id="2154"/>
        <w:t>Status</w:t>
      </w:r>
      <w:r>
        <w:rPr/>
        <w:t xml:space="preserve"> Aber Dank </w:t>
      </w:r>
      <w:r>
        <w:rPr>
          <w:b/>
          <w:color w:val="808080"/>
        </w:rPr>
        <w:t>[</w:t>
      </w:r>
      <w:r>
        <w:rPr/>
        <w:t>sei</w:t>
      </w:r>
      <w:r>
        <w:rPr>
          <w:b/>
          <w:color w:val="808080"/>
        </w:rPr>
        <w:t>]</w:t>
      </w:r>
      <w:r>
        <w:rPr/>
        <w:t xml:space="preserve"> </w:t>
      </w:r>
      <w:r>
        <w:rPr>
          <w:strike/>
          <w:color w:val="808080"/>
        </w:rPr>
        <w:t>{dem}</w:t>
      </w:r>
      <w:r>
        <w:rPr/>
        <w:t xml:space="preserve"> Gott, der uns zu allen Zeiten </w:t>
      </w:r>
      <w:r>
        <w:rPr>
          <w:color w:val="808080"/>
        </w:rPr>
        <w:t>(immer)</w:t>
      </w:r>
      <w:r>
        <w:rPr/>
        <w:t xml:space="preserve"> </w:t>
      </w:r>
      <w:r>
        <w:rPr>
          <w:rStyle w:val="Funotenanker"/>
        </w:rPr>
        <w:footnoteReference w:customMarkFollows="1" w:id="2155"/>
        <w:t>a</w:t>
      </w:r>
      <w:r>
        <w:rPr/>
        <w:t xml:space="preserve"> im Triumphzug herumführt </w:t>
      </w:r>
      <w:r>
        <w:rPr>
          <w:color w:val="808080"/>
        </w:rPr>
        <w:t>(triumphieren lässt; bekannt macht)</w:t>
      </w:r>
      <w:r>
        <w:rPr/>
        <w:t xml:space="preserve"> in </w:t>
      </w:r>
      <w:r>
        <w:rPr>
          <w:color w:val="808080"/>
        </w:rPr>
        <w:t>(durch)</w:t>
      </w:r>
      <w:r>
        <w:rPr/>
        <w:t xml:space="preserve"> Christus und den Duft </w:t>
      </w:r>
      <w:r>
        <w:rPr>
          <w:color w:val="808080"/>
        </w:rPr>
        <w:t>(Geruch)</w:t>
      </w:r>
      <w:r>
        <w:rPr/>
        <w:t xml:space="preserve"> seiner Kenntnis </w:t>
      </w:r>
      <w:r>
        <w:rPr>
          <w:color w:val="808080"/>
        </w:rPr>
        <w:t>(Wissen, Erkenntnis)</w:t>
      </w:r>
      <w:r>
        <w:rPr/>
        <w:t xml:space="preserve"> </w:t>
      </w:r>
      <w:r>
        <w:rPr>
          <w:rStyle w:val="Funotenanker"/>
        </w:rPr>
        <w:footnoteReference w:customMarkFollows="1" w:id="2156"/>
        <w:t>b</w:t>
      </w:r>
      <w:r>
        <w:rPr/>
        <w:t xml:space="preserve"> bekannt macht</w:t>
      </w:r>
      <w:r>
        <w:rPr>
          <w:rStyle w:val="Funotenanker"/>
        </w:rPr>
        <w:footnoteReference w:customMarkFollows="1" w:id="2157"/>
        <w:t>c</w:t>
      </w:r>
      <w:r>
        <w:rPr/>
        <w:t xml:space="preserve"> </w:t>
      </w:r>
      <w:r>
        <w:rPr>
          <w:color w:val="808080"/>
        </w:rPr>
        <w:t>(sichtbar macht; sehen lässt; zeigt)</w:t>
      </w:r>
      <w:r>
        <w:rPr/>
        <w:t xml:space="preserve"> </w:t>
      </w:r>
      <w:r>
        <w:rPr>
          <w:rStyle w:val="Funotenanker"/>
        </w:rPr>
        <w:footnoteReference w:customMarkFollows="1" w:id="2158"/>
        <w:t>d</w:t>
      </w:r>
      <w:r>
        <w:rPr/>
        <w:t xml:space="preserve"> durch uns an jedem Ort;{{field-off:bible}} </w:t>
        <w:br/>
        <w:t>[[@BibleTOBIBLE:2Co 2:15]]</w:t>
      </w:r>
      <w:r>
        <w:rPr>
          <w:b/>
        </w:rPr>
        <w:t>15</w:t>
      </w:r>
      <w:r>
        <w:rPr/>
        <w:t xml:space="preserve"> {{field-on:bible}}denn wir sind der Wohlgeruch </w:t>
      </w:r>
      <w:r>
        <w:rPr>
          <w:color w:val="808080"/>
        </w:rPr>
        <w:t>(liebliche Duft)</w:t>
      </w:r>
      <w:r>
        <w:rPr/>
        <w:t xml:space="preserve"> Christi, </w:t>
      </w:r>
      <w:r>
        <w:rPr>
          <w:b/>
          <w:color w:val="808080"/>
        </w:rPr>
        <w:t>[</w:t>
      </w:r>
      <w:r>
        <w:rPr/>
        <w:t>der zu</w:t>
      </w:r>
      <w:r>
        <w:rPr>
          <w:b/>
          <w:color w:val="808080"/>
        </w:rPr>
        <w:t>]</w:t>
      </w:r>
      <w:r>
        <w:rPr/>
        <w:t xml:space="preserve"> Gott </w:t>
      </w:r>
      <w:r>
        <w:rPr>
          <w:b/>
          <w:color w:val="808080"/>
        </w:rPr>
        <w:t>[</w:t>
      </w:r>
      <w:r>
        <w:rPr/>
        <w:t>aufsteigt</w:t>
      </w:r>
      <w:r>
        <w:rPr>
          <w:b/>
          <w:color w:val="808080"/>
        </w:rPr>
        <w:t>]</w:t>
      </w:r>
      <w:r>
        <w:rPr/>
        <w:t xml:space="preserve"> </w:t>
      </w:r>
      <w:r>
        <w:rPr>
          <w:rStyle w:val="Funotenanker"/>
        </w:rPr>
        <w:footnoteReference w:customMarkFollows="1" w:id="2159"/>
        <w:t>e</w:t>
      </w:r>
      <w:r>
        <w:rPr/>
        <w:t xml:space="preserve"> unter </w:t>
      </w:r>
      <w:r>
        <w:rPr>
          <w:color w:val="808080"/>
        </w:rPr>
        <w:t>(bei)</w:t>
      </w:r>
      <w:r>
        <w:rPr/>
        <w:t xml:space="preserve"> denen, die gerettet werden und unter </w:t>
      </w:r>
      <w:r>
        <w:rPr>
          <w:color w:val="808080"/>
        </w:rPr>
        <w:t>(bei)</w:t>
      </w:r>
      <w:r>
        <w:rPr/>
        <w:t xml:space="preserve"> denen, die verloren gehen</w:t>
      </w:r>
      <w:r>
        <w:rPr>
          <w:rStyle w:val="Funotenanker"/>
        </w:rPr>
        <w:footnoteReference w:customMarkFollows="1" w:id="2160"/>
        <w:t>f</w:t>
      </w:r>
      <w:r>
        <w:rPr/>
        <w:t xml:space="preserve">,{{field-off:bible}} </w:t>
        <w:br/>
        <w:t>[[@BibleTOBIBLE:2Co 2:16]]</w:t>
      </w:r>
      <w:r>
        <w:rPr>
          <w:b/>
        </w:rPr>
        <w:t>16</w:t>
      </w:r>
      <w:r>
        <w:rPr/>
        <w:t xml:space="preserve"> {{field-on:bible}} </w:t>
      </w:r>
      <w:r>
        <w:rPr>
          <w:b/>
          <w:color w:val="808080"/>
        </w:rPr>
        <w:t>[</w:t>
      </w:r>
      <w:r>
        <w:rPr/>
        <w:t>für</w:t>
      </w:r>
      <w:r>
        <w:rPr>
          <w:b/>
          <w:color w:val="808080"/>
        </w:rPr>
        <w:t>]</w:t>
      </w:r>
      <w:r>
        <w:rPr/>
        <w:t xml:space="preserve"> die einen ein Geruch </w:t>
      </w:r>
      <w:r>
        <w:rPr>
          <w:color w:val="808080"/>
        </w:rPr>
        <w:t>(Duft)</w:t>
      </w:r>
      <w:r>
        <w:rPr/>
        <w:t xml:space="preserve"> vom Tod zum Tod </w:t>
      </w:r>
      <w:r>
        <w:rPr>
          <w:color w:val="808080"/>
        </w:rPr>
        <w:t>(„</w:t>
      </w:r>
      <w:r>
        <w:rPr>
          <w:b/>
          <w:color w:val="808080"/>
        </w:rPr>
        <w:t>[</w:t>
      </w:r>
      <w:r>
        <w:rPr>
          <w:color w:val="808080"/>
        </w:rPr>
        <w:t>der</w:t>
      </w:r>
      <w:r>
        <w:rPr>
          <w:b/>
          <w:color w:val="808080"/>
        </w:rPr>
        <w:t>]</w:t>
      </w:r>
      <w:r>
        <w:rPr>
          <w:color w:val="808080"/>
        </w:rPr>
        <w:t xml:space="preserve"> zum Tod </w:t>
      </w:r>
      <w:r>
        <w:rPr>
          <w:b/>
          <w:color w:val="808080"/>
        </w:rPr>
        <w:t>[</w:t>
      </w:r>
      <w:r>
        <w:rPr>
          <w:color w:val="808080"/>
        </w:rPr>
        <w:t>führt</w:t>
      </w:r>
      <w:r>
        <w:rPr>
          <w:b/>
          <w:color w:val="808080"/>
        </w:rPr>
        <w:t>]</w:t>
      </w:r>
      <w:r>
        <w:rPr>
          <w:color w:val="808080"/>
        </w:rPr>
        <w:t>“)</w:t>
      </w:r>
      <w:r>
        <w:rPr/>
        <w:t xml:space="preserve">, </w:t>
      </w:r>
      <w:r>
        <w:rPr>
          <w:b/>
          <w:color w:val="808080"/>
        </w:rPr>
        <w:t>[</w:t>
      </w:r>
      <w:r>
        <w:rPr/>
        <w:t>für</w:t>
      </w:r>
      <w:r>
        <w:rPr>
          <w:b/>
          <w:color w:val="808080"/>
        </w:rPr>
        <w:t>]</w:t>
      </w:r>
      <w:r>
        <w:rPr/>
        <w:t xml:space="preserve"> die anderen ein Geruch </w:t>
      </w:r>
      <w:r>
        <w:rPr>
          <w:color w:val="808080"/>
        </w:rPr>
        <w:t>(Duft)</w:t>
      </w:r>
      <w:r>
        <w:rPr/>
        <w:t xml:space="preserve"> vom Leben zum Leben </w:t>
      </w:r>
      <w:r>
        <w:rPr>
          <w:color w:val="808080"/>
        </w:rPr>
        <w:t>(„</w:t>
      </w:r>
      <w:r>
        <w:rPr>
          <w:b/>
          <w:color w:val="808080"/>
        </w:rPr>
        <w:t>[</w:t>
      </w:r>
      <w:r>
        <w:rPr>
          <w:color w:val="808080"/>
        </w:rPr>
        <w:t>der</w:t>
      </w:r>
      <w:r>
        <w:rPr>
          <w:b/>
          <w:color w:val="808080"/>
        </w:rPr>
        <w:t>]</w:t>
      </w:r>
      <w:r>
        <w:rPr>
          <w:color w:val="808080"/>
        </w:rPr>
        <w:t xml:space="preserve"> zum Leben </w:t>
      </w:r>
      <w:r>
        <w:rPr>
          <w:b/>
          <w:color w:val="808080"/>
        </w:rPr>
        <w:t>[</w:t>
      </w:r>
      <w:r>
        <w:rPr>
          <w:color w:val="808080"/>
        </w:rPr>
        <w:t>führt</w:t>
      </w:r>
      <w:r>
        <w:rPr>
          <w:b/>
          <w:color w:val="808080"/>
        </w:rPr>
        <w:t>]</w:t>
      </w:r>
      <w:r>
        <w:rPr>
          <w:color w:val="808080"/>
        </w:rPr>
        <w:t>“)</w:t>
      </w:r>
      <w:r>
        <w:rPr/>
        <w:t xml:space="preserve">. Und wer </w:t>
      </w:r>
      <w:r>
        <w:rPr>
          <w:b/>
          <w:color w:val="808080"/>
        </w:rPr>
        <w:t>[</w:t>
      </w:r>
      <w:r>
        <w:rPr/>
        <w:t>ist</w:t>
      </w:r>
      <w:r>
        <w:rPr>
          <w:b/>
          <w:color w:val="808080"/>
        </w:rPr>
        <w:t>]</w:t>
      </w:r>
      <w:r>
        <w:rPr/>
        <w:t xml:space="preserve"> </w:t>
      </w:r>
      <w:r>
        <w:rPr>
          <w:color w:val="808080"/>
        </w:rPr>
        <w:t>(</w:t>
      </w:r>
      <w:r>
        <w:rPr>
          <w:b/>
          <w:color w:val="808080"/>
        </w:rPr>
        <w:t>[</w:t>
      </w:r>
      <w:r>
        <w:rPr>
          <w:color w:val="808080"/>
        </w:rPr>
        <w:t>wäre</w:t>
      </w:r>
      <w:r>
        <w:rPr>
          <w:b/>
          <w:color w:val="808080"/>
        </w:rPr>
        <w:t>]</w:t>
      </w:r>
      <w:r>
        <w:rPr>
          <w:color w:val="808080"/>
        </w:rPr>
        <w:t>)</w:t>
      </w:r>
      <w:r>
        <w:rPr/>
        <w:t xml:space="preserve"> für diese </w:t>
      </w:r>
      <w:r>
        <w:rPr>
          <w:b/>
          <w:color w:val="808080"/>
        </w:rPr>
        <w:t>[</w:t>
      </w:r>
      <w:r>
        <w:rPr/>
        <w:t>Dinge</w:t>
      </w:r>
      <w:r>
        <w:rPr>
          <w:b/>
          <w:color w:val="808080"/>
        </w:rPr>
        <w:t>]</w:t>
      </w:r>
      <w:r>
        <w:rPr/>
        <w:t xml:space="preserve"> </w:t>
      </w:r>
      <w:r>
        <w:rPr>
          <w:color w:val="808080"/>
        </w:rPr>
        <w:t>(dafür)</w:t>
      </w:r>
      <w:r>
        <w:rPr/>
        <w:t xml:space="preserve"> geeignet </w:t>
      </w:r>
      <w:r>
        <w:rPr>
          <w:color w:val="808080"/>
        </w:rPr>
        <w:t>(zulänglich, würdig)</w:t>
      </w:r>
      <w:r>
        <w:rPr/>
        <w:t xml:space="preserve">?{{field-off:bible}} </w:t>
        <w:br/>
        <w:t>[[@BibleTOBIBLE:2Co 2:17]]</w:t>
      </w:r>
      <w:r>
        <w:rPr>
          <w:b/>
        </w:rPr>
        <w:t>17</w:t>
      </w:r>
      <w:r>
        <w:rPr/>
        <w:t xml:space="preserve"> {{field-on:bible}}Denn wir sind nicht wie die vielen, die Geschäfte machen </w:t>
      </w:r>
      <w:r>
        <w:rPr>
          <w:color w:val="808080"/>
        </w:rPr>
        <w:t>(Handel treiben)</w:t>
      </w:r>
      <w:r>
        <w:rPr/>
        <w:t xml:space="preserve"> </w:t>
      </w:r>
      <w:r>
        <w:rPr>
          <w:rStyle w:val="Funotenanker"/>
        </w:rPr>
        <w:footnoteReference w:customMarkFollows="1" w:id="2161"/>
        <w:t>g</w:t>
      </w:r>
      <w:r>
        <w:rPr/>
        <w:t xml:space="preserve"> mit dem Wort Gottes, sondern als </w:t>
      </w:r>
      <w:r>
        <w:rPr>
          <w:b/>
          <w:color w:val="808080"/>
        </w:rPr>
        <w:t>[</w:t>
      </w:r>
      <w:r>
        <w:rPr/>
        <w:t>Menschen</w:t>
      </w:r>
      <w:r>
        <w:rPr>
          <w:b/>
          <w:color w:val="808080"/>
        </w:rPr>
        <w:t>]</w:t>
      </w:r>
      <w:r>
        <w:rPr/>
        <w:t xml:space="preserve"> aus Lauterkeit </w:t>
      </w:r>
      <w:r>
        <w:rPr>
          <w:color w:val="808080"/>
        </w:rPr>
        <w:t>(Aufrichtigkeit, reiner Gesinnung)</w:t>
      </w:r>
      <w:r>
        <w:rPr/>
        <w:t xml:space="preserve">, </w:t>
      </w:r>
      <w:r>
        <w:rPr>
          <w:strike/>
          <w:color w:val="808080"/>
        </w:rPr>
        <w:t>{sondern}</w:t>
      </w:r>
      <w:r>
        <w:rPr/>
        <w:t xml:space="preserve"> als von Gott</w:t>
      </w:r>
      <w:r>
        <w:rPr>
          <w:rStyle w:val="Funotenanker"/>
        </w:rPr>
        <w:footnoteReference w:customMarkFollows="1" w:id="2162"/>
        <w:t>h</w:t>
      </w:r>
      <w:r>
        <w:rPr/>
        <w:t xml:space="preserve"> vor Gott</w:t>
      </w:r>
      <w:r>
        <w:rPr>
          <w:rStyle w:val="Funotenanker"/>
        </w:rPr>
        <w:footnoteReference w:customMarkFollows="1" w:id="2163"/>
        <w:t>i</w:t>
      </w:r>
      <w:r>
        <w:rPr/>
        <w:t xml:space="preserve"> in Christus verkünden wir </w:t>
      </w:r>
      <w:r>
        <w:rPr>
          <w:b/>
          <w:color w:val="808080"/>
        </w:rPr>
        <w:t>[</w:t>
      </w:r>
      <w:r>
        <w:rPr/>
        <w:t>es</w:t>
      </w:r>
      <w:r>
        <w:rPr>
          <w:b/>
          <w:color w:val="808080"/>
        </w:rPr>
        <w:t>]</w:t>
      </w:r>
      <w:r>
        <w:rPr/>
        <w:t xml:space="preserve"> </w:t>
      </w:r>
      <w:r>
        <w:rPr>
          <w:color w:val="808080"/>
        </w:rPr>
        <w:t>(sprechen wir</w:t>
      </w:r>
      <w:r>
        <w:rPr/>
        <w:t xml:space="preserve"> </w:t>
      </w:r>
      <w:r>
        <w:rPr>
          <w:rStyle w:val="Funotenanker"/>
        </w:rPr>
        <w:footnoteReference w:customMarkFollows="1" w:id="2164"/>
        <w:t>j</w:t>
      </w:r>
      <w:r>
        <w:rPr/>
        <w:t xml:space="preserve"> </w:t>
      </w:r>
      <w:r>
        <w:rPr>
          <w:color w:val="808080"/>
        </w:rPr>
        <w:t>)</w:t>
      </w:r>
      <w:r>
        <w:rPr/>
        <w:t xml:space="preserve">.{{field-off:bible}} </w:t>
      </w:r>
    </w:p>
    <w:p>
      <w:pPr>
        <w:pStyle w:val="Berschrift2"/>
        <w:rPr/>
      </w:pPr>
      <w:r>
        <w:rPr/>
        <w:t>[[@BibleTOBIBLE:Col]]Kolosser</w:t>
      </w:r>
    </w:p>
    <w:p>
      <w:pPr>
        <w:pStyle w:val="Berschrift3"/>
        <w:rPr/>
      </w:pPr>
      <w:r>
        <w:rPr/>
        <w:t>[[@BibleTOBIBLE:Col 1]]Kapitel 1</w:t>
      </w:r>
    </w:p>
    <w:p>
      <w:pPr>
        <w:pStyle w:val="Textkrper"/>
        <w:rPr/>
      </w:pPr>
      <w:r>
        <w:rPr/>
        <w:br/>
        <w:t>[[@BibleTOBIBLE:Col 1:1]]</w:t>
      </w:r>
      <w:r>
        <w:rPr>
          <w:b/>
        </w:rPr>
        <w:t>1</w:t>
      </w:r>
      <w:r>
        <w:rPr/>
        <w:t xml:space="preserve"> {{field-on:bible}} </w:t>
      </w:r>
      <w:r>
        <w:rPr>
          <w:rStyle w:val="Funotenanker"/>
        </w:rPr>
        <w:footnoteReference w:customMarkFollows="1" w:id="2165"/>
        <w:t>Status</w:t>
      </w:r>
      <w:r>
        <w:rPr/>
        <w:t xml:space="preserve"> Paulus, Apostel </w:t>
      </w:r>
      <w:r>
        <w:rPr>
          <w:b/>
          <w:color w:val="808080"/>
        </w:rPr>
        <w:t>[</w:t>
      </w:r>
      <w:r>
        <w:rPr/>
        <w:t>von</w:t>
      </w:r>
      <w:r>
        <w:rPr>
          <w:b/>
          <w:color w:val="808080"/>
        </w:rPr>
        <w:t>]</w:t>
      </w:r>
      <w:r>
        <w:rPr/>
        <w:t xml:space="preserve"> Christus Jesus durch den Willen Gottes, und Timotheus</w:t>
      </w:r>
      <w:r>
        <w:rPr>
          <w:rStyle w:val="Funotenanker"/>
        </w:rPr>
        <w:footnoteReference w:customMarkFollows="1" w:id="2166"/>
        <w:t>a</w:t>
      </w:r>
      <w:r>
        <w:rPr/>
        <w:t xml:space="preserve"> der Bruder{{field-off:bible}} </w:t>
        <w:br/>
        <w:t>[[@BibleTOBIBLE:Col 1:2]]</w:t>
      </w:r>
      <w:r>
        <w:rPr>
          <w:b/>
        </w:rPr>
        <w:t>2</w:t>
      </w:r>
      <w:r>
        <w:rPr/>
        <w:t xml:space="preserve"> {{field-on:bible}} </w:t>
      </w:r>
      <w:r>
        <w:rPr>
          <w:b/>
          <w:color w:val="808080"/>
        </w:rPr>
        <w:t>[</w:t>
      </w:r>
      <w:r>
        <w:rPr/>
        <w:t>an</w:t>
      </w:r>
      <w:r>
        <w:rPr>
          <w:b/>
          <w:color w:val="808080"/>
        </w:rPr>
        <w:t>]</w:t>
      </w:r>
      <w:r>
        <w:rPr/>
        <w:t xml:space="preserve"> die Heiligen</w:t>
      </w:r>
      <w:r>
        <w:rPr>
          <w:rStyle w:val="Funotenanker"/>
        </w:rPr>
        <w:footnoteReference w:customMarkFollows="1" w:id="2167"/>
        <w:t>b</w:t>
      </w:r>
      <w:r>
        <w:rPr/>
        <w:t xml:space="preserve"> in Kolossä, </w:t>
      </w:r>
      <w:r>
        <w:rPr>
          <w:strike/>
          <w:color w:val="808080"/>
        </w:rPr>
        <w:t>{und}</w:t>
      </w:r>
      <w:r>
        <w:rPr/>
        <w:t xml:space="preserve"> die treuen </w:t>
      </w:r>
      <w:r>
        <w:rPr>
          <w:color w:val="808080"/>
        </w:rPr>
        <w:t>(gläubigen)</w:t>
      </w:r>
      <w:r>
        <w:rPr/>
        <w:t xml:space="preserve"> </w:t>
      </w:r>
      <w:r>
        <w:rPr>
          <w:rStyle w:val="Funotenanker"/>
        </w:rPr>
        <w:footnoteReference w:customMarkFollows="1" w:id="2168"/>
        <w:t>c</w:t>
      </w:r>
      <w:r>
        <w:rPr/>
        <w:t xml:space="preserve"> Geschwister </w:t>
      </w:r>
      <w:r>
        <w:rPr>
          <w:color w:val="808080"/>
        </w:rPr>
        <w:t xml:space="preserve">(Brüder </w:t>
      </w:r>
      <w:r>
        <w:rPr>
          <w:b/>
          <w:color w:val="808080"/>
        </w:rPr>
        <w:t>[</w:t>
      </w:r>
      <w:r>
        <w:rPr>
          <w:color w:val="808080"/>
        </w:rPr>
        <w:t>und Schwestern</w:t>
      </w:r>
      <w:r>
        <w:rPr>
          <w:b/>
          <w:color w:val="808080"/>
        </w:rPr>
        <w:t>]</w:t>
      </w:r>
      <w:r>
        <w:rPr>
          <w:color w:val="808080"/>
        </w:rPr>
        <w:t>; Brüder)</w:t>
      </w:r>
      <w:r>
        <w:rPr/>
        <w:t xml:space="preserve"> </w:t>
      </w:r>
      <w:r>
        <w:rPr>
          <w:rStyle w:val="Funotenanker"/>
        </w:rPr>
        <w:footnoteReference w:customMarkFollows="1" w:id="2169"/>
        <w:t>d</w:t>
      </w:r>
      <w:r>
        <w:rPr/>
        <w:t xml:space="preserve"> in Christus </w:t>
      </w:r>
      <w:r>
        <w:rPr>
          <w:color w:val="808080"/>
        </w:rPr>
        <w:t>(an Christus Glaubenden)</w:t>
      </w:r>
      <w:r>
        <w:rPr/>
        <w:t xml:space="preserve"> </w:t>
      </w:r>
      <w:r>
        <w:rPr>
          <w:rStyle w:val="Funotenanker"/>
        </w:rPr>
        <w:footnoteReference w:customMarkFollows="1" w:id="2170"/>
        <w:t>e</w:t>
      </w:r>
      <w:r>
        <w:rPr/>
        <w:t xml:space="preserve"> </w:t>
      </w:r>
      <w:r>
        <w:rPr>
          <w:color w:val="808080"/>
        </w:rPr>
        <w:t xml:space="preserve">(die heiligen und treuen Geschwister; die Heiligen, </w:t>
      </w:r>
      <w:r>
        <w:rPr>
          <w:strike/>
          <w:color w:val="808080"/>
        </w:rPr>
        <w:t>{und}</w:t>
      </w:r>
      <w:r>
        <w:rPr>
          <w:color w:val="808080"/>
        </w:rPr>
        <w:t xml:space="preserve"> die treuen Geschwister ... in Kolossä)</w:t>
      </w:r>
      <w:r>
        <w:rPr/>
        <w:t xml:space="preserve">. Gnade </w:t>
      </w:r>
      <w:r>
        <w:rPr>
          <w:b/>
          <w:color w:val="808080"/>
        </w:rPr>
        <w:t>[</w:t>
      </w:r>
      <w:r>
        <w:rPr/>
        <w:t>sei mit</w:t>
      </w:r>
      <w:r>
        <w:rPr>
          <w:b/>
          <w:color w:val="808080"/>
        </w:rPr>
        <w:t>]</w:t>
      </w:r>
      <w:r>
        <w:rPr/>
        <w:t xml:space="preserve"> euch und Frieden von Gott, unserem Vater</w:t>
      </w:r>
      <w:r>
        <w:rPr>
          <w:rStyle w:val="Funotenanker"/>
        </w:rPr>
        <w:footnoteReference w:customMarkFollows="1" w:id="2171"/>
        <w:t>f</w:t>
      </w:r>
      <w:r>
        <w:rPr/>
        <w:t xml:space="preserve">.{{field-off:bible}} </w:t>
        <w:br/>
        <w:t>[[@BibleTOBIBLE:Col 1:3]]</w:t>
      </w:r>
      <w:r>
        <w:rPr>
          <w:b/>
        </w:rPr>
        <w:t>3</w:t>
      </w:r>
      <w:r>
        <w:rPr/>
        <w:t xml:space="preserve"> {{field-on:bible}}Wir danken Gott, dem Vater unseres Herrn Jesus Christus,</w:t>
      </w:r>
      <w:r>
        <w:rPr>
          <w:position w:val="8"/>
          <w:sz w:val="19"/>
        </w:rPr>
        <w:t>[[ ℘ &gt;&gt; BibleTOBIBLE:Eph 1:3]]</w:t>
      </w:r>
      <w:r>
        <w:rPr/>
        <w:t xml:space="preserve"> jedes Mal </w:t>
      </w:r>
      <w:r>
        <w:rPr>
          <w:color w:val="808080"/>
        </w:rPr>
        <w:t>(immer wieder, ständig)</w:t>
      </w:r>
      <w:r>
        <w:rPr/>
        <w:t xml:space="preserve">, wenn wir für euch beten </w:t>
      </w:r>
      <w:r>
        <w:rPr>
          <w:color w:val="808080"/>
        </w:rPr>
        <w:t>(für euch, wenn wir beten)</w:t>
      </w:r>
      <w:r>
        <w:rPr/>
        <w:t>,</w:t>
      </w:r>
      <w:r>
        <w:rPr>
          <w:rStyle w:val="Funotenanker"/>
        </w:rPr>
        <w:footnoteReference w:customMarkFollows="1" w:id="2172"/>
        <w:t>g</w:t>
      </w:r>
      <w:r>
        <w:rPr/>
        <w:t xml:space="preserve"> </w:t>
      </w:r>
      <w:r>
        <w:rPr>
          <w:position w:val="8"/>
          <w:sz w:val="19"/>
        </w:rPr>
        <w:t>[[ ℘ &gt;&gt; BibleTOBIBLE:Eph 1:16]][[ ℘ &gt;&gt; BibleTOBIBLE:1Th 1:2]]</w:t>
      </w:r>
      <w:r>
        <w:rPr/>
        <w:t xml:space="preserve"> {{field-off:bible}} </w:t>
        <w:br/>
        <w:t>[[@BibleTOBIBLE:Col 1:4]]</w:t>
      </w:r>
      <w:r>
        <w:rPr>
          <w:b/>
        </w:rPr>
        <w:t>4</w:t>
      </w:r>
      <w:r>
        <w:rPr/>
        <w:t xml:space="preserve"> {{field-on:bible}}weil wir </w:t>
      </w:r>
      <w:r>
        <w:rPr>
          <w:b/>
          <w:color w:val="808080"/>
        </w:rPr>
        <w:t>[</w:t>
      </w:r>
      <w:r>
        <w:rPr/>
        <w:t>von</w:t>
      </w:r>
      <w:r>
        <w:rPr>
          <w:b/>
          <w:color w:val="808080"/>
        </w:rPr>
        <w:t>]</w:t>
      </w:r>
      <w:r>
        <w:rPr/>
        <w:t xml:space="preserve"> eurem Glauben </w:t>
      </w:r>
      <w:r>
        <w:rPr>
          <w:color w:val="808080"/>
        </w:rPr>
        <w:t>(Vertrauen)</w:t>
      </w:r>
      <w:r>
        <w:rPr/>
        <w:t xml:space="preserve"> in </w:t>
      </w:r>
      <w:r>
        <w:rPr>
          <w:color w:val="808080"/>
        </w:rPr>
        <w:t>(an)</w:t>
      </w:r>
      <w:r>
        <w:rPr/>
        <w:t xml:space="preserve"> Christus Jesus</w:t>
      </w:r>
      <w:r>
        <w:rPr>
          <w:rStyle w:val="Funotenanker"/>
        </w:rPr>
        <w:footnoteReference w:customMarkFollows="1" w:id="2173"/>
        <w:t>h</w:t>
      </w:r>
      <w:r>
        <w:rPr/>
        <w:t xml:space="preserve"> gehört haben</w:t>
      </w:r>
      <w:r>
        <w:rPr>
          <w:rStyle w:val="Funotenanker"/>
        </w:rPr>
        <w:footnoteReference w:customMarkFollows="1" w:id="2174"/>
        <w:t>i</w:t>
      </w:r>
      <w:r>
        <w:rPr/>
        <w:t xml:space="preserve"> und </w:t>
      </w:r>
      <w:r>
        <w:rPr>
          <w:b/>
          <w:color w:val="808080"/>
        </w:rPr>
        <w:t>[</w:t>
      </w:r>
      <w:r>
        <w:rPr/>
        <w:t>von</w:t>
      </w:r>
      <w:r>
        <w:rPr>
          <w:b/>
          <w:color w:val="808080"/>
        </w:rPr>
        <w:t>]</w:t>
      </w:r>
      <w:r>
        <w:rPr/>
        <w:t xml:space="preserve"> der Liebe, die ihr gegenüber </w:t>
      </w:r>
      <w:r>
        <w:rPr>
          <w:color w:val="808080"/>
        </w:rPr>
        <w:t>(zu)</w:t>
      </w:r>
      <w:r>
        <w:rPr/>
        <w:t xml:space="preserve"> allen Heiligen habt,{{field-off:bible}} </w:t>
        <w:br/>
        <w:t>[[@BibleTOBIBLE:Col 1:5]]</w:t>
      </w:r>
      <w:r>
        <w:rPr>
          <w:b/>
        </w:rPr>
        <w:t>5</w:t>
      </w:r>
      <w:r>
        <w:rPr/>
        <w:t xml:space="preserve"> {{field-on:bible}}aufgrund </w:t>
      </w:r>
      <w:r>
        <w:rPr>
          <w:color w:val="808080"/>
        </w:rPr>
        <w:t>(wegen)</w:t>
      </w:r>
      <w:r>
        <w:rPr/>
        <w:t xml:space="preserve"> </w:t>
      </w:r>
      <w:r>
        <w:rPr>
          <w:rStyle w:val="Funotenanker"/>
        </w:rPr>
        <w:footnoteReference w:customMarkFollows="1" w:id="2175"/>
        <w:t>j</w:t>
      </w:r>
      <w:r>
        <w:rPr/>
        <w:t xml:space="preserve"> der </w:t>
      </w:r>
      <w:r>
        <w:rPr>
          <w:color w:val="808080"/>
        </w:rPr>
        <w:t>(durch die)</w:t>
      </w:r>
      <w:r>
        <w:rPr/>
        <w:t xml:space="preserve"> Hoffnung, die im Himmel</w:t>
      </w:r>
      <w:r>
        <w:rPr>
          <w:rStyle w:val="Funotenanker"/>
        </w:rPr>
        <w:footnoteReference w:customMarkFollows="1" w:id="2176"/>
        <w:t>k</w:t>
      </w:r>
      <w:r>
        <w:rPr/>
        <w:t xml:space="preserve"> </w:t>
      </w:r>
      <w:r>
        <w:rPr>
          <w:b/>
          <w:color w:val="808080"/>
        </w:rPr>
        <w:t>[</w:t>
      </w:r>
      <w:r>
        <w:rPr/>
        <w:t>auf</w:t>
      </w:r>
      <w:r>
        <w:rPr>
          <w:b/>
          <w:color w:val="808080"/>
        </w:rPr>
        <w:t>]</w:t>
      </w:r>
      <w:r>
        <w:rPr/>
        <w:t xml:space="preserve"> euch wartet </w:t>
      </w:r>
      <w:r>
        <w:rPr>
          <w:color w:val="808080"/>
        </w:rPr>
        <w:t>(für euch bereit/vorhanden/reserviert ist)</w:t>
      </w:r>
      <w:r>
        <w:rPr/>
        <w:t>,</w:t>
      </w:r>
      <w:r>
        <w:rPr>
          <w:position w:val="8"/>
          <w:sz w:val="19"/>
        </w:rPr>
        <w:t>[[ ℘ &gt;&gt; BibleTOBIBLE:1Pe 1:4]][[ ℘ &gt;&gt; BibleTOBIBLE:Tt 1:2]]</w:t>
      </w:r>
      <w:r>
        <w:rPr/>
        <w:t xml:space="preserve"> </w:t>
      </w:r>
      <w:r>
        <w:rPr>
          <w:b/>
          <w:color w:val="808080"/>
        </w:rPr>
        <w:t>[</w:t>
      </w:r>
      <w:r>
        <w:rPr/>
        <w:t>von</w:t>
      </w:r>
      <w:r>
        <w:rPr>
          <w:b/>
          <w:color w:val="808080"/>
        </w:rPr>
        <w:t>]</w:t>
      </w:r>
      <w:r>
        <w:rPr/>
        <w:t xml:space="preserve"> der ihr schon zuvor </w:t>
      </w:r>
      <w:r>
        <w:rPr>
          <w:color w:val="808080"/>
        </w:rPr>
        <w:t>(vorher)</w:t>
      </w:r>
      <w:r>
        <w:rPr/>
        <w:t xml:space="preserve"> </w:t>
      </w:r>
      <w:r>
        <w:rPr>
          <w:rStyle w:val="Funotenanker"/>
        </w:rPr>
        <w:footnoteReference w:customMarkFollows="1" w:id="2177"/>
        <w:t>l</w:t>
      </w:r>
      <w:r>
        <w:rPr/>
        <w:t xml:space="preserve"> durch das </w:t>
      </w:r>
      <w:r>
        <w:rPr>
          <w:color w:val="808080"/>
        </w:rPr>
        <w:t>(im)</w:t>
      </w:r>
      <w:r>
        <w:rPr/>
        <w:t xml:space="preserve"> Wort </w:t>
      </w:r>
      <w:r>
        <w:rPr>
          <w:color w:val="808080"/>
        </w:rPr>
        <w:t>(die Botschaft)</w:t>
      </w:r>
      <w:r>
        <w:rPr/>
        <w:t xml:space="preserve"> der Wahrheit, das Evangelium </w:t>
      </w:r>
      <w:r>
        <w:rPr>
          <w:color w:val="808080"/>
        </w:rPr>
        <w:t>(wahre Wort des Evangeliums)</w:t>
      </w:r>
      <w:r>
        <w:rPr/>
        <w:t xml:space="preserve"> </w:t>
      </w:r>
      <w:r>
        <w:rPr>
          <w:rStyle w:val="Funotenanker"/>
        </w:rPr>
        <w:footnoteReference w:customMarkFollows="1" w:id="2178"/>
        <w:t>m</w:t>
      </w:r>
      <w:r>
        <w:rPr/>
        <w:t xml:space="preserve"> gehört habt,{{field-off:bible}} </w:t>
        <w:br/>
        <w:t>[[@BibleTOBIBLE:Col 1:6]]</w:t>
      </w:r>
      <w:r>
        <w:rPr>
          <w:b/>
        </w:rPr>
        <w:t>6</w:t>
      </w:r>
      <w:r>
        <w:rPr/>
        <w:t xml:space="preserve"> {{field-on:bible}}das zu euch gekommen ist,</w:t>
      </w:r>
      <w:r>
        <w:rPr>
          <w:rStyle w:val="Funotenanker"/>
        </w:rPr>
        <w:footnoteReference w:customMarkFollows="1" w:id="2179"/>
        <w:t>n</w:t>
      </w:r>
      <w:r>
        <w:rPr/>
        <w:t xml:space="preserve"> </w:t>
      </w:r>
      <w:r>
        <w:rPr>
          <w:b/>
          <w:color w:val="808080"/>
        </w:rPr>
        <w:t>[</w:t>
      </w:r>
      <w:r>
        <w:rPr/>
        <w:t>das Evangelium</w:t>
      </w:r>
      <w:r>
        <w:rPr>
          <w:b/>
          <w:color w:val="808080"/>
        </w:rPr>
        <w:t>]</w:t>
      </w:r>
      <w:r>
        <w:rPr/>
        <w:t xml:space="preserve">, wie es auch auf </w:t>
      </w:r>
      <w:r>
        <w:rPr>
          <w:color w:val="808080"/>
        </w:rPr>
        <w:t>(in)</w:t>
      </w:r>
      <w:r>
        <w:rPr/>
        <w:t xml:space="preserve"> der ganzen Welt</w:t>
      </w:r>
      <w:r>
        <w:rPr>
          <w:rStyle w:val="Funotenanker"/>
        </w:rPr>
        <w:footnoteReference w:customMarkFollows="1" w:id="2180"/>
        <w:t>o</w:t>
      </w:r>
      <w:r>
        <w:rPr/>
        <w:t xml:space="preserve"> Frucht bringt und sich verbreitet, so wie </w:t>
      </w:r>
      <w:r>
        <w:rPr>
          <w:b/>
          <w:color w:val="808080"/>
        </w:rPr>
        <w:t>[</w:t>
      </w:r>
      <w:r>
        <w:rPr/>
        <w:t>es ja</w:t>
      </w:r>
      <w:r>
        <w:rPr>
          <w:b/>
          <w:color w:val="808080"/>
        </w:rPr>
        <w:t>]</w:t>
      </w:r>
      <w:r>
        <w:rPr/>
        <w:t xml:space="preserve"> auch unter </w:t>
      </w:r>
      <w:r>
        <w:rPr>
          <w:color w:val="808080"/>
        </w:rPr>
        <w:t>(in)</w:t>
      </w:r>
      <w:r>
        <w:rPr/>
        <w:t xml:space="preserve"> euch </w:t>
      </w:r>
      <w:r>
        <w:rPr>
          <w:b/>
          <w:color w:val="808080"/>
        </w:rPr>
        <w:t>[</w:t>
      </w:r>
      <w:r>
        <w:rPr/>
        <w:t>geschieht</w:t>
      </w:r>
      <w:r>
        <w:rPr>
          <w:b/>
          <w:color w:val="808080"/>
        </w:rPr>
        <w:t>]</w:t>
      </w:r>
      <w:r>
        <w:rPr/>
        <w:t xml:space="preserve"> </w:t>
      </w:r>
      <w:r>
        <w:rPr>
          <w:rStyle w:val="Funotenanker"/>
        </w:rPr>
        <w:footnoteReference w:customMarkFollows="1" w:id="2181"/>
        <w:t>p</w:t>
      </w:r>
      <w:r>
        <w:rPr/>
        <w:t xml:space="preserve"> seit dem Tag, </w:t>
      </w:r>
      <w:r>
        <w:rPr>
          <w:b/>
          <w:color w:val="808080"/>
        </w:rPr>
        <w:t>[</w:t>
      </w:r>
      <w:r>
        <w:rPr/>
        <w:t>als</w:t>
      </w:r>
      <w:r>
        <w:rPr>
          <w:b/>
          <w:color w:val="808080"/>
        </w:rPr>
        <w:t>]</w:t>
      </w:r>
      <w:r>
        <w:rPr/>
        <w:t xml:space="preserve"> ihr </w:t>
      </w:r>
      <w:r>
        <w:rPr>
          <w:b/>
          <w:color w:val="808080"/>
        </w:rPr>
        <w:t>[</w:t>
      </w:r>
      <w:r>
        <w:rPr/>
        <w:t>es</w:t>
      </w:r>
      <w:r>
        <w:rPr>
          <w:b/>
          <w:color w:val="808080"/>
        </w:rPr>
        <w:t>]</w:t>
      </w:r>
      <w:r>
        <w:rPr/>
        <w:t xml:space="preserve"> gehört und die Gnade Gottes wirklich </w:t>
      </w:r>
      <w:r>
        <w:rPr>
          <w:color w:val="808080"/>
        </w:rPr>
        <w:t>(in Wahrheit)</w:t>
      </w:r>
      <w:r>
        <w:rPr/>
        <w:t xml:space="preserve"> </w:t>
      </w:r>
      <w:r>
        <w:rPr>
          <w:rStyle w:val="Funotenanker"/>
        </w:rPr>
        <w:footnoteReference w:customMarkFollows="1" w:id="2182"/>
        <w:t>q</w:t>
      </w:r>
      <w:r>
        <w:rPr/>
        <w:t xml:space="preserve"> verstanden </w:t>
      </w:r>
      <w:r>
        <w:rPr>
          <w:color w:val="808080"/>
        </w:rPr>
        <w:t>(erkannt)</w:t>
      </w:r>
      <w:r>
        <w:rPr/>
        <w:t xml:space="preserve"> </w:t>
      </w:r>
      <w:r>
        <w:rPr>
          <w:color w:val="808080"/>
        </w:rPr>
        <w:t>(</w:t>
      </w:r>
      <w:r>
        <w:rPr>
          <w:b/>
          <w:color w:val="808080"/>
        </w:rPr>
        <w:t>[</w:t>
      </w:r>
      <w:r>
        <w:rPr>
          <w:color w:val="808080"/>
        </w:rPr>
        <w:t>als</w:t>
      </w:r>
      <w:r>
        <w:rPr>
          <w:b/>
          <w:color w:val="808080"/>
        </w:rPr>
        <w:t>]</w:t>
      </w:r>
      <w:r>
        <w:rPr>
          <w:color w:val="808080"/>
        </w:rPr>
        <w:t xml:space="preserve"> wahr erkannt)</w:t>
      </w:r>
      <w:r>
        <w:rPr/>
        <w:t xml:space="preserve"> habt</w:t>
      </w:r>
      <w:r>
        <w:rPr>
          <w:rStyle w:val="Funotenanker"/>
        </w:rPr>
        <w:footnoteReference w:customMarkFollows="1" w:id="2183"/>
        <w:t>r</w:t>
      </w:r>
      <w:r>
        <w:rPr/>
        <w:t xml:space="preserve"> –{{field-off:bible}} </w:t>
        <w:br/>
        <w:t>[[@BibleTOBIBLE:Col 1:7]]</w:t>
      </w:r>
      <w:r>
        <w:rPr>
          <w:b/>
        </w:rPr>
        <w:t>7</w:t>
      </w:r>
      <w:r>
        <w:rPr/>
        <w:t xml:space="preserve"> {{field-on:bible}} </w:t>
      </w:r>
      <w:r>
        <w:rPr>
          <w:b/>
          <w:color w:val="808080"/>
        </w:rPr>
        <w:t>[</w:t>
      </w:r>
      <w:r>
        <w:rPr/>
        <w:t>das Evangelium</w:t>
      </w:r>
      <w:r>
        <w:rPr>
          <w:b/>
          <w:color w:val="808080"/>
        </w:rPr>
        <w:t>]</w:t>
      </w:r>
      <w:r>
        <w:rPr/>
        <w:t>, wie</w:t>
      </w:r>
      <w:r>
        <w:rPr>
          <w:rStyle w:val="Funotenanker"/>
        </w:rPr>
        <w:footnoteReference w:customMarkFollows="1" w:id="2184"/>
        <w:t>s</w:t>
      </w:r>
      <w:r>
        <w:rPr/>
        <w:t xml:space="preserve"> ihr </w:t>
      </w:r>
      <w:r>
        <w:rPr>
          <w:b/>
          <w:color w:val="808080"/>
        </w:rPr>
        <w:t>[</w:t>
      </w:r>
      <w:r>
        <w:rPr/>
        <w:t>es</w:t>
      </w:r>
      <w:r>
        <w:rPr>
          <w:b/>
          <w:color w:val="808080"/>
        </w:rPr>
        <w:t>]</w:t>
      </w:r>
      <w:r>
        <w:rPr/>
        <w:t xml:space="preserve"> von unserem geliebten Mitsklaven Epaphras</w:t>
      </w:r>
      <w:r>
        <w:rPr>
          <w:rStyle w:val="Funotenanker"/>
        </w:rPr>
        <w:footnoteReference w:customMarkFollows="1" w:id="2185"/>
        <w:t>t</w:t>
      </w:r>
      <w:r>
        <w:rPr/>
        <w:t xml:space="preserve"> gelernt habt, der ein treuer Diener Christi an unserer Stelle </w:t>
      </w:r>
      <w:r>
        <w:rPr>
          <w:color w:val="808080"/>
        </w:rPr>
        <w:t>(für euch)</w:t>
      </w:r>
      <w:r>
        <w:rPr/>
        <w:t xml:space="preserve"> </w:t>
      </w:r>
      <w:r>
        <w:rPr>
          <w:rStyle w:val="Funotenanker"/>
        </w:rPr>
        <w:footnoteReference w:customMarkFollows="1" w:id="2186"/>
        <w:t>u</w:t>
      </w:r>
      <w:r>
        <w:rPr/>
        <w:t xml:space="preserve"> ist,{{field-off:bible}} </w:t>
        <w:br/>
        <w:t>[[@BibleTOBIBLE:Col 1:8]]</w:t>
      </w:r>
      <w:r>
        <w:rPr>
          <w:b/>
        </w:rPr>
        <w:t>8</w:t>
      </w:r>
      <w:r>
        <w:rPr/>
        <w:t xml:space="preserve"> {{field-on:bible}}der </w:t>
      </w:r>
      <w:r>
        <w:rPr>
          <w:b/>
          <w:color w:val="808080"/>
        </w:rPr>
        <w:t>[</w:t>
      </w:r>
      <w:r>
        <w:rPr/>
        <w:t>es</w:t>
      </w:r>
      <w:r>
        <w:rPr>
          <w:b/>
          <w:color w:val="808080"/>
        </w:rPr>
        <w:t>]</w:t>
      </w:r>
      <w:r>
        <w:rPr/>
        <w:t xml:space="preserve"> auch </w:t>
      </w:r>
      <w:r>
        <w:rPr>
          <w:b/>
          <w:color w:val="808080"/>
        </w:rPr>
        <w:t>[</w:t>
      </w:r>
      <w:r>
        <w:rPr/>
        <w:t>war, der</w:t>
      </w:r>
      <w:r>
        <w:rPr>
          <w:b/>
          <w:color w:val="808080"/>
        </w:rPr>
        <w:t>]</w:t>
      </w:r>
      <w:r>
        <w:rPr/>
        <w:t xml:space="preserve"> uns eure Liebe durch </w:t>
      </w:r>
      <w:r>
        <w:rPr>
          <w:b/>
          <w:color w:val="808080"/>
        </w:rPr>
        <w:t>[</w:t>
      </w:r>
      <w:r>
        <w:rPr/>
        <w:t>den</w:t>
      </w:r>
      <w:r>
        <w:rPr>
          <w:b/>
          <w:color w:val="808080"/>
        </w:rPr>
        <w:t>]</w:t>
      </w:r>
      <w:r>
        <w:rPr/>
        <w:t xml:space="preserve"> </w:t>
      </w:r>
      <w:r>
        <w:rPr>
          <w:color w:val="808080"/>
        </w:rPr>
        <w:t>(im)</w:t>
      </w:r>
      <w:r>
        <w:rPr/>
        <w:t xml:space="preserve"> Geist</w:t>
      </w:r>
      <w:r>
        <w:rPr>
          <w:rStyle w:val="Funotenanker"/>
        </w:rPr>
        <w:footnoteReference w:customMarkFollows="1" w:id="2187"/>
        <w:t>v</w:t>
      </w:r>
      <w:r>
        <w:rPr/>
        <w:t xml:space="preserve"> deutlich gemacht </w:t>
      </w:r>
      <w:r>
        <w:rPr>
          <w:color w:val="808080"/>
        </w:rPr>
        <w:t>(aufgezeigt, offenbart)</w:t>
      </w:r>
      <w:r>
        <w:rPr/>
        <w:t xml:space="preserve"> hat.</w:t>
      </w:r>
      <w:r>
        <w:rPr>
          <w:rStyle w:val="Funotenanker"/>
        </w:rPr>
        <w:footnoteReference w:customMarkFollows="1" w:id="2188"/>
        <w:t>w</w:t>
      </w:r>
      <w:r>
        <w:rPr/>
        <w:t xml:space="preserve"> {{field-off:bible}} </w:t>
        <w:br/>
        <w:t>[[@BibleTOBIBLE:Col 1:21]]</w:t>
      </w:r>
      <w:r>
        <w:rPr>
          <w:b/>
        </w:rPr>
        <w:t>21</w:t>
      </w:r>
      <w:r>
        <w:rPr/>
        <w:t xml:space="preserve"> {{field-on:bible}}und </w:t>
      </w:r>
      <w:r>
        <w:rPr>
          <w:b/>
          <w:color w:val="808080"/>
        </w:rPr>
        <w:t>[</w:t>
      </w:r>
      <w:r>
        <w:rPr/>
        <w:t>auch</w:t>
      </w:r>
      <w:r>
        <w:rPr>
          <w:b/>
          <w:color w:val="808080"/>
        </w:rPr>
        <w:t>]</w:t>
      </w:r>
      <w:r>
        <w:rPr/>
        <w:t xml:space="preserve"> euch:</w:t>
      </w:r>
      <w:r>
        <w:rPr>
          <w:rStyle w:val="Funotenanker"/>
        </w:rPr>
        <w:footnoteReference w:customMarkFollows="1" w:id="2189"/>
        <w:t>x</w:t>
      </w:r>
      <w:r>
        <w:rPr/>
        <w:t xml:space="preserve"> ihr mögt </w:t>
      </w:r>
      <w:r>
        <w:rPr>
          <w:b/>
          <w:color w:val="808080"/>
        </w:rPr>
        <w:t>[</w:t>
      </w:r>
      <w:r>
        <w:rPr/>
        <w:t>ja</w:t>
      </w:r>
      <w:r>
        <w:rPr>
          <w:b/>
          <w:color w:val="808080"/>
        </w:rPr>
        <w:t>]</w:t>
      </w:r>
      <w:r>
        <w:rPr/>
        <w:t xml:space="preserve"> früher </w:t>
      </w:r>
      <w:r>
        <w:rPr>
          <w:color w:val="808080"/>
        </w:rPr>
        <w:t>(einmal)</w:t>
      </w:r>
      <w:r>
        <w:rPr/>
        <w:t xml:space="preserve"> Fremde </w:t>
      </w:r>
      <w:r>
        <w:rPr>
          <w:color w:val="808080"/>
        </w:rPr>
        <w:t>(entfremdet)</w:t>
      </w:r>
      <w:r>
        <w:rPr/>
        <w:t xml:space="preserve"> </w:t>
      </w:r>
      <w:r>
        <w:rPr>
          <w:rStyle w:val="Funotenanker"/>
        </w:rPr>
        <w:footnoteReference w:customMarkFollows="1" w:id="2190"/>
        <w:t>y</w:t>
      </w:r>
      <w:r>
        <w:rPr/>
        <w:t xml:space="preserve"> und innerlich </w:t>
      </w:r>
      <w:r>
        <w:rPr>
          <w:color w:val="808080"/>
        </w:rPr>
        <w:t>(in eurer Gesinnung, Denkweise, Geisteshaltung)</w:t>
      </w:r>
      <w:r>
        <w:rPr/>
        <w:t xml:space="preserve"> </w:t>
      </w:r>
      <w:r>
        <w:rPr>
          <w:rStyle w:val="Funotenanker"/>
        </w:rPr>
        <w:footnoteReference w:customMarkFollows="1" w:id="2191"/>
        <w:t>z</w:t>
      </w:r>
      <w:r>
        <w:rPr/>
        <w:t xml:space="preserve"> Feinde aufgrund </w:t>
      </w:r>
      <w:r>
        <w:rPr>
          <w:color w:val="808080"/>
        </w:rPr>
        <w:t>(in)</w:t>
      </w:r>
      <w:r>
        <w:rPr/>
        <w:t xml:space="preserve"> </w:t>
      </w:r>
      <w:r>
        <w:rPr>
          <w:rStyle w:val="Funotenanker"/>
        </w:rPr>
        <w:footnoteReference w:customMarkFollows="1" w:id="2192"/>
        <w:t>aa</w:t>
      </w:r>
      <w:r>
        <w:rPr/>
        <w:t xml:space="preserve"> </w:t>
      </w:r>
      <w:r>
        <w:rPr>
          <w:b/>
          <w:color w:val="808080"/>
        </w:rPr>
        <w:t>[</w:t>
      </w:r>
      <w:r>
        <w:rPr/>
        <w:t>eures</w:t>
      </w:r>
      <w:r>
        <w:rPr>
          <w:b/>
          <w:color w:val="808080"/>
        </w:rPr>
        <w:t>]</w:t>
      </w:r>
      <w:r>
        <w:rPr/>
        <w:t xml:space="preserve"> bösen Verhaltens </w:t>
      </w:r>
      <w:r>
        <w:rPr>
          <w:color w:val="808080"/>
        </w:rPr>
        <w:t>(Taten, Werken)</w:t>
      </w:r>
      <w:r>
        <w:rPr/>
        <w:t xml:space="preserve"> gewesen sein,</w:t>
      </w:r>
      <w:r>
        <w:rPr>
          <w:rStyle w:val="Funotenanker"/>
        </w:rPr>
        <w:footnoteReference w:customMarkFollows="1" w:id="2193"/>
        <w:t>ab</w:t>
      </w:r>
      <w:r>
        <w:rPr/>
        <w:t xml:space="preserve"> </w:t>
      </w:r>
      <w:r>
        <w:rPr>
          <w:position w:val="8"/>
          <w:sz w:val="19"/>
        </w:rPr>
        <w:t>[[ ℘ &gt;&gt; BibleTOBIBLE:Eph 2:12]][[ ℘ &gt;&gt; BibleTOBIBLE:Eph 4:18]]</w:t>
      </w:r>
      <w:r>
        <w:rPr/>
        <w:t xml:space="preserve"> {{field-off:bible}} </w:t>
        <w:br/>
        <w:t>[[@BibleTOBIBLE:Col 1:22]]</w:t>
      </w:r>
      <w:r>
        <w:rPr>
          <w:b/>
        </w:rPr>
        <w:t>22</w:t>
      </w:r>
      <w:r>
        <w:rPr/>
        <w:t xml:space="preserve"> {{field-on:bible}}aber jetzt wurdet ihr </w:t>
      </w:r>
      <w:r>
        <w:rPr>
          <w:color w:val="808080"/>
        </w:rPr>
        <w:t xml:space="preserve">(hat </w:t>
      </w:r>
      <w:r>
        <w:rPr>
          <w:b/>
          <w:color w:val="808080"/>
        </w:rPr>
        <w:t>[</w:t>
      </w:r>
      <w:r>
        <w:rPr>
          <w:color w:val="808080"/>
        </w:rPr>
        <w:t>er euch</w:t>
      </w:r>
      <w:r>
        <w:rPr>
          <w:b/>
          <w:color w:val="808080"/>
        </w:rPr>
        <w:t>]</w:t>
      </w:r>
      <w:r>
        <w:rPr>
          <w:color w:val="808080"/>
        </w:rPr>
        <w:t>)</w:t>
      </w:r>
      <w:r>
        <w:rPr/>
        <w:t xml:space="preserve"> kraft </w:t>
      </w:r>
      <w:r>
        <w:rPr>
          <w:color w:val="808080"/>
        </w:rPr>
        <w:t>(mittels, anhand, durch, mit, in)</w:t>
      </w:r>
      <w:r>
        <w:rPr/>
        <w:t xml:space="preserve"> </w:t>
      </w:r>
      <w:r>
        <w:rPr>
          <w:rStyle w:val="Funotenanker"/>
        </w:rPr>
        <w:footnoteReference w:customMarkFollows="1" w:id="2194"/>
        <w:t>ac</w:t>
      </w:r>
      <w:r>
        <w:rPr/>
        <w:t xml:space="preserve"> seines fleischlichen Körpers</w:t>
      </w:r>
      <w:r>
        <w:rPr>
          <w:rStyle w:val="Funotenanker"/>
        </w:rPr>
        <w:footnoteReference w:customMarkFollows="1" w:id="2195"/>
        <w:t>ad</w:t>
      </w:r>
      <w:r>
        <w:rPr/>
        <w:t xml:space="preserve"> durch den Tod versöhnt</w:t>
      </w:r>
      <w:r>
        <w:rPr>
          <w:rStyle w:val="Funotenanker"/>
        </w:rPr>
        <w:footnoteReference w:customMarkFollows="1" w:id="2196"/>
        <w:t>ae</w:t>
      </w:r>
      <w:r>
        <w:rPr/>
        <w:t xml:space="preserve">, um euch in seinen Augen </w:t>
      </w:r>
      <w:r>
        <w:rPr>
          <w:color w:val="808080"/>
        </w:rPr>
        <w:t>(vor sich)</w:t>
      </w:r>
      <w:r>
        <w:rPr/>
        <w:t xml:space="preserve"> </w:t>
      </w:r>
      <w:r>
        <w:rPr>
          <w:b/>
          <w:color w:val="808080"/>
        </w:rPr>
        <w:t>[</w:t>
      </w:r>
      <w:r>
        <w:rPr/>
        <w:t>als</w:t>
      </w:r>
      <w:r>
        <w:rPr>
          <w:b/>
          <w:color w:val="808080"/>
        </w:rPr>
        <w:t>]</w:t>
      </w:r>
      <w:r>
        <w:rPr/>
        <w:t xml:space="preserve"> heilig und fehlerlos </w:t>
      </w:r>
      <w:r>
        <w:rPr>
          <w:color w:val="808080"/>
        </w:rPr>
        <w:t>(makellos, tadellos)</w:t>
      </w:r>
      <w:r>
        <w:rPr/>
        <w:t xml:space="preserve"> und unbescholten </w:t>
      </w:r>
      <w:r>
        <w:rPr>
          <w:color w:val="808080"/>
        </w:rPr>
        <w:t>(makellos, ohne Anklage)</w:t>
      </w:r>
      <w:r>
        <w:rPr/>
        <w:t xml:space="preserve"> </w:t>
      </w:r>
      <w:r>
        <w:rPr>
          <w:rStyle w:val="Funotenanker"/>
        </w:rPr>
        <w:footnoteReference w:customMarkFollows="1" w:id="2197"/>
        <w:t>af</w:t>
      </w:r>
      <w:r>
        <w:rPr/>
        <w:t xml:space="preserve"> zu präsentieren </w:t>
      </w:r>
      <w:r>
        <w:rPr>
          <w:color w:val="808080"/>
        </w:rPr>
        <w:t>(zu machen, vor sich hinzustellen)</w:t>
      </w:r>
      <w:r>
        <w:rPr/>
        <w:t xml:space="preserve"> </w:t>
      </w:r>
      <w:r>
        <w:rPr>
          <w:rStyle w:val="Funotenanker"/>
        </w:rPr>
        <w:footnoteReference w:customMarkFollows="1" w:id="2198"/>
        <w:t>ag</w:t>
      </w:r>
      <w:r>
        <w:rPr/>
        <w:t>,</w:t>
      </w:r>
      <w:r>
        <w:rPr>
          <w:position w:val="8"/>
          <w:sz w:val="19"/>
        </w:rPr>
        <w:t>[[ ℘ &gt;&gt; BibleTOBIBLE:Eph 2:12]][[ ℘ &gt;&gt; BibleTOBIBLE:Eph 5:27]][[ ℘ &gt;&gt; BibleTOBIBLE:2Co 11:2]][[ ℘ &gt;&gt; BibleTOBIBLE:Ro 14:10]][[ ℘ &gt;&gt; BibleTOBIBLE:Col 1:28]]</w:t>
      </w:r>
      <w:r>
        <w:rPr/>
        <w:t xml:space="preserve"> {{field-off:bible}} </w:t>
        <w:br/>
        <w:t>[[@BibleTOBIBLE:Col 1:23]]</w:t>
      </w:r>
      <w:r>
        <w:rPr>
          <w:b/>
        </w:rPr>
        <w:t>23</w:t>
      </w:r>
      <w:r>
        <w:rPr/>
        <w:t xml:space="preserve"> {{field-on:bible}}wenn </w:t>
      </w:r>
      <w:r>
        <w:rPr>
          <w:color w:val="808080"/>
        </w:rPr>
        <w:t>(sofern)</w:t>
      </w:r>
      <w:r>
        <w:rPr/>
        <w:t xml:space="preserve"> ihr denn weiter im Glauben bleibt, auf einem festen Fundament </w:t>
      </w:r>
      <w:r>
        <w:rPr>
          <w:color w:val="808080"/>
        </w:rPr>
        <w:t>(fest gegründet)</w:t>
      </w:r>
      <w:r>
        <w:rPr/>
        <w:t xml:space="preserve"> </w:t>
      </w:r>
      <w:r>
        <w:rPr>
          <w:rStyle w:val="Funotenanker"/>
        </w:rPr>
        <w:footnoteReference w:customMarkFollows="1" w:id="2199"/>
        <w:t>ah</w:t>
      </w:r>
      <w:r>
        <w:rPr/>
        <w:t xml:space="preserve"> und sicher, und nicht von der Hoffnung des Evangeliums abgebracht werdet,</w:t>
      </w:r>
      <w:r>
        <w:rPr>
          <w:rStyle w:val="Funotenanker"/>
        </w:rPr>
        <w:footnoteReference w:customMarkFollows="1" w:id="2200"/>
        <w:t>ai</w:t>
      </w:r>
      <w:r>
        <w:rPr/>
        <w:t xml:space="preserve"> das ihr gehört habt, </w:t>
      </w:r>
      <w:r>
        <w:rPr>
          <w:b/>
          <w:color w:val="808080"/>
        </w:rPr>
        <w:t>[</w:t>
      </w:r>
      <w:r>
        <w:rPr/>
        <w:t>des Evangeliums</w:t>
      </w:r>
      <w:r>
        <w:rPr>
          <w:b/>
          <w:color w:val="808080"/>
        </w:rPr>
        <w:t>]</w:t>
      </w:r>
      <w:r>
        <w:rPr/>
        <w:t>,</w:t>
      </w:r>
      <w:r>
        <w:rPr>
          <w:rStyle w:val="Funotenanker"/>
        </w:rPr>
        <w:footnoteReference w:customMarkFollows="1" w:id="2201"/>
        <w:t>aj</w:t>
      </w:r>
      <w:r>
        <w:rPr/>
        <w:t xml:space="preserve"> das in </w:t>
      </w:r>
      <w:r>
        <w:rPr>
          <w:b/>
          <w:color w:val="808080"/>
        </w:rPr>
        <w:t>[</w:t>
      </w:r>
      <w:r>
        <w:rPr/>
        <w:t>der</w:t>
      </w:r>
      <w:r>
        <w:rPr>
          <w:b/>
          <w:color w:val="808080"/>
        </w:rPr>
        <w:t>]</w:t>
      </w:r>
      <w:r>
        <w:rPr/>
        <w:t xml:space="preserve"> ganzen Schöpfung unter dem Himmel</w:t>
      </w:r>
      <w:r>
        <w:rPr>
          <w:rStyle w:val="Funotenanker"/>
        </w:rPr>
        <w:footnoteReference w:customMarkFollows="1" w:id="2202"/>
        <w:t>ak</w:t>
      </w:r>
      <w:r>
        <w:rPr/>
        <w:t xml:space="preserve"> verkündet wurde </w:t>
      </w:r>
      <w:r>
        <w:rPr>
          <w:color w:val="808080"/>
        </w:rPr>
        <w:t>(wird)</w:t>
      </w:r>
      <w:r>
        <w:rPr/>
        <w:t xml:space="preserve">, dem ich, Paulus, </w:t>
      </w:r>
      <w:r>
        <w:rPr>
          <w:b/>
          <w:color w:val="808080"/>
        </w:rPr>
        <w:t>[</w:t>
      </w:r>
      <w:r>
        <w:rPr/>
        <w:t>zum</w:t>
      </w:r>
      <w:r>
        <w:rPr>
          <w:b/>
          <w:color w:val="808080"/>
        </w:rPr>
        <w:t>]</w:t>
      </w:r>
      <w:r>
        <w:rPr/>
        <w:t xml:space="preserve"> Diener geworden bin.</w:t>
      </w:r>
      <w:r>
        <w:rPr>
          <w:position w:val="8"/>
          <w:sz w:val="19"/>
        </w:rPr>
        <w:t>[[ ℘ &gt;&gt; BibleTOBIBLE:Eph 3:7]][[ ℘ &gt;&gt; BibleTOBIBLE:Eph 3:17]]</w:t>
      </w:r>
      <w:r>
        <w:rPr/>
        <w:t xml:space="preserve"> {{field-off:bible}}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2203"/>
        <w:t>Status</w:t>
      </w:r>
      <w:r>
        <w:rPr/>
        <w:t xml:space="preserve"> Jakobus, ein Sklave </w:t>
      </w:r>
      <w:r>
        <w:rPr>
          <w:color w:val="808080"/>
        </w:rPr>
        <w:t>(Knecht, Diener)</w:t>
      </w:r>
      <w:r>
        <w:rPr/>
        <w:t xml:space="preserve"> Gottes und des Herrn Jesus Christus, an die zwölf Stämme in der Zerstreuung </w:t>
      </w:r>
      <w:r>
        <w:rPr>
          <w:color w:val="808080"/>
        </w:rPr>
        <w:t>(Diaspora)</w:t>
      </w:r>
      <w:r>
        <w:rPr/>
        <w:t>.</w:t>
      </w:r>
      <w:r>
        <w:rPr>
          <w:rStyle w:val="Funotenanker"/>
        </w:rPr>
        <w:footnoteReference w:customMarkFollows="1" w:id="2204"/>
        <w:t>a</w:t>
      </w:r>
      <w:r>
        <w:rPr/>
        <w:t xml:space="preserve"> Grüße! </w:t>
      </w:r>
      <w:r>
        <w:rPr>
          <w:rStyle w:val="Funotenanker"/>
        </w:rPr>
        <w:footnoteReference w:customMarkFollows="1" w:id="2205"/>
        <w:t>b</w:t>
      </w:r>
      <w:r>
        <w:rPr/>
        <w:t xml:space="preserve"> {{field-off:bible}} </w:t>
        <w:br/>
        <w:t>[[@BibleTOBIBLE:Jas 1:2]]</w:t>
      </w:r>
      <w:r>
        <w:rPr>
          <w:b/>
        </w:rPr>
        <w:t>2</w:t>
      </w:r>
      <w:r>
        <w:rPr/>
        <w:t xml:space="preserve"> {{field-on:bible}}Haltet es für ganze </w:t>
      </w:r>
      <w:r>
        <w:rPr>
          <w:color w:val="808080"/>
        </w:rPr>
        <w:t>(nichts als)</w:t>
      </w:r>
      <w:r>
        <w:rPr/>
        <w:t xml:space="preserve"> Freude </w:t>
      </w:r>
      <w:r>
        <w:rPr>
          <w:color w:val="808080"/>
        </w:rPr>
        <w:t>(Haltet es für nichts anderes denn als einen Grund zur Freude)</w:t>
      </w:r>
      <w:r>
        <w:rPr/>
        <w:t xml:space="preserve">, meine Brüder </w:t>
      </w:r>
      <w:r>
        <w:rPr>
          <w:color w:val="808080"/>
        </w:rPr>
        <w:t>(Geschwister)</w:t>
      </w:r>
      <w:r>
        <w:rPr/>
        <w:t xml:space="preserve"> </w:t>
      </w:r>
      <w:r>
        <w:rPr>
          <w:rStyle w:val="Funotenanker"/>
        </w:rPr>
        <w:footnoteReference w:customMarkFollows="1" w:id="2206"/>
        <w:t>c</w:t>
      </w:r>
      <w:r>
        <w:rPr/>
        <w:t xml:space="preserve"> , wenn </w:t>
      </w:r>
      <w:r>
        <w:rPr>
          <w:color w:val="808080"/>
        </w:rPr>
        <w:t>(wann immer)</w:t>
      </w:r>
      <w:r>
        <w:rPr/>
        <w:t xml:space="preserve"> ihr in verschiedenste </w:t>
      </w:r>
      <w:r>
        <w:rPr>
          <w:color w:val="808080"/>
        </w:rPr>
        <w:t>(vielfältige)</w:t>
      </w:r>
      <w:r>
        <w:rPr/>
        <w:t xml:space="preserve"> Prüfungen </w:t>
      </w:r>
      <w:r>
        <w:rPr>
          <w:color w:val="808080"/>
        </w:rPr>
        <w:t>(Versuchungen)</w:t>
      </w:r>
      <w:r>
        <w:rPr/>
        <w:t xml:space="preserve"> </w:t>
      </w:r>
      <w:r>
        <w:rPr>
          <w:rStyle w:val="Funotenanker"/>
        </w:rPr>
        <w:footnoteReference w:customMarkFollows="1" w:id="2207"/>
        <w:t>d</w:t>
      </w:r>
      <w:r>
        <w:rPr/>
        <w:t xml:space="preserve"> fallt,{{field-off:bible}} </w:t>
        <w:br/>
        <w:t>[[@BibleTOBIBLE:Jas 1:3]]</w:t>
      </w:r>
      <w:r>
        <w:rPr>
          <w:b/>
        </w:rPr>
        <w:t>3</w:t>
      </w:r>
      <w:r>
        <w:rPr/>
        <w:t xml:space="preserve"> {{field-on:bible}}da ihr </w:t>
      </w:r>
      <w:r>
        <w:rPr>
          <w:b/>
          <w:color w:val="808080"/>
        </w:rPr>
        <w:t>[</w:t>
      </w:r>
      <w:r>
        <w:rPr/>
        <w:t>ja</w:t>
      </w:r>
      <w:r>
        <w:rPr>
          <w:b/>
          <w:color w:val="808080"/>
        </w:rPr>
        <w:t>]</w:t>
      </w:r>
      <w:r>
        <w:rPr/>
        <w:t xml:space="preserve"> wisst </w:t>
      </w:r>
      <w:r>
        <w:rPr>
          <w:color w:val="808080"/>
        </w:rPr>
        <w:t>(im Wissen, wisst!)</w:t>
      </w:r>
      <w:r>
        <w:rPr/>
        <w:t xml:space="preserve"> </w:t>
      </w:r>
      <w:r>
        <w:rPr>
          <w:rStyle w:val="Funotenanker"/>
        </w:rPr>
        <w:footnoteReference w:customMarkFollows="1" w:id="2208"/>
        <w:t>e</w:t>
      </w:r>
      <w:r>
        <w:rPr/>
        <w:t xml:space="preserve">, dass die Erprobung </w:t>
      </w:r>
      <w:r>
        <w:rPr>
          <w:color w:val="808080"/>
        </w:rPr>
        <w:t>(die Bewährung)</w:t>
      </w:r>
      <w:r>
        <w:rPr/>
        <w:t xml:space="preserve"> eures Glaubens </w:t>
      </w:r>
      <w:r>
        <w:rPr>
          <w:color w:val="808080"/>
        </w:rPr>
        <w:t>(das Erprobte an eurem Glauben)</w:t>
      </w:r>
      <w:r>
        <w:rPr/>
        <w:t xml:space="preserve"> Standhaftigkeit </w:t>
      </w:r>
      <w:r>
        <w:rPr>
          <w:color w:val="808080"/>
        </w:rPr>
        <w:t>(Ausharren, Geduld, Ausdauer, Standhaftigkeit)</w:t>
      </w:r>
      <w:r>
        <w:rPr/>
        <w:t xml:space="preserve"> </w:t>
      </w:r>
      <w:r>
        <w:rPr>
          <w:rStyle w:val="Funotenanker"/>
        </w:rPr>
        <w:footnoteReference w:customMarkFollows="1" w:id="2209"/>
        <w:t>f</w:t>
      </w:r>
      <w:r>
        <w:rPr/>
        <w:t xml:space="preserve"> hervorbringt </w:t>
      </w:r>
      <w:r>
        <w:rPr>
          <w:color w:val="808080"/>
        </w:rPr>
        <w:t>(bewirkt)</w:t>
      </w:r>
      <w:r>
        <w:rPr/>
        <w:t xml:space="preserve">.{{field-off:bible}} </w:t>
        <w:br/>
        <w:t>[[@BibleTOBIBLE:Jas 1:4]]</w:t>
      </w:r>
      <w:r>
        <w:rPr>
          <w:b/>
        </w:rPr>
        <w:t>4</w:t>
      </w:r>
      <w:r>
        <w:rPr/>
        <w:t xml:space="preserve"> {{field-on:bible}}Die Standhaftigkeit </w:t>
      </w:r>
      <w:r>
        <w:rPr>
          <w:strike/>
          <w:color w:val="808080"/>
        </w:rPr>
        <w:t>{aber}</w:t>
      </w:r>
      <w:r>
        <w:rPr/>
        <w:t xml:space="preserve"> </w:t>
      </w:r>
      <w:r>
        <w:rPr>
          <w:rStyle w:val="Funotenanker"/>
        </w:rPr>
        <w:footnoteReference w:customMarkFollows="1" w:id="2210"/>
        <w:t>g</w:t>
      </w:r>
      <w:r>
        <w:rPr/>
        <w:t xml:space="preserve"> soll ein vollkommenes Werk </w:t>
      </w:r>
      <w:r>
        <w:rPr>
          <w:color w:val="808080"/>
        </w:rPr>
        <w:t>(vollkommenes Handeln)</w:t>
      </w:r>
      <w:r>
        <w:rPr/>
        <w:t xml:space="preserve"> </w:t>
      </w:r>
      <w:r>
        <w:rPr>
          <w:rStyle w:val="Funotenanker"/>
        </w:rPr>
        <w:footnoteReference w:customMarkFollows="1" w:id="2211"/>
        <w:t>h</w:t>
      </w:r>
      <w:r>
        <w:rPr/>
        <w:t xml:space="preserve"> </w:t>
      </w:r>
      <w:r>
        <w:rPr>
          <w:b/>
          <w:color w:val="808080"/>
        </w:rPr>
        <w:t>[</w:t>
      </w:r>
      <w:r>
        <w:rPr/>
        <w:t>zur Folge</w:t>
      </w:r>
      <w:r>
        <w:rPr>
          <w:b/>
          <w:color w:val="808080"/>
        </w:rPr>
        <w:t>]</w:t>
      </w:r>
      <w:r>
        <w:rPr/>
        <w:t xml:space="preserve"> haben </w:t>
      </w:r>
      <w:r>
        <w:rPr>
          <w:color w:val="808080"/>
        </w:rPr>
        <w:t>(zu einem vollkommenen Werk führen)</w:t>
      </w:r>
      <w:r>
        <w:rPr/>
        <w:t xml:space="preserve"> </w:t>
      </w:r>
      <w:r>
        <w:rPr>
          <w:rStyle w:val="Funotenanker"/>
        </w:rPr>
        <w:footnoteReference w:customMarkFollows="1" w:id="2212"/>
        <w:t>i</w:t>
      </w:r>
      <w:r>
        <w:rPr/>
        <w:t xml:space="preserve"> , damit </w:t>
      </w:r>
      <w:r>
        <w:rPr>
          <w:color w:val="808080"/>
        </w:rPr>
        <w:t>(:)</w:t>
      </w:r>
      <w:r>
        <w:rPr/>
        <w:t xml:space="preserve"> </w:t>
      </w:r>
      <w:r>
        <w:rPr>
          <w:rStyle w:val="Funotenanker"/>
        </w:rPr>
        <w:footnoteReference w:customMarkFollows="1" w:id="2213"/>
        <w:t>j</w:t>
      </w:r>
      <w:r>
        <w:rPr/>
        <w:t xml:space="preserve"> ihr vollkommen und vollständig und </w:t>
      </w:r>
      <w:r>
        <w:rPr>
          <w:color w:val="808080"/>
        </w:rPr>
        <w:t>(indem, wenn, weil ihr)</w:t>
      </w:r>
      <w:r>
        <w:rPr/>
        <w:t xml:space="preserve"> </w:t>
      </w:r>
      <w:r>
        <w:rPr>
          <w:rStyle w:val="Funotenanker"/>
        </w:rPr>
        <w:footnoteReference w:customMarkFollows="1" w:id="2214"/>
        <w:t>k</w:t>
      </w:r>
      <w:r>
        <w:rPr/>
        <w:t xml:space="preserve"> in nichts mangelhaft seid.{{field-off:bible}} </w:t>
        <w:br/>
        <w:t>[[@BibleTOBIBLE:Jas 1:5]]</w:t>
      </w:r>
      <w:r>
        <w:rPr>
          <w:b/>
        </w:rPr>
        <w:t>5</w:t>
      </w:r>
      <w:r>
        <w:rPr/>
        <w:t xml:space="preserve"> {{field-on:bible}}Wenn es </w:t>
      </w:r>
      <w:r>
        <w:rPr>
          <w:b/>
          <w:color w:val="808080"/>
        </w:rPr>
        <w:t>[</w:t>
      </w:r>
      <w:r>
        <w:rPr/>
        <w:t>dafür</w:t>
      </w:r>
      <w:r>
        <w:rPr>
          <w:b/>
          <w:color w:val="808080"/>
        </w:rPr>
        <w:t>]</w:t>
      </w:r>
      <w:r>
        <w:rPr/>
        <w:t xml:space="preserve"> aber </w:t>
      </w:r>
      <w:r>
        <w:rPr>
          <w:color w:val="808080"/>
        </w:rPr>
        <w:t xml:space="preserve">(Wenn es </w:t>
      </w:r>
      <w:r>
        <w:rPr>
          <w:strike/>
          <w:color w:val="808080"/>
        </w:rPr>
        <w:t>{aber}</w:t>
      </w:r>
      <w:r>
        <w:rPr>
          <w:color w:val="808080"/>
        </w:rPr>
        <w:t>)</w:t>
      </w:r>
      <w:r>
        <w:rPr/>
        <w:t xml:space="preserve"> </w:t>
      </w:r>
      <w:r>
        <w:rPr>
          <w:rStyle w:val="Funotenanker"/>
        </w:rPr>
        <w:footnoteReference w:customMarkFollows="1" w:id="2215"/>
        <w:t>l</w:t>
      </w:r>
      <w:r>
        <w:rPr/>
        <w:t xml:space="preserve"> einem </w:t>
      </w:r>
      <w:r>
        <w:rPr>
          <w:color w:val="808080"/>
        </w:rPr>
        <w:t>(jemandem)</w:t>
      </w:r>
      <w:r>
        <w:rPr/>
        <w:t xml:space="preserve"> </w:t>
      </w:r>
      <w:r>
        <w:rPr>
          <w:rStyle w:val="Funotenanker"/>
        </w:rPr>
        <w:footnoteReference w:customMarkFollows="1" w:id="2216"/>
        <w:t>m</w:t>
      </w:r>
      <w:r>
        <w:rPr/>
        <w:t xml:space="preserve"> von euch an Weisheit </w:t>
      </w:r>
      <w:r>
        <w:rPr>
          <w:rStyle w:val="Funotenanker"/>
        </w:rPr>
        <w:footnoteReference w:customMarkFollows="1" w:id="2217"/>
        <w:t>n</w:t>
      </w:r>
      <w:r>
        <w:rPr/>
        <w:t xml:space="preserve"> mangelt, soll er </w:t>
      </w:r>
      <w:r>
        <w:rPr>
          <w:b/>
          <w:color w:val="808080"/>
        </w:rPr>
        <w:t>[</w:t>
      </w:r>
      <w:r>
        <w:rPr/>
        <w:t>sie</w:t>
      </w:r>
      <w:r>
        <w:rPr>
          <w:b/>
          <w:color w:val="808080"/>
        </w:rPr>
        <w:t>]</w:t>
      </w:r>
      <w:r>
        <w:rPr/>
        <w:t xml:space="preserve"> von Gott, der allen großzügig </w:t>
      </w:r>
      <w:r>
        <w:rPr>
          <w:color w:val="808080"/>
        </w:rPr>
        <w:t>(vorbehaltlos)</w:t>
      </w:r>
      <w:r>
        <w:rPr/>
        <w:t xml:space="preserve"> </w:t>
      </w:r>
      <w:r>
        <w:rPr>
          <w:rStyle w:val="Funotenanker"/>
        </w:rPr>
        <w:footnoteReference w:customMarkFollows="1" w:id="2218"/>
        <w:t>o</w:t>
      </w:r>
      <w:r>
        <w:rPr/>
        <w:t xml:space="preserve"> und ohne Vorwürfe </w:t>
      </w:r>
      <w:r>
        <w:rPr>
          <w:rStyle w:val="Funotenanker"/>
        </w:rPr>
        <w:footnoteReference w:customMarkFollows="1" w:id="2219"/>
        <w:t>p</w:t>
      </w:r>
      <w:r>
        <w:rPr/>
        <w:t xml:space="preserve"> gibt, </w:t>
      </w:r>
      <w:r>
        <w:rPr>
          <w:rStyle w:val="Funotenanker"/>
        </w:rPr>
        <w:footnoteReference w:customMarkFollows="1" w:id="2220"/>
        <w:t>q</w:t>
      </w:r>
      <w:r>
        <w:rPr/>
        <w:t xml:space="preserve"> erbitten - und sie wird ihm gegeben werden.</w:t>
      </w:r>
      <w:r>
        <w:rPr>
          <w:position w:val="8"/>
          <w:sz w:val="19"/>
        </w:rPr>
        <w:t>[[ ℘ &gt;&gt; BibleTOBIBLE:Pr 2:6]][[ ℘ &gt;&gt; BibleTOBIBLE:Mt 7:7]]</w:t>
      </w:r>
      <w:r>
        <w:rPr/>
        <w:t xml:space="preserve"> {{field-off:bible}} </w:t>
        <w:br/>
        <w:t>[[@BibleTOBIBLE:Jas 1:6]]</w:t>
      </w:r>
      <w:r>
        <w:rPr>
          <w:b/>
        </w:rPr>
        <w:t>6</w:t>
      </w:r>
      <w:r>
        <w:rPr/>
        <w:t xml:space="preserve"> {{field-on:bible}}Er soll </w:t>
      </w:r>
      <w:r>
        <w:rPr>
          <w:color w:val="808080"/>
        </w:rPr>
        <w:t>(Man muss)</w:t>
      </w:r>
      <w:r>
        <w:rPr/>
        <w:t xml:space="preserve"> </w:t>
      </w:r>
      <w:r>
        <w:rPr>
          <w:strike/>
          <w:color w:val="808080"/>
        </w:rPr>
        <w:t>{aber}</w:t>
      </w:r>
      <w:r>
        <w:rPr/>
        <w:t xml:space="preserve"> im Glauben </w:t>
      </w:r>
      <w:r>
        <w:rPr>
          <w:b/>
          <w:color w:val="808080"/>
        </w:rPr>
        <w:t>[</w:t>
      </w:r>
      <w:r>
        <w:rPr/>
        <w:t>darum</w:t>
      </w:r>
      <w:r>
        <w:rPr>
          <w:b/>
          <w:color w:val="808080"/>
        </w:rPr>
        <w:t>]</w:t>
      </w:r>
      <w:r>
        <w:rPr/>
        <w:t xml:space="preserve"> bitten </w:t>
      </w:r>
      <w:r>
        <w:rPr>
          <w:rStyle w:val="Funotenanker"/>
        </w:rPr>
        <w:footnoteReference w:customMarkFollows="1" w:id="2221"/>
        <w:t>r</w:t>
      </w:r>
      <w:r>
        <w:rPr/>
        <w:t xml:space="preserve"> </w:t>
      </w:r>
      <w:r>
        <w:rPr>
          <w:b/>
          <w:color w:val="808080"/>
        </w:rPr>
        <w:t>[</w:t>
      </w:r>
      <w:r>
        <w:rPr/>
        <w:t>und dabei</w:t>
      </w:r>
      <w:r>
        <w:rPr>
          <w:b/>
          <w:color w:val="808080"/>
        </w:rPr>
        <w:t>]</w:t>
      </w:r>
      <w:r>
        <w:rPr/>
        <w:t xml:space="preserve"> keinesfalls zweifeln </w:t>
      </w:r>
      <w:r>
        <w:rPr>
          <w:rStyle w:val="Funotenanker"/>
        </w:rPr>
        <w:footnoteReference w:customMarkFollows="1" w:id="2222"/>
        <w:t>s</w:t>
      </w:r>
      <w:r>
        <w:rPr/>
        <w:t xml:space="preserve"> </w:t>
      </w:r>
      <w:r>
        <w:rPr>
          <w:color w:val="808080"/>
        </w:rPr>
        <w:t>(keinerlei Bedenken haben)</w:t>
      </w:r>
      <w:r>
        <w:rPr/>
        <w:t xml:space="preserve">: Denn wer zweifelt </w:t>
      </w:r>
      <w:r>
        <w:rPr>
          <w:rStyle w:val="Funotenanker"/>
        </w:rPr>
        <w:footnoteReference w:customMarkFollows="1" w:id="2223"/>
        <w:t>t</w:t>
      </w:r>
      <w:r>
        <w:rPr/>
        <w:t xml:space="preserve"> , gleicht einer Meereswoge, die vom Wind bewegt und hin- und hergetrieben wird. </w:t>
      </w:r>
      <w:r>
        <w:rPr>
          <w:rStyle w:val="Funotenanker"/>
        </w:rPr>
        <w:footnoteReference w:customMarkFollows="1" w:id="2224"/>
        <w:t>u</w:t>
      </w:r>
      <w:r>
        <w:rPr/>
        <w:t xml:space="preserve"> {{field-off:bible}} </w:t>
        <w:br/>
        <w:t>[[@BibleTOBIBLE:Jas 1:7]]</w:t>
      </w:r>
      <w:r>
        <w:rPr>
          <w:b/>
        </w:rPr>
        <w:t>7</w:t>
      </w:r>
      <w:r>
        <w:rPr/>
        <w:t xml:space="preserve"> {{field-on:bible}}Jener </w:t>
      </w:r>
      <w:r>
        <w:rPr>
          <w:color w:val="808080"/>
        </w:rPr>
        <w:t>(So ein, ein solcher)</w:t>
      </w:r>
      <w:r>
        <w:rPr/>
        <w:t xml:space="preserve"> </w:t>
      </w:r>
      <w:r>
        <w:rPr>
          <w:rStyle w:val="Funotenanker"/>
        </w:rPr>
        <w:footnoteReference w:customMarkFollows="1" w:id="2225"/>
        <w:t>v</w:t>
      </w:r>
      <w:r>
        <w:rPr/>
        <w:t xml:space="preserve"> Mensch soll nämlich nicht meinen, dass er etwas vom Herrn erhalten wird,{{field-off:bible}} </w:t>
        <w:br/>
        <w:t>[[@BibleTOBIBLE:Jas 1:8]]</w:t>
      </w:r>
      <w:r>
        <w:rPr>
          <w:b/>
        </w:rPr>
        <w:t>8</w:t>
      </w:r>
      <w:r>
        <w:rPr/>
        <w:t xml:space="preserve"> {{field-on:bible}} </w:t>
      </w:r>
      <w:r>
        <w:rPr>
          <w:b/>
          <w:color w:val="808080"/>
        </w:rPr>
        <w:t>[</w:t>
      </w:r>
      <w:r>
        <w:rPr/>
        <w:t>er ist</w:t>
      </w:r>
      <w:r>
        <w:rPr>
          <w:b/>
          <w:color w:val="808080"/>
        </w:rPr>
        <w:t>]</w:t>
      </w:r>
      <w:r>
        <w:rPr/>
        <w:t xml:space="preserve"> ein Mann </w:t>
      </w:r>
      <w:r>
        <w:rPr>
          <w:color w:val="808080"/>
        </w:rPr>
        <w:t>(Mensch)</w:t>
      </w:r>
      <w:r>
        <w:rPr/>
        <w:t xml:space="preserve"> geteilten Herzens</w:t>
      </w:r>
      <w:r>
        <w:rPr>
          <w:rStyle w:val="Funotenanker"/>
        </w:rPr>
        <w:footnoteReference w:customMarkFollows="1" w:id="2226"/>
        <w:t>w</w:t>
      </w:r>
      <w:r>
        <w:rPr/>
        <w:t>,</w:t>
      </w:r>
      <w:r>
        <w:rPr>
          <w:position w:val="8"/>
          <w:sz w:val="19"/>
        </w:rPr>
        <w:t>[[ ℘ &gt;&gt; BibleTOBIBLE:Jas 4:8]]</w:t>
      </w:r>
      <w:r>
        <w:rPr/>
        <w:t xml:space="preserve"> wankelmütig auf allen seinen Wegen </w:t>
      </w:r>
      <w:r>
        <w:rPr>
          <w:rStyle w:val="Funotenanker"/>
        </w:rPr>
        <w:footnoteReference w:customMarkFollows="1" w:id="2227"/>
        <w:t>x</w:t>
      </w:r>
      <w:r>
        <w:rPr/>
        <w:t xml:space="preserve"> {{field-off:bible}} </w:t>
        <w:br/>
        <w:t>[[@BibleTOBIBLE:Jas 1:9]]</w:t>
      </w:r>
      <w:r>
        <w:rPr>
          <w:b/>
        </w:rPr>
        <w:t>9</w:t>
      </w:r>
      <w:r>
        <w:rPr/>
        <w:t xml:space="preserve"> {{field-on:bible}}Stattdessen</w:t>
      </w:r>
      <w:r>
        <w:rPr>
          <w:rStyle w:val="Funotenanker"/>
        </w:rPr>
        <w:footnoteReference w:customMarkFollows="1" w:id="2228"/>
        <w:t>y</w:t>
      </w:r>
      <w:r>
        <w:rPr/>
        <w:t xml:space="preserve"> soll </w:t>
      </w:r>
      <w:r>
        <w:rPr>
          <w:color w:val="808080"/>
        </w:rPr>
        <w:t>(darf)</w:t>
      </w:r>
      <w:r>
        <w:rPr/>
        <w:t xml:space="preserve"> sich der geringe </w:t>
      </w:r>
      <w:r>
        <w:rPr>
          <w:color w:val="808080"/>
        </w:rPr>
        <w:t>(demütige, arme)</w:t>
      </w:r>
      <w:r>
        <w:rPr/>
        <w:t xml:space="preserve"> Bruder</w:t>
      </w:r>
      <w:r>
        <w:rPr>
          <w:rStyle w:val="Funotenanker"/>
        </w:rPr>
        <w:footnoteReference w:customMarkFollows="1" w:id="2229"/>
        <w:t>z</w:t>
      </w:r>
      <w:r>
        <w:rPr/>
        <w:t xml:space="preserve"> seiner hohen Stellung </w:t>
      </w:r>
      <w:r>
        <w:rPr>
          <w:color w:val="808080"/>
        </w:rPr>
        <w:t>(Erhöhung)</w:t>
      </w:r>
      <w:r>
        <w:rPr/>
        <w:t xml:space="preserve"> rühmen,{{field-off:bible}} </w:t>
        <w:br/>
        <w:t>[[@BibleTOBIBLE:Jas 1:10]]</w:t>
      </w:r>
      <w:r>
        <w:rPr>
          <w:b/>
        </w:rPr>
        <w:t>10</w:t>
      </w:r>
      <w:r>
        <w:rPr/>
        <w:t xml:space="preserve"> {{field-on:bible}}der reiche </w:t>
      </w:r>
      <w:r>
        <w:rPr>
          <w:b/>
          <w:color w:val="808080"/>
        </w:rPr>
        <w:t>[</w:t>
      </w:r>
      <w:r>
        <w:rPr/>
        <w:t>Bruder</w:t>
      </w:r>
      <w:r>
        <w:rPr>
          <w:b/>
          <w:color w:val="808080"/>
        </w:rPr>
        <w:t>]</w:t>
      </w:r>
      <w:r>
        <w:rPr/>
        <w:t xml:space="preserve"> </w:t>
      </w:r>
      <w:r>
        <w:rPr>
          <w:rStyle w:val="Funotenanker"/>
        </w:rPr>
        <w:footnoteReference w:customMarkFollows="1" w:id="2230"/>
        <w:t>aa</w:t>
      </w:r>
      <w:r>
        <w:rPr/>
        <w:t xml:space="preserve"> aber seiner Erniedrigung, denn er wird wie eine Grasblüte</w:t>
      </w:r>
      <w:r>
        <w:rPr>
          <w:rStyle w:val="Funotenanker"/>
        </w:rPr>
        <w:footnoteReference w:customMarkFollows="1" w:id="2231"/>
        <w:t>ab</w:t>
      </w:r>
      <w:r>
        <w:rPr/>
        <w:t xml:space="preserve"> vergehen.</w:t>
      </w:r>
      <w:r>
        <w:rPr>
          <w:position w:val="8"/>
          <w:sz w:val="19"/>
        </w:rPr>
        <w:t>[[ ℘ &gt;&gt; BibleTOBIBLE:Is 40:6]][[ ℘ &gt;&gt; BibleTOBIBLE:Ps 90:5]]</w:t>
      </w:r>
      <w:r>
        <w:rPr/>
        <w:t xml:space="preserve"> {{field-off:bible}} </w:t>
        <w:br/>
        <w:t>[[@BibleTOBIBLE:Jas 1:11]]</w:t>
      </w:r>
      <w:r>
        <w:rPr>
          <w:b/>
        </w:rPr>
        <w:t>11</w:t>
      </w:r>
      <w:r>
        <w:rPr/>
        <w:t xml:space="preserve"> {{field-on:bible}}Denn die Sonne geht </w:t>
      </w:r>
      <w:r>
        <w:rPr>
          <w:color w:val="808080"/>
        </w:rPr>
        <w:t>(ging )</w:t>
      </w:r>
      <w:r>
        <w:rPr/>
        <w:t xml:space="preserve"> </w:t>
      </w:r>
      <w:r>
        <w:rPr>
          <w:rStyle w:val="Funotenanker"/>
        </w:rPr>
        <w:footnoteReference w:customMarkFollows="1" w:id="2232"/>
        <w:t>ac</w:t>
      </w:r>
      <w:r>
        <w:rPr/>
        <w:t xml:space="preserve"> mit dem heißen Wind </w:t>
      </w:r>
      <w:r>
        <w:rPr>
          <w:rStyle w:val="Funotenanker"/>
        </w:rPr>
        <w:footnoteReference w:customMarkFollows="1" w:id="2233"/>
        <w:t>ad</w:t>
      </w:r>
      <w:r>
        <w:rPr/>
        <w:t xml:space="preserve"> auf und vertrocknet </w:t>
      </w:r>
      <w:r>
        <w:rPr>
          <w:color w:val="808080"/>
        </w:rPr>
        <w:t>(vertrocknete)</w:t>
      </w:r>
      <w:r>
        <w:rPr/>
        <w:t xml:space="preserve"> das Gras und seine Blüte fällt </w:t>
      </w:r>
      <w:r>
        <w:rPr>
          <w:color w:val="808080"/>
        </w:rPr>
        <w:t>(fiel)</w:t>
      </w:r>
      <w:r>
        <w:rPr/>
        <w:t xml:space="preserve"> ab, und die Schönheit ihres Aussehens vergeht </w:t>
      </w:r>
      <w:r>
        <w:rPr>
          <w:color w:val="808080"/>
        </w:rPr>
        <w:t>(verging)</w:t>
      </w:r>
      <w:r>
        <w:rPr/>
        <w:t xml:space="preserve">. Genau so wird auch der Reiche auf seinen Reisen </w:t>
      </w:r>
      <w:r>
        <w:rPr>
          <w:color w:val="808080"/>
        </w:rPr>
        <w:t>(in seinem Lebenswandel)</w:t>
      </w:r>
      <w:r>
        <w:rPr/>
        <w:t xml:space="preserve"> verwelken </w:t>
      </w:r>
      <w:r>
        <w:rPr>
          <w:color w:val="808080"/>
        </w:rPr>
        <w:t>(dahinschwinden)</w:t>
      </w:r>
      <w:r>
        <w:rPr/>
        <w:t>.</w:t>
      </w:r>
      <w:r>
        <w:rPr>
          <w:rStyle w:val="Funotenanker"/>
        </w:rPr>
        <w:footnoteReference w:customMarkFollows="1" w:id="2234"/>
        <w:t>ae</w:t>
      </w:r>
      <w:r>
        <w:rPr/>
        <w:t xml:space="preserve"> {{field-off:bible}} </w:t>
        <w:br/>
        <w:t>[[@BibleTOBIBLE:Jas 1:12]]</w:t>
      </w:r>
      <w:r>
        <w:rPr>
          <w:b/>
        </w:rPr>
        <w:t>12</w:t>
      </w:r>
      <w:r>
        <w:rPr/>
        <w:t xml:space="preserve"> {{field-on:bible}}Glücklich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2235"/>
        <w:t>af</w:t>
      </w:r>
      <w:r>
        <w:rPr/>
        <w:t xml:space="preserve">, der eine Bewährungsprobe </w:t>
      </w:r>
      <w:r>
        <w:rPr>
          <w:color w:val="808080"/>
        </w:rPr>
        <w:t>(Prüfung, Versuchung)</w:t>
      </w:r>
      <w:r>
        <w:rPr/>
        <w:t xml:space="preserve"> </w:t>
      </w:r>
      <w:r>
        <w:rPr>
          <w:rStyle w:val="Funotenanker"/>
        </w:rPr>
        <w:footnoteReference w:customMarkFollows="1" w:id="2236"/>
        <w:t>ag</w:t>
      </w:r>
      <w:r>
        <w:rPr/>
        <w:t xml:space="preserve"> </w:t>
      </w:r>
      <w:r>
        <w:rPr>
          <w:b/>
          <w:color w:val="808080"/>
        </w:rPr>
        <w:t>[</w:t>
      </w:r>
      <w:r>
        <w:rPr/>
        <w:t>standhaft</w:t>
      </w:r>
      <w:r>
        <w:rPr>
          <w:b/>
          <w:color w:val="808080"/>
        </w:rPr>
        <w:t>]</w:t>
      </w:r>
      <w:r>
        <w:rPr/>
        <w:t xml:space="preserve"> </w:t>
      </w:r>
      <w:r>
        <w:rPr>
          <w:rStyle w:val="Funotenanker"/>
        </w:rPr>
        <w:footnoteReference w:customMarkFollows="1" w:id="2237"/>
        <w:t>ah</w:t>
      </w:r>
      <w:r>
        <w:rPr/>
        <w:t xml:space="preserve"> erträgt, denn wenn </w:t>
      </w:r>
      <w:r>
        <w:rPr>
          <w:color w:val="808080"/>
        </w:rPr>
        <w:t>(weil, indem)</w:t>
      </w:r>
      <w:r>
        <w:rPr/>
        <w:t xml:space="preserve"> </w:t>
      </w:r>
      <w:r>
        <w:rPr>
          <w:rStyle w:val="Funotenanker"/>
        </w:rPr>
        <w:footnoteReference w:customMarkFollows="1" w:id="2238"/>
        <w:t>ai</w:t>
      </w:r>
      <w:r>
        <w:rPr/>
        <w:t xml:space="preserve"> er sich </w:t>
      </w:r>
      <w:r>
        <w:rPr>
          <w:b/>
          <w:color w:val="808080"/>
        </w:rPr>
        <w:t>[</w:t>
      </w:r>
      <w:r>
        <w:rPr/>
        <w:t>darin</w:t>
      </w:r>
      <w:r>
        <w:rPr>
          <w:b/>
          <w:color w:val="808080"/>
        </w:rPr>
        <w:t>]</w:t>
      </w:r>
      <w:r>
        <w:rPr/>
        <w:t xml:space="preserve"> bewiesen hat </w:t>
      </w:r>
      <w:r>
        <w:rPr>
          <w:color w:val="808080"/>
        </w:rPr>
        <w:t>(bewährt)</w:t>
      </w:r>
      <w:r>
        <w:rPr/>
        <w:t>, wird er den Siegeskranz des Lebens</w:t>
      </w:r>
      <w:r>
        <w:rPr>
          <w:rStyle w:val="Funotenanker"/>
        </w:rPr>
        <w:footnoteReference w:customMarkFollows="1" w:id="2239"/>
        <w:t>aj</w:t>
      </w:r>
      <w:r>
        <w:rPr/>
        <w:t xml:space="preserve"> empfangen, den </w:t>
      </w:r>
      <w:r>
        <w:rPr>
          <w:b/>
          <w:color w:val="808080"/>
        </w:rPr>
        <w:t>[</w:t>
      </w:r>
      <w:r>
        <w:rPr/>
        <w:t xml:space="preserve">Gott </w:t>
      </w:r>
      <w:r>
        <w:rPr>
          <w:color w:val="808080"/>
        </w:rPr>
        <w:t>(Christus)</w:t>
      </w:r>
      <w:r>
        <w:rPr>
          <w:b/>
          <w:color w:val="808080"/>
        </w:rPr>
        <w:t>]</w:t>
      </w:r>
      <w:r>
        <w:rPr/>
        <w:t xml:space="preserve"> </w:t>
      </w:r>
      <w:r>
        <w:rPr>
          <w:rStyle w:val="Funotenanker"/>
        </w:rPr>
        <w:footnoteReference w:customMarkFollows="1" w:id="2240"/>
        <w:t>ak</w:t>
      </w:r>
      <w:r>
        <w:rPr/>
        <w:t xml:space="preserve"> denen verheißen hat, die ihn lieben</w:t>
      </w:r>
      <w:r>
        <w:rPr>
          <w:rStyle w:val="Funotenanker"/>
        </w:rPr>
        <w:footnoteReference w:customMarkFollows="1" w:id="2241"/>
        <w:t>al</w:t>
      </w:r>
      <w:r>
        <w:rPr/>
        <w:t xml:space="preserve">.{{field-off:bible}} </w:t>
        <w:br/>
        <w:t>[[@BibleTOBIBLE:Jas 1:13]]</w:t>
      </w:r>
      <w:r>
        <w:rPr>
          <w:b/>
        </w:rPr>
        <w:t>13</w:t>
      </w:r>
      <w:r>
        <w:rPr/>
        <w:t xml:space="preserve"> {{field-on:bible}}Niemand soll in einer Bewährungsprobe </w:t>
      </w:r>
      <w:r>
        <w:rPr>
          <w:color w:val="808080"/>
        </w:rPr>
        <w:t xml:space="preserve">(niemand, der </w:t>
      </w:r>
      <w:r>
        <w:rPr>
          <w:b/>
          <w:color w:val="808080"/>
        </w:rPr>
        <w:t>[</w:t>
      </w:r>
      <w:r>
        <w:rPr>
          <w:color w:val="808080"/>
        </w:rPr>
        <w:t>gerade</w:t>
      </w:r>
      <w:r>
        <w:rPr>
          <w:b/>
          <w:color w:val="808080"/>
        </w:rPr>
        <w:t>]</w:t>
      </w:r>
      <w:r>
        <w:rPr>
          <w:color w:val="808080"/>
        </w:rPr>
        <w:t xml:space="preserve"> versucht (geprüft) wird)</w:t>
      </w:r>
      <w:r>
        <w:rPr/>
        <w:t xml:space="preserve"> </w:t>
      </w:r>
      <w:r>
        <w:rPr>
          <w:rStyle w:val="Funotenanker"/>
        </w:rPr>
        <w:footnoteReference w:customMarkFollows="1" w:id="2242"/>
        <w:t>am</w:t>
      </w:r>
      <w:r>
        <w:rPr/>
        <w:t xml:space="preserve"> sagen</w:t>
      </w:r>
      <w:r>
        <w:rPr>
          <w:rStyle w:val="Funotenanker"/>
        </w:rPr>
        <w:footnoteReference w:customMarkFollows="1" w:id="2243"/>
        <w:t>an</w:t>
      </w:r>
      <w:r>
        <w:rPr/>
        <w:t xml:space="preserve">, </w:t>
      </w:r>
      <w:r>
        <w:rPr>
          <w:strike/>
          <w:color w:val="808080"/>
        </w:rPr>
        <w:t>{dass}</w:t>
      </w:r>
      <w:r>
        <w:rPr/>
        <w:t xml:space="preserve"> </w:t>
      </w:r>
      <w:r>
        <w:rPr>
          <w:rStyle w:val="Funotenanker"/>
        </w:rPr>
        <w:footnoteReference w:customMarkFollows="1" w:id="2244"/>
        <w:t>ao</w:t>
      </w:r>
      <w:r>
        <w:rPr/>
        <w:t xml:space="preserve">: Ich werde von Gott auf die Probe gestellt </w:t>
      </w:r>
      <w:r>
        <w:rPr>
          <w:color w:val="808080"/>
        </w:rPr>
        <w:t>(geprüft, versucht)</w:t>
      </w:r>
      <w:r>
        <w:rPr/>
        <w:t xml:space="preserve">! – denn Gott kann nicht vom Bösen auf die Probe gestellt </w:t>
      </w:r>
      <w:r>
        <w:rPr>
          <w:color w:val="808080"/>
        </w:rPr>
        <w:t>(versucht)</w:t>
      </w:r>
      <w:r>
        <w:rPr/>
        <w:t xml:space="preserve"> </w:t>
      </w:r>
      <w:r>
        <w:rPr>
          <w:color w:val="808080"/>
        </w:rPr>
        <w:t>(zum Bösen versucht)</w:t>
      </w:r>
      <w:r>
        <w:rPr/>
        <w:t xml:space="preserve"> werden</w:t>
      </w:r>
      <w:r>
        <w:rPr>
          <w:rStyle w:val="Funotenanker"/>
        </w:rPr>
        <w:footnoteReference w:customMarkFollows="1" w:id="2245"/>
        <w:t>ap</w:t>
      </w:r>
      <w:r>
        <w:rPr/>
        <w:t xml:space="preserve">; er stellt selbst auch niemanden auf die Probe </w:t>
      </w:r>
      <w:r>
        <w:rPr>
          <w:color w:val="808080"/>
        </w:rPr>
        <w:t>(versucht selbst auch niemanden)</w:t>
      </w:r>
      <w:r>
        <w:rPr/>
        <w:t xml:space="preserve">.{{field-off:bible}} </w:t>
        <w:br/>
        <w:t>[[@BibleTOBIBLE:Jas 1:14]]</w:t>
      </w:r>
      <w:r>
        <w:rPr>
          <w:b/>
        </w:rPr>
        <w:t>14</w:t>
      </w:r>
      <w:r>
        <w:rPr/>
        <w:t xml:space="preserve"> {{field-on:bible}}Vielmehr</w:t>
      </w:r>
      <w:r>
        <w:rPr>
          <w:rStyle w:val="Funotenanker"/>
        </w:rPr>
        <w:footnoteReference w:customMarkFollows="1" w:id="2246"/>
        <w:t>aq</w:t>
      </w:r>
      <w:r>
        <w:rPr/>
        <w:t xml:space="preserve"> wird jeder auf die Probe gestellt </w:t>
      </w:r>
      <w:r>
        <w:rPr>
          <w:color w:val="808080"/>
        </w:rPr>
        <w:t>(versucht)</w:t>
      </w:r>
      <w:r>
        <w:rPr/>
        <w:t xml:space="preserve">, indem </w:t>
      </w:r>
      <w:r>
        <w:rPr>
          <w:color w:val="808080"/>
        </w:rPr>
        <w:t>(weil, während, wenn)</w:t>
      </w:r>
      <w:r>
        <w:rPr/>
        <w:t xml:space="preserve"> er von der eigenen Begierde fortgerissen und verlockt wird.</w:t>
      </w:r>
      <w:r>
        <w:rPr>
          <w:rStyle w:val="Funotenanker"/>
        </w:rPr>
        <w:footnoteReference w:customMarkFollows="1" w:id="2247"/>
        <w:t>ar</w:t>
      </w:r>
      <w:r>
        <w:rPr/>
        <w:t xml:space="preserve"> {{field-off:bible}} </w:t>
        <w:br/>
        <w:t>[[@BibleTOBIBLE:Jas 1:15]]</w:t>
      </w:r>
      <w:r>
        <w:rPr>
          <w:b/>
        </w:rPr>
        <w:t>15</w:t>
      </w:r>
      <w:r>
        <w:rPr/>
        <w:t xml:space="preserve"> {{field-on:bible}}Daraufhin, wenn die Begierde schwanger geworden ist</w:t>
      </w:r>
      <w:r>
        <w:rPr>
          <w:rStyle w:val="Funotenanker"/>
        </w:rPr>
        <w:footnoteReference w:customMarkFollows="1" w:id="2248"/>
        <w:t>as</w:t>
      </w:r>
      <w:r>
        <w:rPr/>
        <w:t xml:space="preserve">, gebiert sie Sünde; und die Sünde, wenn sie ans Ziel gelangt </w:t>
      </w:r>
      <w:r>
        <w:rPr>
          <w:color w:val="808080"/>
        </w:rPr>
        <w:t>(erwachsen geworden)</w:t>
      </w:r>
      <w:r>
        <w:rPr/>
        <w:t xml:space="preserve"> ist</w:t>
      </w:r>
      <w:r>
        <w:rPr>
          <w:rStyle w:val="Funotenanker"/>
        </w:rPr>
        <w:footnoteReference w:customMarkFollows="1" w:id="2249"/>
        <w:t>at</w:t>
      </w:r>
      <w:r>
        <w:rPr/>
        <w:t xml:space="preserve">, gebiert Tod.{{field-off:bible}} </w:t>
        <w:br/>
        <w:t>[[@BibleTOBIBLE:Jas 1:16]]</w:t>
      </w:r>
      <w:r>
        <w:rPr>
          <w:b/>
        </w:rPr>
        <w:t>16</w:t>
      </w:r>
      <w:r>
        <w:rPr/>
        <w:t xml:space="preserve"> {{field-on:bible}}Lasst euch nicht täuschen</w:t>
      </w:r>
      <w:r>
        <w:rPr>
          <w:rStyle w:val="Funotenanker"/>
        </w:rPr>
        <w:footnoteReference w:customMarkFollows="1" w:id="2250"/>
        <w:t>au</w:t>
      </w:r>
      <w:r>
        <w:rPr/>
        <w:t xml:space="preserve">, meine geliebten Geschwister!{{field-off:bible}} </w:t>
        <w:br/>
        <w:t>[[@BibleTOBIBLE:Jas 1:17]]</w:t>
      </w:r>
      <w:r>
        <w:rPr>
          <w:b/>
        </w:rPr>
        <w:t>17</w:t>
      </w:r>
      <w:r>
        <w:rPr/>
        <w:t xml:space="preserve"> {{field-on:bible}}Jede gute Gabe und jedes vollkommene Geschenk kommt </w:t>
      </w:r>
      <w:r>
        <w:rPr>
          <w:strike/>
          <w:color w:val="808080"/>
        </w:rPr>
        <w:t>{herab}</w:t>
      </w:r>
      <w:r>
        <w:rPr/>
        <w:t xml:space="preserve"> </w:t>
      </w:r>
      <w:r>
        <w:rPr>
          <w:color w:val="808080"/>
        </w:rPr>
        <w:t>(ist)</w:t>
      </w:r>
      <w:r>
        <w:rPr/>
        <w:t xml:space="preserve"> von oben</w:t>
      </w:r>
      <w:r>
        <w:rPr>
          <w:position w:val="8"/>
          <w:sz w:val="19"/>
        </w:rPr>
        <w:t>[[ ℘ &gt;&gt; BibleTOBIBLE:Jas 3:15]][[ ℘ &gt;&gt; BibleTOBIBLE:Jn 3:31]]</w:t>
      </w:r>
      <w:r>
        <w:rPr/>
        <w:t>,</w:t>
      </w:r>
      <w:r>
        <w:rPr>
          <w:rStyle w:val="Funotenanker"/>
        </w:rPr>
        <w:footnoteReference w:customMarkFollows="1" w:id="2251"/>
        <w:t>av</w:t>
      </w:r>
      <w:r>
        <w:rPr/>
        <w:t xml:space="preserve"> vom Vater der Lichter</w:t>
      </w:r>
      <w:r>
        <w:rPr>
          <w:rStyle w:val="Funotenanker"/>
        </w:rPr>
        <w:footnoteReference w:customMarkFollows="1" w:id="2252"/>
        <w:t>aw</w:t>
      </w:r>
      <w:r>
        <w:rPr/>
        <w:t xml:space="preserve">, bei dem es weder Veränderung noch Verfinsterung </w:t>
      </w:r>
      <w:r>
        <w:rPr>
          <w:color w:val="808080"/>
        </w:rPr>
        <w:t>(Schatten)</w:t>
      </w:r>
      <w:r>
        <w:rPr/>
        <w:t xml:space="preserve"> durch eine </w:t>
      </w:r>
      <w:r>
        <w:rPr>
          <w:color w:val="808080"/>
        </w:rPr>
        <w:t>(nach einer)</w:t>
      </w:r>
      <w:r>
        <w:rPr/>
        <w:t xml:space="preserve"> Wende</w:t>
      </w:r>
      <w:r>
        <w:rPr>
          <w:rStyle w:val="Funotenanker"/>
        </w:rPr>
        <w:footnoteReference w:customMarkFollows="1" w:id="2253"/>
        <w:t>ax</w:t>
      </w:r>
      <w:r>
        <w:rPr/>
        <w:t xml:space="preserve"> gibt.{{field-off:bible}} </w:t>
        <w:br/>
        <w:t>[[@BibleTOBIBLE:Jas 1:18]]</w:t>
      </w:r>
      <w:r>
        <w:rPr>
          <w:b/>
        </w:rPr>
        <w:t>18</w:t>
      </w:r>
      <w:r>
        <w:rPr/>
        <w:t xml:space="preserve"> {{field-on:bible}}Aus </w:t>
      </w:r>
      <w:r>
        <w:rPr>
          <w:b/>
          <w:color w:val="808080"/>
        </w:rPr>
        <w:t>[</w:t>
      </w:r>
      <w:r>
        <w:rPr/>
        <w:t>freiem</w:t>
      </w:r>
      <w:r>
        <w:rPr>
          <w:b/>
          <w:color w:val="808080"/>
        </w:rPr>
        <w:t>]</w:t>
      </w:r>
      <w:r>
        <w:rPr/>
        <w:t xml:space="preserve"> Willen </w:t>
      </w:r>
      <w:r>
        <w:rPr>
          <w:color w:val="808080"/>
        </w:rPr>
        <w:t xml:space="preserve">(Weil er </w:t>
      </w:r>
      <w:r>
        <w:rPr>
          <w:b/>
          <w:color w:val="808080"/>
        </w:rPr>
        <w:t>[</w:t>
      </w:r>
      <w:r>
        <w:rPr>
          <w:color w:val="808080"/>
        </w:rPr>
        <w:t>es so</w:t>
      </w:r>
      <w:r>
        <w:rPr>
          <w:b/>
          <w:color w:val="808080"/>
        </w:rPr>
        <w:t>]</w:t>
      </w:r>
      <w:r>
        <w:rPr>
          <w:color w:val="808080"/>
        </w:rPr>
        <w:t xml:space="preserve"> wollte)</w:t>
      </w:r>
      <w:r>
        <w:rPr/>
        <w:t xml:space="preserve"> </w:t>
      </w:r>
      <w:r>
        <w:rPr>
          <w:rStyle w:val="Funotenanker"/>
        </w:rPr>
        <w:footnoteReference w:customMarkFollows="1" w:id="2254"/>
        <w:t>ay</w:t>
      </w:r>
      <w:r>
        <w:rPr/>
        <w:t xml:space="preserve"> hat er uns </w:t>
      </w:r>
      <w:r>
        <w:rPr>
          <w:b/>
          <w:color w:val="808080"/>
        </w:rPr>
        <w:t>[</w:t>
      </w:r>
      <w:r>
        <w:rPr/>
        <w:t>durch</w:t>
      </w:r>
      <w:r>
        <w:rPr>
          <w:b/>
          <w:color w:val="808080"/>
        </w:rPr>
        <w:t>]</w:t>
      </w:r>
      <w:r>
        <w:rPr/>
        <w:t xml:space="preserve"> das Wort der Wahrheit</w:t>
      </w:r>
      <w:r>
        <w:rPr>
          <w:rStyle w:val="Funotenanker"/>
        </w:rPr>
        <w:footnoteReference w:customMarkFollows="1" w:id="2255"/>
        <w:t>az</w:t>
      </w:r>
      <w:r>
        <w:rPr/>
        <w:t xml:space="preserve"> geboren, damit </w:t>
      </w:r>
      <w:r>
        <w:rPr>
          <w:color w:val="808080"/>
        </w:rPr>
        <w:t>(um)</w:t>
      </w:r>
      <w:r>
        <w:rPr/>
        <w:t xml:space="preserve"> wir gewissermaßen die Erstlingsgabe seiner Geschöpfe sind.{{field-off:bible}} </w:t>
        <w:br/>
        <w:t>[[@BibleTOBIBLE:Jas 1:19]]</w:t>
      </w:r>
      <w:r>
        <w:rPr>
          <w:b/>
        </w:rPr>
        <w:t>19</w:t>
      </w:r>
      <w:r>
        <w:rPr/>
        <w:t xml:space="preserve"> {{field-on:bible}}Denkt daran </w:t>
      </w:r>
      <w:r>
        <w:rPr>
          <w:color w:val="808080"/>
        </w:rPr>
        <w:t xml:space="preserve">(Wisst </w:t>
      </w:r>
      <w:r>
        <w:rPr>
          <w:b/>
          <w:color w:val="808080"/>
        </w:rPr>
        <w:t>[</w:t>
      </w:r>
      <w:r>
        <w:rPr>
          <w:color w:val="808080"/>
        </w:rPr>
        <w:t>dies</w:t>
      </w:r>
      <w:r>
        <w:rPr>
          <w:b/>
          <w:color w:val="808080"/>
        </w:rPr>
        <w:t>]</w:t>
      </w:r>
      <w:r>
        <w:rPr>
          <w:color w:val="808080"/>
        </w:rPr>
        <w:t>, Ihr wisst)</w:t>
      </w:r>
      <w:r>
        <w:rPr/>
        <w:t xml:space="preserve"> </w:t>
      </w:r>
      <w:r>
        <w:rPr>
          <w:rStyle w:val="Funotenanker"/>
        </w:rPr>
        <w:footnoteReference w:customMarkFollows="1" w:id="2256"/>
        <w:t>ba</w:t>
      </w:r>
      <w:r>
        <w:rPr/>
        <w:t xml:space="preserve">, meine geliebten Geschwister: Jeder Mensch soll schnell </w:t>
      </w:r>
      <w:r>
        <w:rPr>
          <w:b/>
          <w:color w:val="808080"/>
        </w:rPr>
        <w:t>[</w:t>
      </w:r>
      <w:r>
        <w:rPr/>
        <w:t>dazu bereit</w:t>
      </w:r>
      <w:r>
        <w:rPr>
          <w:b/>
          <w:color w:val="808080"/>
        </w:rPr>
        <w:t>]</w:t>
      </w:r>
      <w:r>
        <w:rPr/>
        <w:t xml:space="preserve"> sein zuzuhören, </w:t>
      </w:r>
      <w:r>
        <w:rPr>
          <w:b/>
          <w:color w:val="808080"/>
        </w:rPr>
        <w:t>[</w:t>
      </w:r>
      <w:r>
        <w:rPr/>
        <w:t>aber</w:t>
      </w:r>
      <w:r>
        <w:rPr>
          <w:b/>
          <w:color w:val="808080"/>
        </w:rPr>
        <w:t>]</w:t>
      </w:r>
      <w:r>
        <w:rPr/>
        <w:t xml:space="preserve"> langsam </w:t>
      </w:r>
      <w:r>
        <w:rPr>
          <w:b/>
          <w:color w:val="808080"/>
        </w:rPr>
        <w:t>[</w:t>
      </w:r>
      <w:r>
        <w:rPr/>
        <w:t>bereit</w:t>
      </w:r>
      <w:r>
        <w:rPr>
          <w:b/>
          <w:color w:val="808080"/>
        </w:rPr>
        <w:t>]</w:t>
      </w:r>
      <w:r>
        <w:rPr/>
        <w:t xml:space="preserve"> zu sprechen </w:t>
      </w:r>
      <w:r>
        <w:rPr>
          <w:b/>
          <w:color w:val="808080"/>
        </w:rPr>
        <w:t>[</w:t>
      </w:r>
      <w:r>
        <w:rPr/>
        <w:t>und</w:t>
      </w:r>
      <w:r>
        <w:rPr>
          <w:b/>
          <w:color w:val="808080"/>
        </w:rPr>
        <w:t>]</w:t>
      </w:r>
      <w:r>
        <w:rPr/>
        <w:t xml:space="preserve"> langsam </w:t>
      </w:r>
      <w:r>
        <w:rPr>
          <w:b/>
          <w:color w:val="808080"/>
        </w:rPr>
        <w:t>[</w:t>
      </w:r>
      <w:r>
        <w:rPr/>
        <w:t>bereit</w:t>
      </w:r>
      <w:r>
        <w:rPr>
          <w:b/>
          <w:color w:val="808080"/>
        </w:rPr>
        <w:t>]</w:t>
      </w:r>
      <w:r>
        <w:rPr/>
        <w:t xml:space="preserve"> zum Zorn.{{field-off:bible}} </w:t>
        <w:br/>
        <w:t>[[@BibleTOBIBLE:Jas 1:20]]</w:t>
      </w:r>
      <w:r>
        <w:rPr>
          <w:b/>
        </w:rPr>
        <w:t>20</w:t>
      </w:r>
      <w:r>
        <w:rPr/>
        <w:t xml:space="preserve"> {{field-on:bible}}Denn </w:t>
      </w:r>
      <w:r>
        <w:rPr>
          <w:b/>
          <w:color w:val="808080"/>
        </w:rPr>
        <w:t>[</w:t>
      </w:r>
      <w:r>
        <w:rPr/>
        <w:t>der</w:t>
      </w:r>
      <w:r>
        <w:rPr>
          <w:b/>
          <w:color w:val="808080"/>
        </w:rPr>
        <w:t>]</w:t>
      </w:r>
      <w:r>
        <w:rPr/>
        <w:t xml:space="preserve"> Zorn eines Menschen</w:t>
      </w:r>
      <w:r>
        <w:rPr>
          <w:rStyle w:val="Funotenanker"/>
        </w:rPr>
        <w:footnoteReference w:customMarkFollows="1" w:id="2257"/>
        <w:t>bb</w:t>
      </w:r>
      <w:r>
        <w:rPr/>
        <w:t xml:space="preserve"> bewirkt nicht </w:t>
      </w:r>
      <w:r>
        <w:rPr>
          <w:b/>
          <w:color w:val="808080"/>
        </w:rPr>
        <w:t>[</w:t>
      </w:r>
      <w:r>
        <w:rPr/>
        <w:t>die</w:t>
      </w:r>
      <w:r>
        <w:rPr>
          <w:b/>
          <w:color w:val="808080"/>
        </w:rPr>
        <w:t>]</w:t>
      </w:r>
      <w:r>
        <w:rPr/>
        <w:t xml:space="preserve"> Gerechtigkeit vor Gott</w:t>
      </w:r>
      <w:r>
        <w:rPr>
          <w:rStyle w:val="Funotenanker"/>
        </w:rPr>
        <w:footnoteReference w:customMarkFollows="1" w:id="2258"/>
        <w:t>bc</w:t>
      </w:r>
      <w:r>
        <w:rPr/>
        <w:t>.</w:t>
      </w:r>
      <w:r>
        <w:rPr>
          <w:rStyle w:val="Funotenanker"/>
        </w:rPr>
        <w:footnoteReference w:customMarkFollows="1" w:id="2259"/>
        <w:t>bd</w:t>
      </w:r>
      <w:r>
        <w:rPr/>
        <w:t xml:space="preserve"> {{field-off:bible}} </w:t>
        <w:br/>
        <w:t>[[@BibleTOBIBLE:Jas 1:21]]</w:t>
      </w:r>
      <w:r>
        <w:rPr>
          <w:b/>
        </w:rPr>
        <w:t>21</w:t>
      </w:r>
      <w:r>
        <w:rPr/>
        <w:t xml:space="preserve"> {{field-on:bible}}Deshalb legt alle Unsauberkeit und übermäßige Schlechtigkeit</w:t>
      </w:r>
      <w:r>
        <w:rPr>
          <w:rStyle w:val="Funotenanker"/>
        </w:rPr>
        <w:footnoteReference w:customMarkFollows="1" w:id="2260"/>
        <w:t>be</w:t>
      </w:r>
      <w:r>
        <w:rPr/>
        <w:t xml:space="preserve"> ab </w:t>
      </w:r>
      <w:r>
        <w:rPr>
          <w:b/>
          <w:color w:val="808080"/>
        </w:rPr>
        <w:t>[</w:t>
      </w:r>
      <w:r>
        <w:rPr/>
        <w:t>und</w:t>
      </w:r>
      <w:r>
        <w:rPr>
          <w:b/>
          <w:color w:val="808080"/>
        </w:rPr>
        <w:t>]</w:t>
      </w:r>
      <w:r>
        <w:rPr/>
        <w:t xml:space="preserve"> </w:t>
      </w:r>
      <w:r>
        <w:rPr>
          <w:rStyle w:val="Funotenanker"/>
        </w:rPr>
        <w:footnoteReference w:customMarkFollows="1" w:id="2261"/>
        <w:t>bf</w:t>
      </w:r>
      <w:r>
        <w:rPr/>
        <w:t xml:space="preserve"> nehmt das eingepflanzte Wort, das eure Seelen zu retten vermag, in Bescheidenheit</w:t>
      </w:r>
      <w:r>
        <w:rPr>
          <w:rStyle w:val="Funotenanker"/>
        </w:rPr>
        <w:footnoteReference w:customMarkFollows="1" w:id="2262"/>
        <w:t>bg</w:t>
      </w:r>
      <w:r>
        <w:rPr/>
        <w:t xml:space="preserve"> auf.{{field-off:bible}} </w:t>
        <w:br/>
        <w:t>[[@BibleTOBIBLE:Jas 1:22]]</w:t>
      </w:r>
      <w:r>
        <w:rPr>
          <w:b/>
        </w:rPr>
        <w:t>22</w:t>
      </w:r>
      <w:r>
        <w:rPr/>
        <w:t xml:space="preserve"> {{field-on:bible}}Aber werdet Täter </w:t>
      </w:r>
      <w:r>
        <w:rPr>
          <w:b/>
          <w:color w:val="808080"/>
        </w:rPr>
        <w:t>[</w:t>
      </w:r>
      <w:r>
        <w:rPr/>
        <w:t>des</w:t>
      </w:r>
      <w:r>
        <w:rPr>
          <w:b/>
          <w:color w:val="808080"/>
        </w:rPr>
        <w:t>]</w:t>
      </w:r>
      <w:r>
        <w:rPr/>
        <w:t xml:space="preserve"> Wortes und nicht nur </w:t>
      </w:r>
      <w:r>
        <w:rPr>
          <w:b/>
          <w:color w:val="808080"/>
        </w:rPr>
        <w:t>[</w:t>
      </w:r>
      <w:r>
        <w:rPr/>
        <w:t>seine</w:t>
      </w:r>
      <w:r>
        <w:rPr>
          <w:b/>
          <w:color w:val="808080"/>
        </w:rPr>
        <w:t>]</w:t>
      </w:r>
      <w:r>
        <w:rPr/>
        <w:t xml:space="preserve"> Hörer, die sich selbst betrügen</w:t>
      </w:r>
      <w:r>
        <w:rPr>
          <w:rStyle w:val="Funotenanker"/>
        </w:rPr>
        <w:footnoteReference w:customMarkFollows="1" w:id="2263"/>
        <w:t>bh</w:t>
      </w:r>
      <w:r>
        <w:rPr/>
        <w:t xml:space="preserve">!{{field-off:bible}} </w:t>
        <w:br/>
        <w:t>[[@BibleTOBIBLE:Jas 1:23]]</w:t>
      </w:r>
      <w:r>
        <w:rPr>
          <w:b/>
        </w:rPr>
        <w:t>23</w:t>
      </w:r>
      <w:r>
        <w:rPr/>
        <w:t xml:space="preserve"> {{field-on:bible}}Denn wenn jemand Hörer </w:t>
      </w:r>
      <w:r>
        <w:rPr>
          <w:b/>
          <w:color w:val="808080"/>
        </w:rPr>
        <w:t>[</w:t>
      </w:r>
      <w:r>
        <w:rPr/>
        <w:t>des</w:t>
      </w:r>
      <w:r>
        <w:rPr>
          <w:b/>
          <w:color w:val="808080"/>
        </w:rPr>
        <w:t>]</w:t>
      </w:r>
      <w:r>
        <w:rPr/>
        <w:t xml:space="preserve"> Wortes ist, aber</w:t>
      </w:r>
      <w:r>
        <w:rPr>
          <w:rStyle w:val="Funotenanker"/>
        </w:rPr>
        <w:footnoteReference w:customMarkFollows="1" w:id="2264"/>
        <w:t>bi</w:t>
      </w:r>
      <w:r>
        <w:rPr/>
        <w:t xml:space="preserve"> nicht </w:t>
      </w:r>
      <w:r>
        <w:rPr>
          <w:b/>
          <w:color w:val="808080"/>
        </w:rPr>
        <w:t>[</w:t>
      </w:r>
      <w:r>
        <w:rPr/>
        <w:t>sein</w:t>
      </w:r>
      <w:r>
        <w:rPr>
          <w:b/>
          <w:color w:val="808080"/>
        </w:rPr>
        <w:t>]</w:t>
      </w:r>
      <w:r>
        <w:rPr/>
        <w:t xml:space="preserve"> Täter, gleicht dieser einem Mann, der sein natürliches Gesicht</w:t>
      </w:r>
      <w:r>
        <w:rPr>
          <w:rStyle w:val="Funotenanker"/>
        </w:rPr>
        <w:footnoteReference w:customMarkFollows="1" w:id="2265"/>
        <w:t>bj</w:t>
      </w:r>
      <w:r>
        <w:rPr/>
        <w:t xml:space="preserve"> in einem Spiegel betrachtet</w:t>
      </w:r>
      <w:r>
        <w:rPr>
          <w:rStyle w:val="Funotenanker"/>
        </w:rPr>
        <w:footnoteReference w:customMarkFollows="1" w:id="2266"/>
        <w:t>bk</w:t>
      </w:r>
      <w:r>
        <w:rPr/>
        <w:t xml:space="preserve"> –</w:t>
      </w:r>
      <w:r>
        <w:rPr>
          <w:rStyle w:val="Funotenanker"/>
        </w:rPr>
        <w:footnoteReference w:customMarkFollows="1" w:id="2267"/>
        <w:t>bl</w:t>
      </w:r>
      <w:r>
        <w:rPr/>
        <w:t xml:space="preserve"> {{field-off:bible}} </w:t>
        <w:br/>
        <w:t>[[@BibleTOBIBLE:Jas 1:24]]</w:t>
      </w:r>
      <w:r>
        <w:rPr>
          <w:b/>
        </w:rPr>
        <w:t>24</w:t>
      </w:r>
      <w:r>
        <w:rPr/>
        <w:t xml:space="preserve"> {{field-on:bible}}denn er betrachtet sich</w:t>
      </w:r>
      <w:r>
        <w:rPr>
          <w:rStyle w:val="Funotenanker"/>
        </w:rPr>
        <w:footnoteReference w:customMarkFollows="1" w:id="2268"/>
        <w:t>bm</w:t>
      </w:r>
      <w:r>
        <w:rPr/>
        <w:t xml:space="preserve"> und geht weg und vergisst sofort, wie er aussah</w:t>
      </w:r>
      <w:r>
        <w:rPr>
          <w:rStyle w:val="Funotenanker"/>
        </w:rPr>
        <w:footnoteReference w:customMarkFollows="1" w:id="2269"/>
        <w:t>bn</w:t>
      </w:r>
      <w:r>
        <w:rPr/>
        <w:t xml:space="preserve">.{{field-off:bible}} </w:t>
        <w:br/>
        <w:t>[[@BibleTOBIBLE:Jas 1:25]]</w:t>
      </w:r>
      <w:r>
        <w:rPr>
          <w:b/>
        </w:rPr>
        <w:t>25</w:t>
      </w:r>
      <w:r>
        <w:rPr/>
        <w:t xml:space="preserve"> {{field-on:bible}}Wer sich aber in </w:t>
      </w:r>
      <w:r>
        <w:rPr>
          <w:b/>
          <w:color w:val="808080"/>
        </w:rPr>
        <w:t>[</w:t>
      </w:r>
      <w:r>
        <w:rPr/>
        <w:t>das</w:t>
      </w:r>
      <w:r>
        <w:rPr>
          <w:b/>
          <w:color w:val="808080"/>
        </w:rPr>
        <w:t>]</w:t>
      </w:r>
      <w:r>
        <w:rPr/>
        <w:t xml:space="preserve"> vollkommene Gesetz der Freiheit vertieft</w:t>
      </w:r>
      <w:r>
        <w:rPr>
          <w:rStyle w:val="Funotenanker"/>
        </w:rPr>
        <w:footnoteReference w:customMarkFollows="1" w:id="2270"/>
        <w:t>bo</w:t>
      </w:r>
      <w:r>
        <w:rPr/>
        <w:t xml:space="preserve"> und dabei bleibt</w:t>
      </w:r>
      <w:r>
        <w:rPr>
          <w:rStyle w:val="Funotenanker"/>
        </w:rPr>
        <w:footnoteReference w:customMarkFollows="1" w:id="2271"/>
        <w:t>bp</w:t>
      </w:r>
      <w:r>
        <w:rPr/>
        <w:t>, indem er kein vergesslicher Hörer</w:t>
      </w:r>
      <w:r>
        <w:rPr>
          <w:rStyle w:val="Funotenanker"/>
        </w:rPr>
        <w:footnoteReference w:customMarkFollows="1" w:id="2272"/>
        <w:t>bq</w:t>
      </w:r>
      <w:r>
        <w:rPr/>
        <w:t xml:space="preserve">, sondern ein Täter des Werkes </w:t>
      </w:r>
      <w:r>
        <w:rPr>
          <w:b/>
          <w:color w:val="808080"/>
        </w:rPr>
        <w:t>[</w:t>
      </w:r>
      <w:r>
        <w:rPr/>
        <w:t>Gottes</w:t>
      </w:r>
      <w:r>
        <w:rPr>
          <w:b/>
          <w:color w:val="808080"/>
        </w:rPr>
        <w:t>]</w:t>
      </w:r>
      <w:r>
        <w:rPr/>
        <w:t xml:space="preserve"> wird</w:t>
      </w:r>
      <w:r>
        <w:rPr>
          <w:rStyle w:val="Funotenanker"/>
        </w:rPr>
        <w:footnoteReference w:customMarkFollows="1" w:id="2273"/>
        <w:t>br</w:t>
      </w:r>
      <w:r>
        <w:rPr/>
        <w:t xml:space="preserve">, der wird durch sein Tun </w:t>
      </w:r>
      <w:r>
        <w:rPr>
          <w:color w:val="808080"/>
        </w:rPr>
        <w:t>(in seinem Tun)</w:t>
      </w:r>
      <w:r>
        <w:rPr/>
        <w:t xml:space="preserve"> selig sein.{{field-off:bible}} </w:t>
        <w:br/>
        <w:t>[[@BibleTOBIBLE:Jas 1:26]]</w:t>
      </w:r>
      <w:r>
        <w:rPr>
          <w:b/>
        </w:rPr>
        <w:t>26</w:t>
      </w:r>
      <w:r>
        <w:rPr/>
        <w:t xml:space="preserve"> {{field-on:bible}}Wenn jemand gottesfürchtig </w:t>
      </w:r>
      <w:r>
        <w:rPr>
          <w:color w:val="808080"/>
        </w:rPr>
        <w:t>(fromm)</w:t>
      </w:r>
      <w:r>
        <w:rPr/>
        <w:t xml:space="preserve"> zu sein scheint </w:t>
      </w:r>
      <w:r>
        <w:rPr>
          <w:color w:val="808080"/>
        </w:rPr>
        <w:t>(meint)</w:t>
      </w:r>
      <w:r>
        <w:rPr/>
        <w:t xml:space="preserve">, aber </w:t>
      </w:r>
      <w:r>
        <w:rPr>
          <w:b/>
          <w:color w:val="808080"/>
        </w:rPr>
        <w:t>[</w:t>
      </w:r>
      <w:r>
        <w:rPr/>
        <w:t>dabei</w:t>
      </w:r>
      <w:r>
        <w:rPr>
          <w:b/>
          <w:color w:val="808080"/>
        </w:rPr>
        <w:t>]</w:t>
      </w:r>
      <w:r>
        <w:rPr/>
        <w:t xml:space="preserve"> </w:t>
      </w:r>
      <w:r>
        <w:rPr>
          <w:rStyle w:val="Funotenanker"/>
        </w:rPr>
        <w:footnoteReference w:customMarkFollows="1" w:id="2274"/>
        <w:t>bs</w:t>
      </w:r>
      <w:r>
        <w:rPr/>
        <w:t xml:space="preserve"> seine Zunge nicht im Zaum hält, sondern sein Herz betrügt</w:t>
      </w:r>
      <w:r>
        <w:rPr>
          <w:rStyle w:val="Funotenanker"/>
        </w:rPr>
        <w:footnoteReference w:customMarkFollows="1" w:id="2275"/>
        <w:t>bt</w:t>
      </w:r>
      <w:r>
        <w:rPr/>
        <w:t xml:space="preserve">, dessen Gottesverehrung </w:t>
      </w:r>
      <w:r>
        <w:rPr>
          <w:b/>
          <w:color w:val="808080"/>
        </w:rPr>
        <w:t>[</w:t>
      </w:r>
      <w:r>
        <w:rPr/>
        <w:t>ist</w:t>
      </w:r>
      <w:r>
        <w:rPr>
          <w:b/>
          <w:color w:val="808080"/>
        </w:rPr>
        <w:t>]</w:t>
      </w:r>
      <w:r>
        <w:rPr/>
        <w:t xml:space="preserve"> wertlos.</w:t>
      </w:r>
      <w:r>
        <w:rPr>
          <w:rStyle w:val="Funotenanker"/>
        </w:rPr>
        <w:footnoteReference w:customMarkFollows="1" w:id="2276"/>
        <w:t>bu</w:t>
      </w:r>
      <w:r>
        <w:rPr/>
        <w:t xml:space="preserve"> {{field-off:bible}} </w:t>
        <w:br/>
        <w:t>[[@BibleTOBIBLE:Jas 1:27]]</w:t>
      </w:r>
      <w:r>
        <w:rPr>
          <w:b/>
        </w:rPr>
        <w:t>27</w:t>
      </w:r>
      <w:r>
        <w:rPr/>
        <w:t xml:space="preserve"> {{field-on:bible}}Reine und unbefleckte Gottesverehrung vor </w:t>
      </w:r>
      <w:r>
        <w:rPr>
          <w:b/>
          <w:color w:val="808080"/>
        </w:rPr>
        <w:t>[</w:t>
      </w:r>
      <w:r>
        <w:rPr/>
        <w:t>unserem</w:t>
      </w:r>
      <w:r>
        <w:rPr>
          <w:b/>
          <w:color w:val="808080"/>
        </w:rPr>
        <w:t>]</w:t>
      </w:r>
      <w:r>
        <w:rPr/>
        <w:t xml:space="preserve"> Gott und Vater besteht darin</w:t>
      </w:r>
      <w:r>
        <w:rPr>
          <w:rStyle w:val="Funotenanker"/>
        </w:rPr>
        <w:footnoteReference w:customMarkFollows="1" w:id="2277"/>
        <w:t>bv</w:t>
      </w:r>
      <w:r>
        <w:rPr/>
        <w:t xml:space="preserve">, Waisen und Witwen in ihrer bedrängten Lage zu besuchen </w:t>
      </w:r>
      <w:r>
        <w:rPr>
          <w:b/>
          <w:color w:val="808080"/>
        </w:rPr>
        <w:t>[</w:t>
      </w:r>
      <w:r>
        <w:rPr/>
        <w:t>und</w:t>
      </w:r>
      <w:r>
        <w:rPr>
          <w:b/>
          <w:color w:val="808080"/>
        </w:rPr>
        <w:t>]</w:t>
      </w:r>
      <w:r>
        <w:rPr/>
        <w:t xml:space="preserve"> sich selbst vor der Welt unbefleckt </w:t>
      </w:r>
      <w:r>
        <w:rPr>
          <w:color w:val="808080"/>
        </w:rPr>
        <w:t>(fehlerlos, makellos, untadelig)</w:t>
      </w:r>
      <w:r>
        <w:rPr/>
        <w:t xml:space="preserve"> zu bewahren.{{field-off:bible}}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2278"/>
        <w:t>Status</w:t>
      </w:r>
      <w:r>
        <w:rPr/>
        <w:t xml:space="preserve"> Meine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habt den Glauben </w:t>
      </w:r>
      <w:r>
        <w:rPr>
          <w:b/>
          <w:color w:val="808080"/>
        </w:rPr>
        <w:t>[</w:t>
      </w:r>
      <w:r>
        <w:rPr/>
        <w:t>an</w:t>
      </w:r>
      <w:r>
        <w:rPr>
          <w:b/>
          <w:color w:val="808080"/>
        </w:rPr>
        <w:t>]</w:t>
      </w:r>
      <w:r>
        <w:rPr/>
        <w:t xml:space="preserve"> unseren Herrn</w:t>
      </w:r>
      <w:r>
        <w:rPr>
          <w:rStyle w:val="Funotenanker"/>
        </w:rPr>
        <w:footnoteReference w:customMarkFollows="1" w:id="2279"/>
        <w:t>a</w:t>
      </w:r>
      <w:r>
        <w:rPr/>
        <w:t xml:space="preserve"> der Herrlichkeit</w:t>
      </w:r>
      <w:r>
        <w:rPr>
          <w:rStyle w:val="Funotenanker"/>
        </w:rPr>
        <w:footnoteReference w:customMarkFollows="1" w:id="2280"/>
        <w:t>b</w:t>
      </w:r>
      <w:r>
        <w:rPr/>
        <w:t xml:space="preserve">, Jesus Christus, nicht in Parteilichkeit!{{field-off:bible}} </w:t>
        <w:br/>
        <w:t>[[@BibleTOBIBLE:Jas 2:2]]</w:t>
      </w:r>
      <w:r>
        <w:rPr>
          <w:b/>
        </w:rPr>
        <w:t>2</w:t>
      </w:r>
      <w:r>
        <w:rPr/>
        <w:t xml:space="preserve"> {{field-on:bible}}Denn wenn in eure Synagoge</w:t>
      </w:r>
      <w:r>
        <w:rPr>
          <w:rStyle w:val="Funotenanker"/>
        </w:rPr>
        <w:footnoteReference w:customMarkFollows="1" w:id="2281"/>
        <w:t>c</w:t>
      </w:r>
      <w:r>
        <w:rPr/>
        <w:t xml:space="preserve"> ein Mann mit goldenen Ringen an den Fingern</w:t>
      </w:r>
      <w:r>
        <w:rPr>
          <w:rStyle w:val="Funotenanker"/>
        </w:rPr>
        <w:footnoteReference w:customMarkFollows="1" w:id="2282"/>
        <w:t>d</w:t>
      </w:r>
      <w:r>
        <w:rPr/>
        <w:t xml:space="preserve"> in prächtiger</w:t>
      </w:r>
      <w:r>
        <w:rPr>
          <w:rStyle w:val="Funotenanker"/>
        </w:rPr>
        <w:footnoteReference w:customMarkFollows="1" w:id="2283"/>
        <w:t>e</w:t>
      </w:r>
      <w:r>
        <w:rPr/>
        <w:t xml:space="preserve"> Kleidung kommt, </w:t>
      </w:r>
      <w:r>
        <w:rPr>
          <w:strike/>
          <w:color w:val="808080"/>
        </w:rPr>
        <w:t>{es kommt}</w:t>
      </w:r>
      <w:r>
        <w:rPr/>
        <w:t xml:space="preserve"> aber auch ein Armer in schmutziger Kleidung,{{field-off:bible}} </w:t>
        <w:br/>
        <w:t>[[@BibleTOBIBLE:Jas 2:3]]</w:t>
      </w:r>
      <w:r>
        <w:rPr>
          <w:b/>
        </w:rPr>
        <w:t>3</w:t>
      </w:r>
      <w:r>
        <w:rPr/>
        <w:t xml:space="preserve"> {{field-on:bible}}und </w:t>
      </w:r>
      <w:r>
        <w:rPr>
          <w:color w:val="808080"/>
        </w:rPr>
        <w:t>(doch)</w:t>
      </w:r>
      <w:r>
        <w:rPr/>
        <w:t xml:space="preserve"> ihr kümmert euch um denjenigen, der die prächtige Kleidung trägt</w:t>
      </w:r>
      <w:r>
        <w:rPr>
          <w:rStyle w:val="Funotenanker"/>
        </w:rPr>
        <w:footnoteReference w:customMarkFollows="1" w:id="2284"/>
        <w:t>f</w:t>
      </w:r>
      <w:r>
        <w:rPr/>
        <w:t>, und sagt: Setze du dich hier auf den guten Platz</w:t>
      </w:r>
      <w:r>
        <w:rPr>
          <w:rStyle w:val="Funotenanker"/>
        </w:rPr>
        <w:footnoteReference w:customMarkFollows="1" w:id="2285"/>
        <w:t>g</w:t>
      </w:r>
      <w:r>
        <w:rPr/>
        <w:t xml:space="preserve">!, doch </w:t>
      </w:r>
      <w:r>
        <w:rPr>
          <w:color w:val="808080"/>
        </w:rPr>
        <w:t>(und)</w:t>
      </w:r>
      <w:r>
        <w:rPr/>
        <w:t xml:space="preserve"> zu dem Armen sagt ihr: Stelle du dich </w:t>
      </w:r>
      <w:r>
        <w:rPr>
          <w:b/>
          <w:color w:val="808080"/>
        </w:rPr>
        <w:t>[</w:t>
      </w:r>
      <w:r>
        <w:rPr/>
        <w:t>dorthin</w:t>
      </w:r>
      <w:r>
        <w:rPr>
          <w:b/>
          <w:color w:val="808080"/>
        </w:rPr>
        <w:t>]</w:t>
      </w:r>
      <w:r>
        <w:rPr/>
        <w:t xml:space="preserve"> oder setze dich da</w:t>
      </w:r>
      <w:r>
        <w:rPr>
          <w:rStyle w:val="Funotenanker"/>
        </w:rPr>
        <w:footnoteReference w:customMarkFollows="1" w:id="2286"/>
        <w:t>h</w:t>
      </w:r>
      <w:r>
        <w:rPr/>
        <w:t xml:space="preserve"> unten </w:t>
      </w:r>
      <w:r>
        <w:rPr>
          <w:b/>
          <w:color w:val="808080"/>
        </w:rPr>
        <w:t>[</w:t>
      </w:r>
      <w:r>
        <w:rPr/>
        <w:t>auf</w:t>
      </w:r>
      <w:r>
        <w:rPr>
          <w:b/>
          <w:color w:val="808080"/>
        </w:rPr>
        <w:t>]</w:t>
      </w:r>
      <w:r>
        <w:rPr/>
        <w:t xml:space="preserve"> meinen Fußschemel!,{{field-off:bible}} </w:t>
        <w:br/>
        <w:t>[[@BibleTOBIBLE:Jas 2:4]]</w:t>
      </w:r>
      <w:r>
        <w:rPr>
          <w:b/>
        </w:rPr>
        <w:t>4</w:t>
      </w:r>
      <w:r>
        <w:rPr/>
        <w:t xml:space="preserve"> {{field-on:bible}}habt ihr da nicht in eurem Inneren </w:t>
      </w:r>
      <w:r>
        <w:rPr>
          <w:color w:val="808080"/>
        </w:rPr>
        <w:t>(in eurem Herzen; untereinander)</w:t>
      </w:r>
      <w:r>
        <w:rPr/>
        <w:t xml:space="preserve"> </w:t>
      </w:r>
      <w:r>
        <w:rPr>
          <w:rStyle w:val="Funotenanker"/>
        </w:rPr>
        <w:footnoteReference w:customMarkFollows="1" w:id="2287"/>
        <w:t>i</w:t>
      </w:r>
      <w:r>
        <w:rPr/>
        <w:t xml:space="preserve"> unterschieden</w:t>
      </w:r>
      <w:r>
        <w:rPr>
          <w:rStyle w:val="Funotenanker"/>
        </w:rPr>
        <w:footnoteReference w:customMarkFollows="1" w:id="2288"/>
        <w:t>j</w:t>
      </w:r>
      <w:r>
        <w:rPr/>
        <w:t xml:space="preserve"> und seid Richter </w:t>
      </w:r>
      <w:r>
        <w:rPr>
          <w:b/>
          <w:color w:val="808080"/>
        </w:rPr>
        <w:t>[</w:t>
      </w:r>
      <w:r>
        <w:rPr/>
        <w:t>mit</w:t>
      </w:r>
      <w:r>
        <w:rPr>
          <w:b/>
          <w:color w:val="808080"/>
        </w:rPr>
        <w:t>]</w:t>
      </w:r>
      <w:r>
        <w:rPr/>
        <w:t xml:space="preserve"> böser Gesinnung</w:t>
      </w:r>
      <w:r>
        <w:rPr>
          <w:rStyle w:val="Funotenanker"/>
        </w:rPr>
        <w:footnoteReference w:customMarkFollows="1" w:id="2289"/>
        <w:t>k</w:t>
      </w:r>
      <w:r>
        <w:rPr/>
        <w:t xml:space="preserve"> geworden?</w:t>
      </w:r>
      <w:r>
        <w:rPr>
          <w:rStyle w:val="Funotenanker"/>
        </w:rPr>
        <w:footnoteReference w:customMarkFollows="1" w:id="2290"/>
        <w:t>l</w:t>
      </w:r>
      <w:r>
        <w:rPr/>
        <w:t xml:space="preserve"> {{field-off:bible}} </w:t>
        <w:br/>
        <w:t>[[@BibleTOBIBLE:Jas 2:5]]</w:t>
      </w:r>
      <w:r>
        <w:rPr>
          <w:b/>
        </w:rPr>
        <w:t>5</w:t>
      </w:r>
      <w:r>
        <w:rPr/>
        <w:t xml:space="preserve"> {{field-on:bible}}Hört, meine geliebten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Hat </w:t>
      </w:r>
      <w:r>
        <w:rPr>
          <w:color w:val="808080"/>
        </w:rPr>
        <w:t>(Erwählt nicht)</w:t>
      </w:r>
      <w:r>
        <w:rPr/>
        <w:t xml:space="preserve"> Gott sich nicht die </w:t>
      </w:r>
      <w:r>
        <w:rPr>
          <w:b/>
          <w:color w:val="808080"/>
        </w:rPr>
        <w:t>[</w:t>
      </w:r>
      <w:r>
        <w:rPr/>
        <w:t>in den Augen</w:t>
      </w:r>
      <w:r>
        <w:rPr>
          <w:b/>
          <w:color w:val="808080"/>
        </w:rPr>
        <w:t>]</w:t>
      </w:r>
      <w:r>
        <w:rPr/>
        <w:t xml:space="preserve"> der Welt</w:t>
      </w:r>
      <w:r>
        <w:rPr>
          <w:rStyle w:val="Funotenanker"/>
        </w:rPr>
        <w:footnoteReference w:customMarkFollows="1" w:id="2291"/>
        <w:t>m</w:t>
      </w:r>
      <w:r>
        <w:rPr/>
        <w:t xml:space="preserve"> Armen </w:t>
      </w:r>
      <w:r>
        <w:rPr>
          <w:b/>
          <w:color w:val="808080"/>
        </w:rPr>
        <w:t>[</w:t>
      </w:r>
      <w:r>
        <w:rPr/>
        <w:t>dazu</w:t>
      </w:r>
      <w:r>
        <w:rPr>
          <w:b/>
          <w:color w:val="808080"/>
        </w:rPr>
        <w:t>]</w:t>
      </w:r>
      <w:r>
        <w:rPr/>
        <w:t xml:space="preserve"> erwählt</w:t>
      </w:r>
      <w:r>
        <w:rPr>
          <w:rStyle w:val="Funotenanker"/>
        </w:rPr>
        <w:footnoteReference w:customMarkFollows="1" w:id="2292"/>
        <w:t>n</w:t>
      </w:r>
      <w:r>
        <w:rPr/>
        <w:t xml:space="preserve">, </w:t>
      </w:r>
      <w:r>
        <w:rPr>
          <w:b/>
          <w:color w:val="808080"/>
        </w:rPr>
        <w:t>[</w:t>
      </w:r>
      <w:r>
        <w:rPr/>
        <w:t>um</w:t>
      </w:r>
      <w:r>
        <w:rPr>
          <w:b/>
          <w:color w:val="808080"/>
        </w:rPr>
        <w:t>]</w:t>
      </w:r>
      <w:r>
        <w:rPr/>
        <w:t xml:space="preserve"> Reiche im </w:t>
      </w:r>
      <w:r>
        <w:rPr>
          <w:color w:val="808080"/>
        </w:rPr>
        <w:t>(durch den)</w:t>
      </w:r>
      <w:r>
        <w:rPr/>
        <w:t xml:space="preserve"> Glauben und Erben des Reiches </w:t>
      </w:r>
      <w:r>
        <w:rPr>
          <w:b/>
          <w:color w:val="808080"/>
        </w:rPr>
        <w:t>[</w:t>
      </w:r>
      <w:r>
        <w:rPr/>
        <w:t>zu sein</w:t>
      </w:r>
      <w:r>
        <w:rPr>
          <w:b/>
          <w:color w:val="808080"/>
        </w:rPr>
        <w:t>]</w:t>
      </w:r>
      <w:r>
        <w:rPr/>
        <w:t xml:space="preserve"> </w:t>
      </w:r>
      <w:r>
        <w:rPr>
          <w:rStyle w:val="Funotenanker"/>
        </w:rPr>
        <w:footnoteReference w:customMarkFollows="1" w:id="2293"/>
        <w:t>o</w:t>
      </w:r>
      <w:r>
        <w:rPr/>
        <w:t xml:space="preserve">, das er denen verheißen hat, die ihn lieben?{{field-off:bible}} </w:t>
        <w:br/>
        <w:t>[[@BibleTOBIBLE:Jas 2:6]]</w:t>
      </w:r>
      <w:r>
        <w:rPr>
          <w:b/>
        </w:rPr>
        <w:t>6</w:t>
      </w:r>
      <w:r>
        <w:rPr/>
        <w:t xml:space="preserve"> {{field-on:bible}}Doch ihr habt den Armen verachtet </w:t>
      </w:r>
      <w:r>
        <w:rPr>
          <w:color w:val="808080"/>
        </w:rPr>
        <w:t>(verächtlich behandelt)</w:t>
      </w:r>
      <w:r>
        <w:rPr/>
        <w:t xml:space="preserve">. Unterdrücken </w:t>
      </w:r>
      <w:r>
        <w:rPr>
          <w:color w:val="808080"/>
        </w:rPr>
        <w:t>(Behandeln ... gewalttätig)</w:t>
      </w:r>
      <w:r>
        <w:rPr/>
        <w:t xml:space="preserve"> euch nicht die Reichen, und schleppen </w:t>
      </w:r>
      <w:r>
        <w:rPr>
          <w:b/>
          <w:color w:val="808080"/>
        </w:rPr>
        <w:t>[</w:t>
      </w:r>
      <w:r>
        <w:rPr/>
        <w:t>nicht</w:t>
      </w:r>
      <w:r>
        <w:rPr>
          <w:b/>
          <w:color w:val="808080"/>
        </w:rPr>
        <w:t>]</w:t>
      </w:r>
      <w:r>
        <w:rPr/>
        <w:t xml:space="preserve"> </w:t>
      </w:r>
      <w:r>
        <w:rPr>
          <w:rStyle w:val="Funotenanker"/>
        </w:rPr>
        <w:footnoteReference w:customMarkFollows="1" w:id="2294"/>
        <w:t>p</w:t>
      </w:r>
      <w:r>
        <w:rPr/>
        <w:t xml:space="preserve"> sie euch vor Gericht?{{field-off:bible}} </w:t>
        <w:br/>
        <w:t>[[@BibleTOBIBLE:Jas 2:7]]</w:t>
      </w:r>
      <w:r>
        <w:rPr>
          <w:b/>
        </w:rPr>
        <w:t>7</w:t>
      </w:r>
      <w:r>
        <w:rPr/>
        <w:t xml:space="preserve"> {{field-on:bible}}Lästern nicht </w:t>
      </w:r>
      <w:r>
        <w:rPr>
          <w:b/>
          <w:color w:val="808080"/>
        </w:rPr>
        <w:t>[</w:t>
      </w:r>
      <w:r>
        <w:rPr/>
        <w:t>gerade</w:t>
      </w:r>
      <w:r>
        <w:rPr>
          <w:b/>
          <w:color w:val="808080"/>
        </w:rPr>
        <w:t>]</w:t>
      </w:r>
      <w:r>
        <w:rPr/>
        <w:t xml:space="preserve"> sie den guten Namen, der über euch ausgerufen wurde?{{field-off:bible}} </w:t>
        <w:br/>
        <w:t>[[@BibleTOBIBLE:Jas 2:8]]</w:t>
      </w:r>
      <w:r>
        <w:rPr>
          <w:b/>
        </w:rPr>
        <w:t>8</w:t>
      </w:r>
      <w:r>
        <w:rPr/>
        <w:t xml:space="preserve"> {{field-on:bible}}Wenn ihr wirklich </w:t>
      </w:r>
      <w:r>
        <w:rPr>
          <w:b/>
          <w:color w:val="808080"/>
        </w:rPr>
        <w:t>[</w:t>
      </w:r>
      <w:r>
        <w:rPr/>
        <w:t>das</w:t>
      </w:r>
      <w:r>
        <w:rPr>
          <w:b/>
          <w:color w:val="808080"/>
        </w:rPr>
        <w:t>]</w:t>
      </w:r>
      <w:r>
        <w:rPr/>
        <w:t xml:space="preserve"> königliche Gesetz gemäß der Schrift erfüllt, „Liebe</w:t>
      </w:r>
      <w:r>
        <w:rPr>
          <w:rStyle w:val="Funotenanker"/>
        </w:rPr>
        <w:footnoteReference w:customMarkFollows="1" w:id="2295"/>
        <w:t>q</w:t>
      </w:r>
      <w:r>
        <w:rPr/>
        <w:t xml:space="preserve"> deinen Mitmenschen </w:t>
      </w:r>
      <w:r>
        <w:rPr>
          <w:color w:val="808080"/>
        </w:rPr>
        <w:t>(Nächsten)</w:t>
      </w:r>
      <w:r>
        <w:rPr/>
        <w:t xml:space="preserve"> wie dich selbst!“,</w:t>
      </w:r>
      <w:r>
        <w:rPr>
          <w:position w:val="8"/>
          <w:sz w:val="19"/>
        </w:rPr>
        <w:t>[[ ℘ &gt;&gt; BibleTOBIBLE:Le 19:18]]</w:t>
      </w:r>
      <w:r>
        <w:rPr/>
        <w:t xml:space="preserve"> </w:t>
      </w:r>
      <w:r>
        <w:rPr>
          <w:b/>
          <w:color w:val="808080"/>
        </w:rPr>
        <w:t>[</w:t>
      </w:r>
      <w:r>
        <w:rPr/>
        <w:t>dann</w:t>
      </w:r>
      <w:r>
        <w:rPr>
          <w:b/>
          <w:color w:val="808080"/>
        </w:rPr>
        <w:t>]</w:t>
      </w:r>
      <w:r>
        <w:rPr/>
        <w:t xml:space="preserve"> handelt ihr gut </w:t>
      </w:r>
      <w:r>
        <w:rPr>
          <w:color w:val="808080"/>
        </w:rPr>
        <w:t>(richtig)</w:t>
      </w:r>
      <w:r>
        <w:rPr/>
        <w:t xml:space="preserve"> </w:t>
      </w:r>
      <w:r>
        <w:rPr>
          <w:rStyle w:val="Funotenanker"/>
        </w:rPr>
        <w:footnoteReference w:customMarkFollows="1" w:id="2296"/>
        <w:t>r</w:t>
      </w:r>
      <w:r>
        <w:rPr/>
        <w:t>.</w:t>
      </w:r>
      <w:r>
        <w:rPr>
          <w:rStyle w:val="Funotenanker"/>
        </w:rPr>
        <w:footnoteReference w:customMarkFollows="1" w:id="2297"/>
        <w:t>s</w:t>
      </w:r>
      <w:r>
        <w:rPr/>
        <w:t xml:space="preserve"> {{field-off:bible}} </w:t>
        <w:br/>
        <w:t>[[@BibleTOBIBLE:Jas 2:9]]</w:t>
      </w:r>
      <w:r>
        <w:rPr>
          <w:b/>
        </w:rPr>
        <w:t>9</w:t>
      </w:r>
      <w:r>
        <w:rPr/>
        <w:t xml:space="preserve"> {{field-on:bible}}Wenn ihr aber bestimmte Menschen bevorzugt </w:t>
      </w:r>
      <w:r>
        <w:rPr>
          <w:color w:val="808080"/>
        </w:rPr>
        <w:t>(„parteiisch handelt/urteilt“, „die Person anseht“</w:t>
      </w:r>
      <w:r>
        <w:rPr/>
        <w:t xml:space="preserve"> </w:t>
      </w:r>
      <w:r>
        <w:rPr>
          <w:rStyle w:val="Funotenanker"/>
        </w:rPr>
        <w:footnoteReference w:customMarkFollows="1" w:id="2298"/>
        <w:t>t</w:t>
      </w:r>
      <w:r>
        <w:rPr/>
        <w:t xml:space="preserve"> </w:t>
      </w:r>
      <w:r>
        <w:rPr>
          <w:color w:val="808080"/>
        </w:rPr>
        <w:t>)</w:t>
      </w:r>
      <w:r>
        <w:rPr/>
        <w:t>, begeht ihr Sünde, indem ihr vom Gesetz als Übertreter</w:t>
      </w:r>
      <w:r>
        <w:rPr>
          <w:rStyle w:val="Funotenanker"/>
        </w:rPr>
        <w:footnoteReference w:customMarkFollows="1" w:id="2299"/>
        <w:t>u</w:t>
      </w:r>
      <w:r>
        <w:rPr/>
        <w:t xml:space="preserve"> überführt werdet</w:t>
      </w:r>
      <w:r>
        <w:rPr>
          <w:rStyle w:val="Funotenanker"/>
        </w:rPr>
        <w:footnoteReference w:customMarkFollows="1" w:id="2300"/>
        <w:t>v</w:t>
      </w:r>
      <w:r>
        <w:rPr/>
        <w:t>.</w:t>
      </w:r>
      <w:r>
        <w:rPr>
          <w:rStyle w:val="Funotenanker"/>
        </w:rPr>
        <w:footnoteReference w:customMarkFollows="1" w:id="2301"/>
        <w:t>w</w:t>
      </w:r>
      <w:r>
        <w:rPr/>
        <w:t xml:space="preserve"> {{field-off:bible}} </w:t>
        <w:br/>
        <w:t>[[@BibleTOBIBLE:Jas 2:10]]</w:t>
      </w:r>
      <w:r>
        <w:rPr>
          <w:b/>
        </w:rPr>
        <w:t>10</w:t>
      </w:r>
      <w:r>
        <w:rPr/>
        <w:t xml:space="preserve"> {{field-on:bible}}Denn wer das ganze Gesetz einhält </w:t>
      </w:r>
      <w:r>
        <w:rPr>
          <w:color w:val="808080"/>
        </w:rPr>
        <w:t>(bewahrt)</w:t>
      </w:r>
      <w:r>
        <w:rPr/>
        <w:t xml:space="preserve">, aber in einem </w:t>
      </w:r>
      <w:r>
        <w:rPr>
          <w:b/>
          <w:color w:val="808080"/>
        </w:rPr>
        <w:t>[</w:t>
      </w:r>
      <w:r>
        <w:rPr/>
        <w:t xml:space="preserve">einzigen Punkt </w:t>
      </w:r>
      <w:r>
        <w:rPr>
          <w:color w:val="808080"/>
        </w:rPr>
        <w:t>(Gebot)</w:t>
      </w:r>
      <w:r>
        <w:rPr>
          <w:b/>
          <w:color w:val="808080"/>
        </w:rPr>
        <w:t>]</w:t>
      </w:r>
      <w:r>
        <w:rPr/>
        <w:t xml:space="preserve"> strauchelt</w:t>
      </w:r>
      <w:r>
        <w:rPr>
          <w:rStyle w:val="Funotenanker"/>
        </w:rPr>
        <w:footnoteReference w:customMarkFollows="1" w:id="2302"/>
        <w:t>x</w:t>
      </w:r>
      <w:r>
        <w:rPr/>
        <w:t xml:space="preserve">, ist </w:t>
      </w:r>
      <w:r>
        <w:rPr>
          <w:b/>
          <w:color w:val="808080"/>
        </w:rPr>
        <w:t>[</w:t>
      </w:r>
      <w:r>
        <w:rPr/>
        <w:t>dadurch an</w:t>
      </w:r>
      <w:r>
        <w:rPr>
          <w:b/>
          <w:color w:val="808080"/>
        </w:rPr>
        <w:t>]</w:t>
      </w:r>
      <w:r>
        <w:rPr/>
        <w:t xml:space="preserve"> allen </w:t>
      </w:r>
      <w:r>
        <w:rPr>
          <w:b/>
          <w:color w:val="808080"/>
        </w:rPr>
        <w:t>[</w:t>
      </w:r>
      <w:r>
        <w:rPr/>
        <w:t>Geboten</w:t>
      </w:r>
      <w:r>
        <w:rPr>
          <w:b/>
          <w:color w:val="808080"/>
        </w:rPr>
        <w:t>]</w:t>
      </w:r>
      <w:r>
        <w:rPr/>
        <w:t xml:space="preserve"> schuldig geworden</w:t>
      </w:r>
      <w:r>
        <w:rPr>
          <w:rStyle w:val="Funotenanker"/>
        </w:rPr>
        <w:footnoteReference w:customMarkFollows="1" w:id="2303"/>
        <w:t>y</w:t>
      </w:r>
      <w:r>
        <w:rPr/>
        <w:t xml:space="preserve">.{{field-off:bible}} </w:t>
        <w:br/>
        <w:t>[[@BibleTOBIBLE:Jas 2:11]]</w:t>
      </w:r>
      <w:r>
        <w:rPr>
          <w:b/>
        </w:rPr>
        <w:t>11</w:t>
      </w:r>
      <w:r>
        <w:rPr/>
        <w:t xml:space="preserve"> {{field-on:bible}}Denn derjenige, der sagte: „Brich die Ehe nicht!“, der sagte auch: „Morde nicht!“</w:t>
      </w:r>
      <w:r>
        <w:rPr>
          <w:position w:val="8"/>
          <w:sz w:val="19"/>
        </w:rPr>
        <w:t>[[ ℘ &gt;&gt; BibleTOBIBLE:Ex 20:13]]</w:t>
      </w:r>
      <w:r>
        <w:rPr/>
        <w:t xml:space="preserve"> </w:t>
      </w:r>
      <w:r>
        <w:rPr>
          <w:rStyle w:val="Funotenanker"/>
        </w:rPr>
        <w:footnoteReference w:customMarkFollows="1" w:id="2304"/>
        <w:t>z</w:t>
      </w:r>
      <w:r>
        <w:rPr/>
        <w:t xml:space="preserve"> Wenn du aber </w:t>
      </w:r>
      <w:r>
        <w:rPr>
          <w:b/>
          <w:color w:val="808080"/>
        </w:rPr>
        <w:t>[</w:t>
      </w:r>
      <w:r>
        <w:rPr/>
        <w:t>jetzt zwar</w:t>
      </w:r>
      <w:r>
        <w:rPr>
          <w:b/>
          <w:color w:val="808080"/>
        </w:rPr>
        <w:t>]</w:t>
      </w:r>
      <w:r>
        <w:rPr/>
        <w:t xml:space="preserve"> keinen </w:t>
      </w:r>
      <w:r>
        <w:rPr>
          <w:color w:val="808080"/>
        </w:rPr>
        <w:t>(nicht)</w:t>
      </w:r>
      <w:r>
        <w:rPr/>
        <w:t xml:space="preserve"> Ehebruch begehst, aber mordest, bist du </w:t>
      </w:r>
      <w:r>
        <w:rPr>
          <w:b/>
          <w:color w:val="808080"/>
        </w:rPr>
        <w:t>[</w:t>
      </w:r>
      <w:r>
        <w:rPr/>
        <w:t>dadurch</w:t>
      </w:r>
      <w:r>
        <w:rPr>
          <w:b/>
          <w:color w:val="808080"/>
        </w:rPr>
        <w:t>]</w:t>
      </w:r>
      <w:r>
        <w:rPr/>
        <w:t xml:space="preserve"> ein Gesetzesbrecher geworden</w:t>
      </w:r>
      <w:r>
        <w:rPr>
          <w:rStyle w:val="Funotenanker"/>
        </w:rPr>
        <w:footnoteReference w:customMarkFollows="1" w:id="2305"/>
        <w:t>aa</w:t>
      </w:r>
      <w:r>
        <w:rPr/>
        <w:t>.</w:t>
      </w:r>
      <w:r>
        <w:rPr>
          <w:rStyle w:val="Funotenanker"/>
        </w:rPr>
        <w:footnoteReference w:customMarkFollows="1" w:id="2306"/>
        <w:t>ab</w:t>
      </w:r>
      <w:r>
        <w:rPr/>
        <w:t xml:space="preserve"> {{field-off:bible}} </w:t>
        <w:br/>
        <w:t>[[@BibleTOBIBLE:Jas 2:12]]</w:t>
      </w:r>
      <w:r>
        <w:rPr>
          <w:b/>
        </w:rPr>
        <w:t>12</w:t>
      </w:r>
      <w:r>
        <w:rPr/>
        <w:t xml:space="preserve"> {{field-on:bible}}Sprecht </w:t>
      </w:r>
      <w:r>
        <w:rPr>
          <w:strike/>
          <w:color w:val="808080"/>
        </w:rPr>
        <w:t>{so}</w:t>
      </w:r>
      <w:r>
        <w:rPr/>
        <w:t xml:space="preserve"> und handelt </w:t>
      </w:r>
      <w:r>
        <w:rPr>
          <w:strike/>
          <w:color w:val="808080"/>
        </w:rPr>
        <w:t>{so}</w:t>
      </w:r>
      <w:r>
        <w:rPr/>
        <w:t xml:space="preserve"> wie </w:t>
      </w:r>
      <w:r>
        <w:rPr>
          <w:b/>
          <w:color w:val="808080"/>
        </w:rPr>
        <w:t>[</w:t>
      </w:r>
      <w:r>
        <w:rPr/>
        <w:t>Menschen</w:t>
      </w:r>
      <w:r>
        <w:rPr>
          <w:b/>
          <w:color w:val="808080"/>
        </w:rPr>
        <w:t>]</w:t>
      </w:r>
      <w:r>
        <w:rPr/>
        <w:t xml:space="preserve"> </w:t>
      </w:r>
      <w:r>
        <w:rPr>
          <w:color w:val="808080"/>
        </w:rPr>
        <w:t xml:space="preserve">(als </w:t>
      </w:r>
      <w:r>
        <w:rPr>
          <w:b/>
          <w:color w:val="808080"/>
        </w:rPr>
        <w:t>[</w:t>
      </w:r>
      <w:r>
        <w:rPr>
          <w:color w:val="808080"/>
        </w:rPr>
        <w:t>solche</w:t>
      </w:r>
      <w:r>
        <w:rPr>
          <w:b/>
          <w:color w:val="808080"/>
        </w:rPr>
        <w:t>]</w:t>
      </w:r>
      <w:r>
        <w:rPr>
          <w:color w:val="808080"/>
        </w:rPr>
        <w:t>)</w:t>
      </w:r>
      <w:r>
        <w:rPr/>
        <w:t>, die einmal nach</w:t>
      </w:r>
      <w:r>
        <w:rPr>
          <w:rStyle w:val="Funotenanker"/>
        </w:rPr>
        <w:footnoteReference w:customMarkFollows="1" w:id="2307"/>
        <w:t>ac</w:t>
      </w:r>
      <w:r>
        <w:rPr/>
        <w:t xml:space="preserve"> dem Gesetz der Freiheit gerichtet </w:t>
      </w:r>
      <w:r>
        <w:rPr>
          <w:color w:val="808080"/>
        </w:rPr>
        <w:t>(werden wollen)</w:t>
      </w:r>
      <w:r>
        <w:rPr/>
        <w:t xml:space="preserve"> </w:t>
      </w:r>
      <w:r>
        <w:rPr>
          <w:rStyle w:val="Funotenanker"/>
        </w:rPr>
        <w:footnoteReference w:customMarkFollows="1" w:id="2308"/>
        <w:t>ad</w:t>
      </w:r>
      <w:r>
        <w:rPr/>
        <w:t xml:space="preserve">.{{field-off:bible}} </w:t>
        <w:br/>
        <w:t>[[@BibleTOBIBLE:Jas 2:13]]</w:t>
      </w:r>
      <w:r>
        <w:rPr>
          <w:b/>
        </w:rPr>
        <w:t>13</w:t>
      </w:r>
      <w:r>
        <w:rPr/>
        <w:t xml:space="preserve"> {{field-on:bible}}Denn das Gericht </w:t>
      </w:r>
      <w:r>
        <w:rPr>
          <w:b/>
          <w:color w:val="808080"/>
        </w:rPr>
        <w:t>[</w:t>
      </w:r>
      <w:r>
        <w:rPr/>
        <w:t>ist</w:t>
      </w:r>
      <w:r>
        <w:rPr>
          <w:b/>
          <w:color w:val="808080"/>
        </w:rPr>
        <w:t>]</w:t>
      </w:r>
      <w:r>
        <w:rPr/>
        <w:t xml:space="preserve"> </w:t>
      </w:r>
      <w:r>
        <w:rPr>
          <w:color w:val="808080"/>
        </w:rPr>
        <w:t>(„</w:t>
      </w:r>
      <w:r>
        <w:rPr>
          <w:b/>
          <w:color w:val="808080"/>
        </w:rPr>
        <w:t>[</w:t>
      </w:r>
      <w:r>
        <w:rPr>
          <w:color w:val="808080"/>
        </w:rPr>
        <w:t>soll … sein</w:t>
      </w:r>
      <w:r>
        <w:rPr>
          <w:b/>
          <w:color w:val="808080"/>
        </w:rPr>
        <w:t>]</w:t>
      </w:r>
      <w:r>
        <w:rPr>
          <w:color w:val="808080"/>
        </w:rPr>
        <w:t>“, „</w:t>
      </w:r>
      <w:r>
        <w:rPr>
          <w:b/>
          <w:color w:val="808080"/>
        </w:rPr>
        <w:t>[</w:t>
      </w:r>
      <w:r>
        <w:rPr>
          <w:color w:val="808080"/>
        </w:rPr>
        <w:t>wird … sein</w:t>
      </w:r>
      <w:r>
        <w:rPr>
          <w:b/>
          <w:color w:val="808080"/>
        </w:rPr>
        <w:t>]</w:t>
      </w:r>
      <w:r>
        <w:rPr>
          <w:color w:val="808080"/>
        </w:rPr>
        <w:t>“)</w:t>
      </w:r>
      <w:r>
        <w:rPr/>
        <w:t xml:space="preserve"> unbarmherzig </w:t>
      </w:r>
      <w:r>
        <w:rPr>
          <w:b/>
          <w:color w:val="808080"/>
        </w:rPr>
        <w:t>[</w:t>
      </w:r>
      <w:r>
        <w:rPr/>
        <w:t>gegenüber</w:t>
      </w:r>
      <w:r>
        <w:rPr>
          <w:b/>
          <w:color w:val="808080"/>
        </w:rPr>
        <w:t>]</w:t>
      </w:r>
      <w:r>
        <w:rPr/>
        <w:t xml:space="preserve"> demjenigen, der keine Barmherzigkeit geübt hat – </w:t>
      </w:r>
      <w:r>
        <w:rPr>
          <w:b/>
          <w:color w:val="808080"/>
        </w:rPr>
        <w:t>[</w:t>
      </w:r>
      <w:r>
        <w:rPr/>
        <w:t>die</w:t>
      </w:r>
      <w:r>
        <w:rPr>
          <w:b/>
          <w:color w:val="808080"/>
        </w:rPr>
        <w:t>]</w:t>
      </w:r>
      <w:r>
        <w:rPr/>
        <w:t xml:space="preserve"> Barmherzigkeit triumphiert über </w:t>
      </w:r>
      <w:r>
        <w:rPr>
          <w:b/>
          <w:color w:val="808080"/>
        </w:rPr>
        <w:t>[</w:t>
      </w:r>
      <w:r>
        <w:rPr/>
        <w:t>das</w:t>
      </w:r>
      <w:r>
        <w:rPr>
          <w:b/>
          <w:color w:val="808080"/>
        </w:rPr>
        <w:t>]</w:t>
      </w:r>
      <w:r>
        <w:rPr/>
        <w:t xml:space="preserve"> Gericht.{{field-off:bible}} </w:t>
        <w:br/>
        <w:t>[[@BibleTOBIBLE:Jas 2:14]]</w:t>
      </w:r>
      <w:r>
        <w:rPr>
          <w:b/>
        </w:rPr>
        <w:t>14</w:t>
      </w:r>
      <w:r>
        <w:rPr/>
        <w:t xml:space="preserve"> {{field-on:bible}}Was nützt es,</w:t>
      </w:r>
      <w:r>
        <w:rPr>
          <w:rStyle w:val="Funotenanker"/>
        </w:rPr>
        <w:footnoteReference w:customMarkFollows="1" w:id="2309"/>
        <w:t>ae</w:t>
      </w:r>
      <w:r>
        <w:rPr/>
        <w:t xml:space="preserve"> meine Geschwister, wenn jemand Glauben zu haben behauptet, aber keine Werke hat?</w:t>
      </w:r>
      <w:r>
        <w:rPr>
          <w:rStyle w:val="Funotenanker"/>
        </w:rPr>
        <w:footnoteReference w:customMarkFollows="1" w:id="2310"/>
        <w:t>af</w:t>
      </w:r>
      <w:r>
        <w:rPr/>
        <w:t xml:space="preserve"> Vermag der Glaube etwa, ihn zu retten?{{field-off:bible}} </w:t>
        <w:br/>
        <w:t>[[@BibleTOBIBLE:Jas 2:15]]</w:t>
      </w:r>
      <w:r>
        <w:rPr>
          <w:b/>
        </w:rPr>
        <w:t>15</w:t>
      </w:r>
      <w:r>
        <w:rPr/>
        <w:t xml:space="preserve"> {{field-on:bible}}Wenn ein Bruder oder eine Schwester nackt </w:t>
      </w:r>
      <w:r>
        <w:rPr>
          <w:color w:val="808080"/>
        </w:rPr>
        <w:t>(dürftig gekleidet)</w:t>
      </w:r>
      <w:r>
        <w:rPr/>
        <w:t xml:space="preserve"> sind und ihnen die tägliche Nahrung fehlt,{{field-off:bible}} </w:t>
        <w:br/>
        <w:t>[[@BibleTOBIBLE:Jas 2:16]]</w:t>
      </w:r>
      <w:r>
        <w:rPr>
          <w:b/>
        </w:rPr>
        <w:t>16</w:t>
      </w:r>
      <w:r>
        <w:rPr/>
        <w:t xml:space="preserve"> {{field-on:bible}}aber einer von euch zu ihnen sagt: „Geht hin in Frieden</w:t>
      </w:r>
      <w:r>
        <w:rPr>
          <w:rStyle w:val="Funotenanker"/>
        </w:rPr>
        <w:footnoteReference w:customMarkFollows="1" w:id="2311"/>
        <w:t>ag</w:t>
      </w:r>
      <w:r>
        <w:rPr/>
        <w:t>, wärmt euch und esst euch satt!“, aber ihr gebt ihnen nicht, was für den Leib erforderlich ist</w:t>
      </w:r>
      <w:r>
        <w:rPr>
          <w:rStyle w:val="Funotenanker"/>
        </w:rPr>
        <w:footnoteReference w:customMarkFollows="1" w:id="2312"/>
        <w:t>ah</w:t>
      </w:r>
      <w:r>
        <w:rPr/>
        <w:t>, was nützt das</w:t>
      </w:r>
      <w:r>
        <w:rPr>
          <w:rStyle w:val="Funotenanker"/>
        </w:rPr>
        <w:footnoteReference w:customMarkFollows="1" w:id="2313"/>
        <w:t>ai</w:t>
      </w:r>
      <w:r>
        <w:rPr/>
        <w:t>?</w:t>
      </w:r>
      <w:r>
        <w:rPr>
          <w:rStyle w:val="Funotenanker"/>
        </w:rPr>
        <w:footnoteReference w:customMarkFollows="1" w:id="2314"/>
        <w:t>aj</w:t>
      </w:r>
      <w:r>
        <w:rPr/>
        <w:t xml:space="preserve"> {{field-off:bible}} </w:t>
        <w:br/>
        <w:t>[[@BibleTOBIBLE:Jas 2:17]]</w:t>
      </w:r>
      <w:r>
        <w:rPr>
          <w:b/>
        </w:rPr>
        <w:t>17</w:t>
      </w:r>
      <w:r>
        <w:rPr/>
        <w:t xml:space="preserve"> {{field-on:bible}}So ist auch der Glaube, wenn er keine Werke </w:t>
      </w:r>
      <w:r>
        <w:rPr>
          <w:b/>
          <w:color w:val="808080"/>
        </w:rPr>
        <w:t>[</w:t>
      </w:r>
      <w:r>
        <w:rPr/>
        <w:t>zur Folge</w:t>
      </w:r>
      <w:r>
        <w:rPr>
          <w:b/>
          <w:color w:val="808080"/>
        </w:rPr>
        <w:t>]</w:t>
      </w:r>
      <w:r>
        <w:rPr/>
        <w:t xml:space="preserve"> hat, für sich allein tot.</w:t>
      </w:r>
      <w:r>
        <w:rPr>
          <w:rStyle w:val="Funotenanker"/>
        </w:rPr>
        <w:footnoteReference w:customMarkFollows="1" w:id="2315"/>
        <w:t>ak</w:t>
      </w:r>
      <w:r>
        <w:rPr/>
        <w:t xml:space="preserve"> {{field-off:bible}} </w:t>
        <w:br/>
        <w:t>[[@BibleTOBIBLE:Jas 2:18]]</w:t>
      </w:r>
      <w:r>
        <w:rPr>
          <w:b/>
        </w:rPr>
        <w:t>18</w:t>
      </w:r>
      <w:r>
        <w:rPr/>
        <w:t xml:space="preserve"> {{field-on:bible}}Aber jemand wird sagen: Du hast Glauben und ich habe Werke – zeige mir deinen Glauben ohne Werke, und ich werde dir aus meinen Werken meinen Glauben zeigen.</w:t>
      </w:r>
      <w:r>
        <w:rPr>
          <w:rStyle w:val="Funotenanker"/>
        </w:rPr>
        <w:footnoteReference w:customMarkFollows="1" w:id="2316"/>
        <w:t>al</w:t>
      </w:r>
      <w:r>
        <w:rPr/>
        <w:t xml:space="preserve"> {{field-off:bible}} </w:t>
        <w:br/>
        <w:t>[[@BibleTOBIBLE:Jas 2:19]]</w:t>
      </w:r>
      <w:r>
        <w:rPr>
          <w:b/>
        </w:rPr>
        <w:t>19</w:t>
      </w:r>
      <w:r>
        <w:rPr/>
        <w:t xml:space="preserve"> {{field-on:bible}}Du glaubst, dass es </w:t>
      </w:r>
      <w:r>
        <w:rPr>
          <w:b/>
          <w:color w:val="808080"/>
        </w:rPr>
        <w:t>[</w:t>
      </w:r>
      <w:r>
        <w:rPr/>
        <w:t>nur</w:t>
      </w:r>
      <w:r>
        <w:rPr>
          <w:b/>
          <w:color w:val="808080"/>
        </w:rPr>
        <w:t>]</w:t>
      </w:r>
      <w:r>
        <w:rPr/>
        <w:t xml:space="preserve"> einen Gott gibt</w:t>
      </w:r>
      <w:r>
        <w:rPr>
          <w:rStyle w:val="Funotenanker"/>
        </w:rPr>
        <w:footnoteReference w:customMarkFollows="1" w:id="2317"/>
        <w:t>am</w:t>
      </w:r>
      <w:r>
        <w:rPr/>
        <w:t xml:space="preserve"> – Du hast recht!</w:t>
      </w:r>
      <w:r>
        <w:rPr>
          <w:rStyle w:val="Funotenanker"/>
        </w:rPr>
        <w:footnoteReference w:customMarkFollows="1" w:id="2318"/>
        <w:t>an</w:t>
      </w:r>
      <w:r>
        <w:rPr/>
        <w:t xml:space="preserve"> Auch die Dämonen glauben </w:t>
      </w:r>
      <w:r>
        <w:rPr>
          <w:b/>
          <w:color w:val="808080"/>
        </w:rPr>
        <w:t>[</w:t>
      </w:r>
      <w:r>
        <w:rPr/>
        <w:t>das</w:t>
      </w:r>
      <w:r>
        <w:rPr>
          <w:b/>
          <w:color w:val="808080"/>
        </w:rPr>
        <w:t>]</w:t>
      </w:r>
      <w:r>
        <w:rPr/>
        <w:t xml:space="preserve"> und zittern </w:t>
      </w:r>
      <w:r>
        <w:rPr>
          <w:color w:val="808080"/>
        </w:rPr>
        <w:t>(schaudern)</w:t>
      </w:r>
      <w:r>
        <w:rPr/>
        <w:t xml:space="preserve">!{{field-off:bible}} </w:t>
        <w:br/>
        <w:t>[[@BibleTOBIBLE:Jas 2:20]]</w:t>
      </w:r>
      <w:r>
        <w:rPr>
          <w:b/>
        </w:rPr>
        <w:t>20</w:t>
      </w:r>
      <w:r>
        <w:rPr/>
        <w:t xml:space="preserve"> {{field-on:bible}}Willst du </w:t>
      </w:r>
      <w:r>
        <w:rPr>
          <w:b/>
          <w:color w:val="808080"/>
        </w:rPr>
        <w:t>[</w:t>
      </w:r>
      <w:r>
        <w:rPr/>
        <w:t>wohl</w:t>
      </w:r>
      <w:r>
        <w:rPr>
          <w:b/>
          <w:color w:val="808080"/>
        </w:rPr>
        <w:t>]</w:t>
      </w:r>
      <w:r>
        <w:rPr/>
        <w:t xml:space="preserve"> einsehen</w:t>
      </w:r>
      <w:r>
        <w:rPr>
          <w:rStyle w:val="Funotenanker"/>
        </w:rPr>
        <w:footnoteReference w:customMarkFollows="1" w:id="2319"/>
        <w:t>ao</w:t>
      </w:r>
      <w:r>
        <w:rPr/>
        <w:t xml:space="preserve">, o törichter Mensch, dass der Glaube ohne Werke nutzlos ist?{{field-off:bible}} </w:t>
        <w:br/>
        <w:t>[[@BibleTOBIBLE:Jas 2:21]]</w:t>
      </w:r>
      <w:r>
        <w:rPr>
          <w:b/>
        </w:rPr>
        <w:t>21</w:t>
      </w:r>
      <w:r>
        <w:rPr/>
        <w:t xml:space="preserve"> {{field-on:bible}}Wurde nicht Abraham, unser Vater, aufgrund </w:t>
      </w:r>
      <w:r>
        <w:rPr>
          <w:b/>
          <w:color w:val="808080"/>
        </w:rPr>
        <w:t>[</w:t>
      </w:r>
      <w:r>
        <w:rPr/>
        <w:t>seiner</w:t>
      </w:r>
      <w:r>
        <w:rPr>
          <w:b/>
          <w:color w:val="808080"/>
        </w:rPr>
        <w:t>]</w:t>
      </w:r>
      <w:r>
        <w:rPr/>
        <w:t xml:space="preserve"> Werke für gerecht erklärt </w:t>
      </w:r>
      <w:r>
        <w:rPr>
          <w:color w:val="808080"/>
        </w:rPr>
        <w:t>(freigesprochen</w:t>
      </w:r>
      <w:r>
        <w:rPr/>
        <w:t xml:space="preserve"> </w:t>
      </w:r>
      <w:r>
        <w:rPr>
          <w:rStyle w:val="Funotenanker"/>
        </w:rPr>
        <w:footnoteReference w:customMarkFollows="1" w:id="2320"/>
        <w:t>ap</w:t>
      </w:r>
      <w:r>
        <w:rPr/>
        <w:t xml:space="preserve"> </w:t>
      </w:r>
      <w:r>
        <w:rPr>
          <w:color w:val="808080"/>
        </w:rPr>
        <w:t>)</w:t>
      </w:r>
      <w:r>
        <w:rPr/>
        <w:t xml:space="preserve">, als er Isaak, seinen Sohn, auf dem Altar </w:t>
      </w:r>
      <w:r>
        <w:rPr>
          <w:b/>
          <w:color w:val="808080"/>
        </w:rPr>
        <w:t>[</w:t>
      </w:r>
      <w:r>
        <w:rPr/>
        <w:t>als Opfer</w:t>
      </w:r>
      <w:r>
        <w:rPr>
          <w:b/>
          <w:color w:val="808080"/>
        </w:rPr>
        <w:t>]</w:t>
      </w:r>
      <w:r>
        <w:rPr/>
        <w:t xml:space="preserve"> darbrachte</w:t>
      </w:r>
      <w:r>
        <w:rPr>
          <w:rStyle w:val="Funotenanker"/>
        </w:rPr>
        <w:footnoteReference w:customMarkFollows="1" w:id="2321"/>
        <w:t>aq</w:t>
      </w:r>
      <w:r>
        <w:rPr/>
        <w:t xml:space="preserve">?{{field-off:bible}} </w:t>
        <w:br/>
        <w:t>[[@BibleTOBIBLE:Jas 2:22]]</w:t>
      </w:r>
      <w:r>
        <w:rPr>
          <w:b/>
        </w:rPr>
        <w:t>22</w:t>
      </w:r>
      <w:r>
        <w:rPr/>
        <w:t xml:space="preserve"> {{field-on:bible}}Du siehst, dass der Glaube mit seinen</w:t>
      </w:r>
      <w:r>
        <w:rPr>
          <w:rStyle w:val="Funotenanker"/>
        </w:rPr>
        <w:footnoteReference w:customMarkFollows="1" w:id="2322"/>
        <w:t>ar</w:t>
      </w:r>
      <w:r>
        <w:rPr/>
        <w:t xml:space="preserve"> Werken zusammenwirkte</w:t>
      </w:r>
      <w:r>
        <w:rPr>
          <w:rStyle w:val="Funotenanker"/>
        </w:rPr>
        <w:footnoteReference w:customMarkFollows="1" w:id="2323"/>
        <w:t>as</w:t>
      </w:r>
      <w:r>
        <w:rPr/>
        <w:t xml:space="preserve"> und durch die</w:t>
      </w:r>
      <w:r>
        <w:rPr>
          <w:rStyle w:val="Funotenanker"/>
        </w:rPr>
        <w:footnoteReference w:customMarkFollows="1" w:id="2324"/>
        <w:t>at</w:t>
      </w:r>
      <w:r>
        <w:rPr/>
        <w:t xml:space="preserve"> Werke der Glaube zur Vollendung gelangte,{{field-off:bible}} </w:t>
        <w:br/>
        <w:t>[[@BibleTOBIBLE:Jas 2:23]]</w:t>
      </w:r>
      <w:r>
        <w:rPr>
          <w:b/>
        </w:rPr>
        <w:t>23</w:t>
      </w:r>
      <w:r>
        <w:rPr/>
        <w:t xml:space="preserve"> {{field-on:bible}}und die Schrift wurde erfüllt, die besagt</w:t>
      </w:r>
      <w:r>
        <w:rPr>
          <w:rStyle w:val="Funotenanker"/>
        </w:rPr>
        <w:footnoteReference w:customMarkFollows="1" w:id="2325"/>
        <w:t>au</w:t>
      </w:r>
      <w:r>
        <w:rPr/>
        <w:t xml:space="preserve">: „Abraham </w:t>
      </w:r>
      <w:r>
        <w:rPr>
          <w:strike/>
          <w:color w:val="808080"/>
        </w:rPr>
        <w:t>{aber}</w:t>
      </w:r>
      <w:r>
        <w:rPr/>
        <w:t xml:space="preserve"> glaubte Gott, und es wurde ihm als Gerechtigkeit angerechnet“</w:t>
      </w:r>
      <w:r>
        <w:rPr>
          <w:position w:val="8"/>
          <w:sz w:val="19"/>
        </w:rPr>
        <w:t>[[ ℘ &gt;&gt; BibleTOBIBLE:Ge 15:6]][[ ℘ &gt;&gt; BibleTOBIBLE:Ga 3:6]][[ ℘ &gt;&gt; BibleTOBIBLE:Ro 4:3]][[ ℘ &gt;&gt; BibleTOBIBLE:Ro 4:22]]</w:t>
      </w:r>
      <w:r>
        <w:rPr/>
        <w:t xml:space="preserve">, und er wurde „Freund Gottes“ genannt.{{field-off:bible}} </w:t>
        <w:br/>
        <w:t>[[@BibleTOBIBLE:Jas 2:24]]</w:t>
      </w:r>
      <w:r>
        <w:rPr>
          <w:b/>
        </w:rPr>
        <w:t>24</w:t>
      </w:r>
      <w:r>
        <w:rPr/>
        <w:t xml:space="preserve"> {{field-on:bible}}Ihr seht, dass </w:t>
      </w:r>
      <w:r>
        <w:rPr>
          <w:b/>
          <w:color w:val="808080"/>
        </w:rPr>
        <w:t>[</w:t>
      </w:r>
      <w:r>
        <w:rPr/>
        <w:t>der</w:t>
      </w:r>
      <w:r>
        <w:rPr>
          <w:b/>
          <w:color w:val="808080"/>
        </w:rPr>
        <w:t>]</w:t>
      </w:r>
      <w:r>
        <w:rPr/>
        <w:t xml:space="preserve"> Mensch aufgrund seiner Werke für gerecht erklärt </w:t>
      </w:r>
      <w:r>
        <w:rPr>
          <w:color w:val="808080"/>
        </w:rPr>
        <w:t>(freigesprochen</w:t>
      </w:r>
      <w:r>
        <w:rPr/>
        <w:t xml:space="preserve"> </w:t>
      </w:r>
      <w:r>
        <w:rPr>
          <w:rStyle w:val="Funotenanker"/>
        </w:rPr>
        <w:footnoteReference w:customMarkFollows="1" w:id="2326"/>
        <w:t>av</w:t>
      </w:r>
      <w:r>
        <w:rPr/>
        <w:t xml:space="preserve"> </w:t>
      </w:r>
      <w:r>
        <w:rPr>
          <w:color w:val="808080"/>
        </w:rPr>
        <w:t>)</w:t>
      </w:r>
      <w:r>
        <w:rPr/>
        <w:t xml:space="preserve"> wird und nicht aufgrund </w:t>
      </w:r>
      <w:r>
        <w:rPr>
          <w:b/>
          <w:color w:val="808080"/>
        </w:rPr>
        <w:t>[</w:t>
      </w:r>
      <w:r>
        <w:rPr/>
        <w:t>des</w:t>
      </w:r>
      <w:r>
        <w:rPr>
          <w:b/>
          <w:color w:val="808080"/>
        </w:rPr>
        <w:t>]</w:t>
      </w:r>
      <w:r>
        <w:rPr/>
        <w:t xml:space="preserve"> Glaubens allein.{{field-off:bible}} </w:t>
        <w:br/>
        <w:t>[[@BibleTOBIBLE:Jas 2:25]]</w:t>
      </w:r>
      <w:r>
        <w:rPr>
          <w:b/>
        </w:rPr>
        <w:t>25</w:t>
      </w:r>
      <w:r>
        <w:rPr/>
        <w:t xml:space="preserve"> {{field-on:bible}}Wurde </w:t>
      </w:r>
      <w:r>
        <w:rPr>
          <w:strike/>
          <w:color w:val="808080"/>
        </w:rPr>
        <w:t>{aber}</w:t>
      </w:r>
      <w:r>
        <w:rPr/>
        <w:t xml:space="preserve"> nicht genauso auch die Prostituierte Rahab aufgrund von Werken für gerecht erklärt </w:t>
      </w:r>
      <w:r>
        <w:rPr>
          <w:color w:val="808080"/>
        </w:rPr>
        <w:t>(freigesprochen</w:t>
      </w:r>
      <w:r>
        <w:rPr/>
        <w:t xml:space="preserve"> </w:t>
      </w:r>
      <w:r>
        <w:rPr>
          <w:rStyle w:val="Funotenanker"/>
        </w:rPr>
        <w:footnoteReference w:customMarkFollows="1" w:id="2327"/>
        <w:t>aw</w:t>
      </w:r>
      <w:r>
        <w:rPr/>
        <w:t xml:space="preserve"> </w:t>
      </w:r>
      <w:r>
        <w:rPr>
          <w:color w:val="808080"/>
        </w:rPr>
        <w:t>)</w:t>
      </w:r>
      <w:r>
        <w:rPr/>
        <w:t xml:space="preserve">, als sie die Boten gastlich aufnahm und </w:t>
      </w:r>
      <w:r>
        <w:rPr>
          <w:b/>
          <w:color w:val="808080"/>
        </w:rPr>
        <w:t>[</w:t>
      </w:r>
      <w:r>
        <w:rPr/>
        <w:t>auf</w:t>
      </w:r>
      <w:r>
        <w:rPr>
          <w:b/>
          <w:color w:val="808080"/>
        </w:rPr>
        <w:t>]</w:t>
      </w:r>
      <w:r>
        <w:rPr/>
        <w:t xml:space="preserve"> einem anderen Weg</w:t>
      </w:r>
      <w:r>
        <w:rPr>
          <w:rStyle w:val="Funotenanker"/>
        </w:rPr>
        <w:footnoteReference w:customMarkFollows="1" w:id="2328"/>
        <w:t>ax</w:t>
      </w:r>
      <w:r>
        <w:rPr/>
        <w:t xml:space="preserve"> hinausführte?</w:t>
      </w:r>
      <w:r>
        <w:rPr>
          <w:rStyle w:val="Funotenanker"/>
        </w:rPr>
        <w:footnoteReference w:customMarkFollows="1" w:id="2329"/>
        <w:t>ay</w:t>
      </w:r>
      <w:r>
        <w:rPr/>
        <w:t xml:space="preserve"> {{field-off:bible}} </w:t>
        <w:br/>
        <w:t>[[@BibleTOBIBLE:Jas 2:26]]</w:t>
      </w:r>
      <w:r>
        <w:rPr>
          <w:b/>
        </w:rPr>
        <w:t>26</w:t>
      </w:r>
      <w:r>
        <w:rPr/>
        <w:t xml:space="preserve"> {{field-on:bible}}Denn genau wie der Körper ohne Geist tot ist, so ist auch der Glaube ohne Werke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2330"/>
        <w:t>Status</w:t>
      </w:r>
      <w:r>
        <w:rPr/>
        <w:t xml:space="preserve"> Nicht viele </w:t>
      </w:r>
      <w:r>
        <w:rPr>
          <w:b/>
          <w:color w:val="808080"/>
        </w:rPr>
        <w:t>[</w:t>
      </w:r>
      <w:r>
        <w:rPr/>
        <w:t>von euch sollen</w:t>
      </w:r>
      <w:r>
        <w:rPr>
          <w:b/>
          <w:color w:val="808080"/>
        </w:rPr>
        <w:t>]</w:t>
      </w:r>
      <w:r>
        <w:rPr/>
        <w:t xml:space="preserve"> Lehrer werden,</w:t>
      </w:r>
      <w:r>
        <w:rPr>
          <w:rStyle w:val="Funotenanker"/>
        </w:rPr>
        <w:footnoteReference w:customMarkFollows="1" w:id="2331"/>
        <w:t>a</w:t>
      </w:r>
      <w:r>
        <w:rPr/>
        <w:t xml:space="preserve"> meine Geschwister, denn ihr wisst,</w:t>
      </w:r>
      <w:r>
        <w:rPr>
          <w:rStyle w:val="Funotenanker"/>
        </w:rPr>
        <w:footnoteReference w:customMarkFollows="1" w:id="2332"/>
        <w:t>b</w:t>
      </w:r>
      <w:r>
        <w:rPr/>
        <w:t xml:space="preserve"> dass wir </w:t>
      </w:r>
      <w:r>
        <w:rPr>
          <w:b/>
          <w:color w:val="808080"/>
        </w:rPr>
        <w:t>[</w:t>
      </w:r>
      <w:r>
        <w:rPr/>
        <w:t>Lehrer</w:t>
      </w:r>
      <w:r>
        <w:rPr>
          <w:b/>
          <w:color w:val="808080"/>
        </w:rPr>
        <w:t>]</w:t>
      </w:r>
      <w:r>
        <w:rPr/>
        <w:t xml:space="preserve"> ein strengeres Urteil empfangen werden.{{field-off:bible}} </w:t>
        <w:br/>
        <w:t>[[@BibleTOBIBLE:Jas 3:2]]</w:t>
      </w:r>
      <w:r>
        <w:rPr>
          <w:b/>
        </w:rPr>
        <w:t>2</w:t>
      </w:r>
      <w:r>
        <w:rPr/>
        <w:t xml:space="preserve"> {{field-on:bible}}Denn wir alle straucheln </w:t>
      </w:r>
      <w:r>
        <w:rPr>
          <w:color w:val="808080"/>
        </w:rPr>
        <w:t>(stoßen an)</w:t>
      </w:r>
      <w:r>
        <w:rPr/>
        <w:t xml:space="preserve"> </w:t>
      </w:r>
      <w:r>
        <w:rPr>
          <w:rStyle w:val="Funotenanker"/>
        </w:rPr>
        <w:footnoteReference w:customMarkFollows="1" w:id="2333"/>
        <w:t>c</w:t>
      </w:r>
      <w:r>
        <w:rPr/>
        <w:t xml:space="preserve"> vielfach </w:t>
      </w:r>
      <w:r>
        <w:rPr>
          <w:color w:val="808080"/>
        </w:rPr>
        <w:t>(in vieler Hinsicht)</w:t>
      </w:r>
      <w:r>
        <w:rPr/>
        <w:t>. Wenn jemand beim Reden</w:t>
      </w:r>
      <w:r>
        <w:rPr>
          <w:rStyle w:val="Funotenanker"/>
        </w:rPr>
        <w:footnoteReference w:customMarkFollows="1" w:id="2334"/>
        <w:t>d</w:t>
      </w:r>
      <w:r>
        <w:rPr/>
        <w:t xml:space="preserve"> nicht strauchelt, </w:t>
      </w:r>
      <w:r>
        <w:rPr>
          <w:b/>
          <w:color w:val="808080"/>
        </w:rPr>
        <w:t>[</w:t>
      </w:r>
      <w:r>
        <w:rPr/>
        <w:t>ist</w:t>
      </w:r>
      <w:r>
        <w:rPr>
          <w:b/>
          <w:color w:val="808080"/>
        </w:rPr>
        <w:t>]</w:t>
      </w:r>
      <w:r>
        <w:rPr/>
        <w:t xml:space="preserve"> er ein vollendeter </w:t>
      </w:r>
      <w:r>
        <w:rPr>
          <w:color w:val="808080"/>
        </w:rPr>
        <w:t>(reifer, erwachsener)</w:t>
      </w:r>
      <w:r>
        <w:rPr/>
        <w:t xml:space="preserve"> Mensch </w:t>
      </w:r>
      <w:r>
        <w:rPr>
          <w:color w:val="808080"/>
        </w:rPr>
        <w:t>(Mann)</w:t>
      </w:r>
      <w:r>
        <w:rPr/>
        <w:t xml:space="preserve"> </w:t>
      </w:r>
      <w:r>
        <w:rPr>
          <w:rStyle w:val="Funotenanker"/>
        </w:rPr>
        <w:footnoteReference w:customMarkFollows="1" w:id="2335"/>
        <w:t>e</w:t>
      </w:r>
      <w:r>
        <w:rPr/>
        <w:t xml:space="preserve">, fähig, auch den ganzen Körper zu zügeln </w:t>
      </w:r>
      <w:r>
        <w:rPr>
          <w:color w:val="808080"/>
        </w:rPr>
        <w:t>(in Zaum zu halten)</w:t>
      </w:r>
      <w:r>
        <w:rPr/>
        <w:t>.</w:t>
      </w:r>
      <w:r>
        <w:rPr>
          <w:rStyle w:val="Funotenanker"/>
        </w:rPr>
        <w:footnoteReference w:customMarkFollows="1" w:id="2336"/>
        <w:t>f</w:t>
      </w:r>
      <w:r>
        <w:rPr/>
        <w:t xml:space="preserve"> {{field-off:bible}} </w:t>
        <w:br/>
        <w:t>[[@BibleTOBIBLE:Jas 3:3]]</w:t>
      </w:r>
      <w:r>
        <w:rPr>
          <w:b/>
        </w:rPr>
        <w:t>3</w:t>
      </w:r>
      <w:r>
        <w:rPr/>
        <w:t xml:space="preserve"> {{field-on:bible}} </w:t>
      </w:r>
      <w:r>
        <w:rPr>
          <w:strike/>
          <w:color w:val="808080"/>
        </w:rPr>
        <w:t>{aber}</w:t>
      </w:r>
      <w:r>
        <w:rPr/>
        <w:t xml:space="preserve"> Wenn wir den Pferden</w:t>
      </w:r>
      <w:r>
        <w:rPr>
          <w:rStyle w:val="Funotenanker"/>
        </w:rPr>
        <w:footnoteReference w:customMarkFollows="1" w:id="2337"/>
        <w:t>g</w:t>
      </w:r>
      <w:r>
        <w:rPr/>
        <w:t xml:space="preserve"> </w:t>
      </w:r>
      <w:r>
        <w:rPr>
          <w:strike/>
          <w:color w:val="808080"/>
        </w:rPr>
        <w:t>{das}</w:t>
      </w:r>
      <w:r>
        <w:rPr/>
        <w:t xml:space="preserve"> Zaumzeug </w:t>
      </w:r>
      <w:r>
        <w:rPr>
          <w:color w:val="808080"/>
        </w:rPr>
        <w:t>(Zügel)</w:t>
      </w:r>
      <w:r>
        <w:rPr/>
        <w:t xml:space="preserve"> ins Maul</w:t>
      </w:r>
      <w:r>
        <w:rPr>
          <w:rStyle w:val="Funotenanker"/>
        </w:rPr>
        <w:footnoteReference w:customMarkFollows="1" w:id="2338"/>
        <w:t>h</w:t>
      </w:r>
      <w:r>
        <w:rPr/>
        <w:t xml:space="preserve"> legen, damit sie uns gehorchen,</w:t>
      </w:r>
      <w:r>
        <w:rPr>
          <w:rStyle w:val="Funotenanker"/>
        </w:rPr>
        <w:footnoteReference w:customMarkFollows="1" w:id="2339"/>
        <w:t>i</w:t>
      </w:r>
      <w:r>
        <w:rPr/>
        <w:t xml:space="preserve"> dann</w:t>
      </w:r>
      <w:r>
        <w:rPr>
          <w:rStyle w:val="Funotenanker"/>
        </w:rPr>
        <w:footnoteReference w:customMarkFollows="1" w:id="2340"/>
        <w:t>j</w:t>
      </w:r>
      <w:r>
        <w:rPr/>
        <w:t xml:space="preserve"> lenken wir ihren ganzen Körper.</w:t>
      </w:r>
      <w:r>
        <w:rPr>
          <w:rStyle w:val="Funotenanker"/>
        </w:rPr>
        <w:footnoteReference w:customMarkFollows="1" w:id="2341"/>
        <w:t>k</w:t>
      </w:r>
      <w:r>
        <w:rPr/>
        <w:t xml:space="preserve"> {{field-off:bible}} </w:t>
        <w:br/>
        <w:t>[[@BibleTOBIBLE:Jas 3:4]]</w:t>
      </w:r>
      <w:r>
        <w:rPr>
          <w:b/>
        </w:rPr>
        <w:t>4</w:t>
      </w:r>
      <w:r>
        <w:rPr/>
        <w:t xml:space="preserve"> {{field-on:bible}}Seht </w:t>
      </w:r>
      <w:r>
        <w:rPr>
          <w:color w:val="808080"/>
        </w:rPr>
        <w:t>(Siehe)</w:t>
      </w:r>
      <w:r>
        <w:rPr/>
        <w:t xml:space="preserve"> auch die Schiffe: Obwohl sie so groß sind und von rauen Winden getrieben werden,</w:t>
      </w:r>
      <w:r>
        <w:rPr>
          <w:rStyle w:val="Funotenanker"/>
        </w:rPr>
        <w:footnoteReference w:customMarkFollows="1" w:id="2342"/>
        <w:t>l</w:t>
      </w:r>
      <w:r>
        <w:rPr/>
        <w:t xml:space="preserve"> werden sie von einem winzigen</w:t>
      </w:r>
      <w:r>
        <w:rPr>
          <w:rStyle w:val="Funotenanker"/>
        </w:rPr>
        <w:footnoteReference w:customMarkFollows="1" w:id="2343"/>
        <w:t>m</w:t>
      </w:r>
      <w:r>
        <w:rPr/>
        <w:t xml:space="preserve"> Steuerruder gelenkt, wohin die Absicht </w:t>
      </w:r>
      <w:r>
        <w:rPr>
          <w:color w:val="808080"/>
        </w:rPr>
        <w:t>(Drang, Eifer, Trachten)</w:t>
      </w:r>
      <w:r>
        <w:rPr/>
        <w:t xml:space="preserve"> </w:t>
      </w:r>
      <w:r>
        <w:rPr>
          <w:rStyle w:val="Funotenanker"/>
        </w:rPr>
        <w:footnoteReference w:customMarkFollows="1" w:id="2344"/>
        <w:t>n</w:t>
      </w:r>
      <w:r>
        <w:rPr/>
        <w:t xml:space="preserve"> des Steuermanns wünscht.{{field-off:bible}} </w:t>
        <w:br/>
        <w:t>[[@BibleTOBIBLE:Jas 3:5]]</w:t>
      </w:r>
      <w:r>
        <w:rPr>
          <w:b/>
        </w:rPr>
        <w:t>5</w:t>
      </w:r>
      <w:r>
        <w:rPr/>
        <w:t xml:space="preserve"> {{field-on:bible}}So ist auch die Zunge ein kleines Glied und prahlt </w:t>
      </w:r>
      <w:r>
        <w:rPr>
          <w:b/>
          <w:color w:val="808080"/>
        </w:rPr>
        <w:t>[</w:t>
      </w:r>
      <w:r>
        <w:rPr/>
        <w:t>doch mit</w:t>
      </w:r>
      <w:r>
        <w:rPr>
          <w:b/>
          <w:color w:val="808080"/>
        </w:rPr>
        <w:t>]</w:t>
      </w:r>
      <w:r>
        <w:rPr/>
        <w:t xml:space="preserve"> großen </w:t>
      </w:r>
      <w:r>
        <w:rPr>
          <w:b/>
          <w:color w:val="808080"/>
        </w:rPr>
        <w:t>[</w:t>
      </w:r>
      <w:r>
        <w:rPr/>
        <w:t>Dingen</w:t>
      </w:r>
      <w:r>
        <w:rPr>
          <w:b/>
          <w:color w:val="808080"/>
        </w:rPr>
        <w:t>]</w:t>
      </w:r>
      <w:r>
        <w:rPr/>
        <w:t xml:space="preserve">. Seht </w:t>
      </w:r>
      <w:r>
        <w:rPr>
          <w:color w:val="808080"/>
        </w:rPr>
        <w:t>(Siehe)</w:t>
      </w:r>
      <w:r>
        <w:rPr/>
        <w:t xml:space="preserve">, welch kleines Feuer welch großen Wald </w:t>
      </w:r>
      <w:r>
        <w:rPr>
          <w:color w:val="808080"/>
        </w:rPr>
        <w:t>(Holz)</w:t>
      </w:r>
      <w:r>
        <w:rPr/>
        <w:t xml:space="preserve"> anzündet!{{field-off:bible}} </w:t>
        <w:br/>
        <w:t>[[@BibleTOBIBLE:Jas 3:6]]</w:t>
      </w:r>
      <w:r>
        <w:rPr>
          <w:b/>
        </w:rPr>
        <w:t>6</w:t>
      </w:r>
      <w:r>
        <w:rPr/>
        <w:t xml:space="preserve"> {{field-on:bible}}Auch die Zunge </w:t>
      </w:r>
      <w:r>
        <w:rPr>
          <w:b/>
          <w:color w:val="808080"/>
        </w:rPr>
        <w:t>[</w:t>
      </w:r>
      <w:r>
        <w:rPr/>
        <w:t>ist</w:t>
      </w:r>
      <w:r>
        <w:rPr>
          <w:b/>
          <w:color w:val="808080"/>
        </w:rPr>
        <w:t>]</w:t>
      </w:r>
      <w:r>
        <w:rPr/>
        <w:t xml:space="preserve"> ein Feuer: </w:t>
      </w:r>
      <w:r>
        <w:rPr>
          <w:b/>
          <w:color w:val="808080"/>
        </w:rPr>
        <w:t>[</w:t>
      </w:r>
      <w:r>
        <w:rPr/>
        <w:t>Als</w:t>
      </w:r>
      <w:r>
        <w:rPr>
          <w:b/>
          <w:color w:val="808080"/>
        </w:rPr>
        <w:t>]</w:t>
      </w:r>
      <w:r>
        <w:rPr/>
        <w:t xml:space="preserve"> die Welt des Unrechts</w:t>
      </w:r>
      <w:r>
        <w:rPr>
          <w:rStyle w:val="Funotenanker"/>
        </w:rPr>
        <w:footnoteReference w:customMarkFollows="1" w:id="2345"/>
        <w:t>o</w:t>
      </w:r>
      <w:r>
        <w:rPr/>
        <w:t xml:space="preserve"> steht</w:t>
      </w:r>
      <w:r>
        <w:rPr>
          <w:rStyle w:val="Funotenanker"/>
        </w:rPr>
        <w:footnoteReference w:customMarkFollows="1" w:id="2346"/>
        <w:t>p</w:t>
      </w:r>
      <w:r>
        <w:rPr/>
        <w:t xml:space="preserve"> die Zunge unter unseren Gliedern da;</w:t>
      </w:r>
      <w:r>
        <w:rPr>
          <w:rStyle w:val="Funotenanker"/>
        </w:rPr>
        <w:footnoteReference w:customMarkFollows="1" w:id="2347"/>
        <w:t>q</w:t>
      </w:r>
      <w:r>
        <w:rPr/>
        <w:t xml:space="preserve"> sie, die den ganzen Körper beschmutzt und das Rad</w:t>
      </w:r>
      <w:r>
        <w:rPr>
          <w:rStyle w:val="Funotenanker"/>
        </w:rPr>
        <w:footnoteReference w:customMarkFollows="1" w:id="2348"/>
        <w:t>r</w:t>
      </w:r>
      <w:r>
        <w:rPr/>
        <w:t xml:space="preserve"> des Werdens</w:t>
      </w:r>
      <w:r>
        <w:rPr>
          <w:rStyle w:val="Funotenanker"/>
        </w:rPr>
        <w:footnoteReference w:customMarkFollows="1" w:id="2349"/>
        <w:t>s</w:t>
      </w:r>
      <w:r>
        <w:rPr/>
        <w:t xml:space="preserve"> in Brand setzt,</w:t>
      </w:r>
      <w:r>
        <w:rPr>
          <w:rStyle w:val="Funotenanker"/>
        </w:rPr>
        <w:footnoteReference w:customMarkFollows="1" w:id="2350"/>
        <w:t>t</w:t>
      </w:r>
      <w:r>
        <w:rPr/>
        <w:t xml:space="preserve"> wird </w:t>
      </w:r>
      <w:r>
        <w:rPr>
          <w:b/>
          <w:color w:val="808080"/>
        </w:rPr>
        <w:t>[</w:t>
      </w:r>
      <w:r>
        <w:rPr/>
        <w:t>selbst</w:t>
      </w:r>
      <w:r>
        <w:rPr>
          <w:b/>
          <w:color w:val="808080"/>
        </w:rPr>
        <w:t>]</w:t>
      </w:r>
      <w:r>
        <w:rPr/>
        <w:t xml:space="preserve"> von der Hölle</w:t>
      </w:r>
      <w:r>
        <w:rPr>
          <w:rStyle w:val="Funotenanker"/>
        </w:rPr>
        <w:footnoteReference w:customMarkFollows="1" w:id="2351"/>
        <w:t>u</w:t>
      </w:r>
      <w:r>
        <w:rPr/>
        <w:t xml:space="preserve"> in Brand gesetzt.</w:t>
      </w:r>
      <w:r>
        <w:rPr>
          <w:rStyle w:val="Funotenanker"/>
        </w:rPr>
        <w:footnoteReference w:customMarkFollows="1" w:id="2352"/>
        <w:t>v</w:t>
      </w:r>
      <w:r>
        <w:rPr/>
        <w:t xml:space="preserve"> {{field-off:bible}} </w:t>
        <w:br/>
        <w:t>[[@BibleTOBIBLE:Jas 3:7]]</w:t>
      </w:r>
      <w:r>
        <w:rPr>
          <w:b/>
        </w:rPr>
        <w:t>7</w:t>
      </w:r>
      <w:r>
        <w:rPr/>
        <w:t xml:space="preserve"> {{field-on:bible}}Jede</w:t>
      </w:r>
      <w:r>
        <w:rPr>
          <w:rStyle w:val="Funotenanker"/>
        </w:rPr>
        <w:footnoteReference w:customMarkFollows="1" w:id="2353"/>
        <w:t>w</w:t>
      </w:r>
      <w:r>
        <w:rPr/>
        <w:t xml:space="preserve"> Art </w:t>
      </w:r>
      <w:r>
        <w:rPr>
          <w:b/>
          <w:color w:val="808080"/>
        </w:rPr>
        <w:t>[</w:t>
      </w:r>
      <w:r>
        <w:rPr/>
        <w:t>der</w:t>
      </w:r>
      <w:r>
        <w:rPr>
          <w:b/>
          <w:color w:val="808080"/>
        </w:rPr>
        <w:t>]</w:t>
      </w:r>
      <w:r>
        <w:rPr/>
        <w:t xml:space="preserve"> Säugetiere</w:t>
      </w:r>
      <w:r>
        <w:rPr>
          <w:rStyle w:val="Funotenanker"/>
        </w:rPr>
        <w:footnoteReference w:customMarkFollows="1" w:id="2354"/>
        <w:t>x</w:t>
      </w:r>
      <w:r>
        <w:rPr/>
        <w:t xml:space="preserve"> wie auch </w:t>
      </w:r>
      <w:r>
        <w:rPr>
          <w:b/>
          <w:color w:val="808080"/>
        </w:rPr>
        <w:t>[</w:t>
      </w:r>
      <w:r>
        <w:rPr/>
        <w:t>der</w:t>
      </w:r>
      <w:r>
        <w:rPr>
          <w:b/>
          <w:color w:val="808080"/>
        </w:rPr>
        <w:t>]</w:t>
      </w:r>
      <w:r>
        <w:rPr/>
        <w:t xml:space="preserve"> Vögel, </w:t>
      </w:r>
      <w:r>
        <w:rPr>
          <w:b/>
          <w:color w:val="808080"/>
        </w:rPr>
        <w:t>[</w:t>
      </w:r>
      <w:r>
        <w:rPr/>
        <w:t>der</w:t>
      </w:r>
      <w:r>
        <w:rPr>
          <w:b/>
          <w:color w:val="808080"/>
        </w:rPr>
        <w:t>]</w:t>
      </w:r>
      <w:r>
        <w:rPr/>
        <w:t xml:space="preserve"> Kriechtiere wie auch </w:t>
      </w:r>
      <w:r>
        <w:rPr>
          <w:b/>
          <w:color w:val="808080"/>
        </w:rPr>
        <w:t>[</w:t>
      </w:r>
      <w:r>
        <w:rPr/>
        <w:t>der</w:t>
      </w:r>
      <w:r>
        <w:rPr>
          <w:b/>
          <w:color w:val="808080"/>
        </w:rPr>
        <w:t>]</w:t>
      </w:r>
      <w:r>
        <w:rPr/>
        <w:t xml:space="preserve"> Meerestiere wird gezähmt und ist </w:t>
      </w:r>
      <w:r>
        <w:rPr>
          <w:b/>
          <w:color w:val="808080"/>
        </w:rPr>
        <w:t>[</w:t>
      </w:r>
      <w:r>
        <w:rPr/>
        <w:t>durch</w:t>
      </w:r>
      <w:r>
        <w:rPr>
          <w:b/>
          <w:color w:val="808080"/>
        </w:rPr>
        <w:t>]</w:t>
      </w:r>
      <w:r>
        <w:rPr/>
        <w:t xml:space="preserve"> die menschliche Art </w:t>
      </w:r>
      <w:r>
        <w:rPr>
          <w:color w:val="808080"/>
        </w:rPr>
        <w:t>(Natur)</w:t>
      </w:r>
      <w:r>
        <w:rPr/>
        <w:t xml:space="preserve"> </w:t>
      </w:r>
      <w:r>
        <w:rPr>
          <w:rStyle w:val="Funotenanker"/>
        </w:rPr>
        <w:footnoteReference w:customMarkFollows="1" w:id="2355"/>
        <w:t>y</w:t>
      </w:r>
      <w:r>
        <w:rPr/>
        <w:t xml:space="preserve"> gezähmt worden</w:t>
      </w:r>
      <w:r>
        <w:rPr>
          <w:rStyle w:val="Funotenanker"/>
        </w:rPr>
        <w:footnoteReference w:customMarkFollows="1" w:id="2356"/>
        <w:t>z</w:t>
      </w:r>
      <w:r>
        <w:rPr/>
        <w:t xml:space="preserve">,{{field-off:bible}} </w:t>
        <w:br/>
        <w:t>[[@BibleTOBIBLE:Jas 3:8]]</w:t>
      </w:r>
      <w:r>
        <w:rPr>
          <w:b/>
        </w:rPr>
        <w:t>8</w:t>
      </w:r>
      <w:r>
        <w:rPr/>
        <w:t xml:space="preserve"> {{field-on:bible}}aber die Zunge vermag kein Mensch</w:t>
      </w:r>
      <w:r>
        <w:rPr>
          <w:rStyle w:val="Funotenanker"/>
        </w:rPr>
        <w:footnoteReference w:customMarkFollows="1" w:id="2357"/>
        <w:t>aa</w:t>
      </w:r>
      <w:r>
        <w:rPr/>
        <w:t xml:space="preserve"> zu bändigen, </w:t>
      </w:r>
      <w:r>
        <w:rPr>
          <w:b/>
          <w:color w:val="808080"/>
        </w:rPr>
        <w:t>[</w:t>
      </w:r>
      <w:r>
        <w:rPr/>
        <w:t>das</w:t>
      </w:r>
      <w:r>
        <w:rPr>
          <w:b/>
          <w:color w:val="808080"/>
        </w:rPr>
        <w:t>]</w:t>
      </w:r>
      <w:r>
        <w:rPr/>
        <w:t xml:space="preserve"> </w:t>
      </w:r>
      <w:r>
        <w:rPr>
          <w:rStyle w:val="Funotenanker"/>
        </w:rPr>
        <w:footnoteReference w:customMarkFollows="1" w:id="2358"/>
        <w:t>ab</w:t>
      </w:r>
      <w:r>
        <w:rPr/>
        <w:t xml:space="preserve"> ruhelose </w:t>
      </w:r>
      <w:r>
        <w:rPr>
          <w:color w:val="808080"/>
        </w:rPr>
        <w:t>(unruhige</w:t>
      </w:r>
      <w:r>
        <w:rPr/>
        <w:t xml:space="preserve"> </w:t>
      </w:r>
      <w:r>
        <w:rPr>
          <w:rStyle w:val="Funotenanker"/>
        </w:rPr>
        <w:footnoteReference w:customMarkFollows="1" w:id="2359"/>
        <w:t>ac</w:t>
      </w:r>
      <w:r>
        <w:rPr/>
        <w:t xml:space="preserve"> </w:t>
      </w:r>
      <w:r>
        <w:rPr>
          <w:color w:val="808080"/>
        </w:rPr>
        <w:t>, unkontrollierte</w:t>
      </w:r>
      <w:r>
        <w:rPr/>
        <w:t xml:space="preserve"> </w:t>
      </w:r>
      <w:r>
        <w:rPr>
          <w:rStyle w:val="Funotenanker"/>
        </w:rPr>
        <w:footnoteReference w:customMarkFollows="1" w:id="2360"/>
        <w:t>ad</w:t>
      </w:r>
      <w:r>
        <w:rPr/>
        <w:t xml:space="preserve"> </w:t>
      </w:r>
      <w:r>
        <w:rPr>
          <w:color w:val="808080"/>
        </w:rPr>
        <w:t>, wankelmütige</w:t>
      </w:r>
      <w:r>
        <w:rPr/>
        <w:t xml:space="preserve"> </w:t>
      </w:r>
      <w:r>
        <w:rPr>
          <w:rStyle w:val="Funotenanker"/>
        </w:rPr>
        <w:footnoteReference w:customMarkFollows="1" w:id="2361"/>
        <w:t>ae</w:t>
      </w:r>
      <w:r>
        <w:rPr/>
        <w:t xml:space="preserve"> </w:t>
      </w:r>
      <w:r>
        <w:rPr>
          <w:color w:val="808080"/>
        </w:rPr>
        <w:t>)</w:t>
      </w:r>
      <w:r>
        <w:rPr/>
        <w:t xml:space="preserve"> Übel, voller tödlichen </w:t>
      </w:r>
      <w:r>
        <w:rPr>
          <w:color w:val="808080"/>
        </w:rPr>
        <w:t>(todbringenden)</w:t>
      </w:r>
      <w:r>
        <w:rPr/>
        <w:t xml:space="preserve"> Gifts.{{field-off:bible}} </w:t>
        <w:br/>
        <w:t>[[@BibleTOBIBLE:Jas 3:9]]</w:t>
      </w:r>
      <w:r>
        <w:rPr>
          <w:b/>
        </w:rPr>
        <w:t>9</w:t>
      </w:r>
      <w:r>
        <w:rPr/>
        <w:t xml:space="preserve"> {{field-on:bible}}Mit ihr</w:t>
      </w:r>
      <w:r>
        <w:rPr>
          <w:rStyle w:val="Funotenanker"/>
        </w:rPr>
        <w:footnoteReference w:customMarkFollows="1" w:id="2362"/>
        <w:t>af</w:t>
      </w:r>
      <w:r>
        <w:rPr/>
        <w:t xml:space="preserve"> loben </w:t>
      </w:r>
      <w:r>
        <w:rPr>
          <w:color w:val="808080"/>
        </w:rPr>
        <w:t>(reden wir gut von)</w:t>
      </w:r>
      <w:r>
        <w:rPr/>
        <w:t xml:space="preserve"> wir den Herrn und Vater, und mit ihr verfluchen die Menschen, die nach der Ähnlichkeit </w:t>
      </w:r>
      <w:r>
        <w:rPr>
          <w:color w:val="808080"/>
        </w:rPr>
        <w:t>(Gleichheit, Übereinstimmung. Klassisch: Bild, Ebenbild)</w:t>
      </w:r>
      <w:r>
        <w:rPr/>
        <w:t xml:space="preserve"> Gottes erschaffen sind</w:t>
      </w:r>
      <w:r>
        <w:rPr>
          <w:rStyle w:val="Funotenanker"/>
        </w:rPr>
        <w:footnoteReference w:customMarkFollows="1" w:id="2363"/>
        <w:t>ag</w:t>
      </w:r>
      <w:r>
        <w:rPr/>
        <w:t>:</w:t>
      </w:r>
      <w:r>
        <w:rPr>
          <w:rStyle w:val="Funotenanker"/>
        </w:rPr>
        <w:footnoteReference w:customMarkFollows="1" w:id="2364"/>
        <w:t>ah</w:t>
      </w:r>
      <w:r>
        <w:rPr/>
        <w:t xml:space="preserve"> {{field-off:bible}} </w:t>
        <w:br/>
        <w:t>[[@BibleTOBIBLE:Jas 3:10]]</w:t>
      </w:r>
      <w:r>
        <w:rPr>
          <w:b/>
        </w:rPr>
        <w:t>10</w:t>
      </w:r>
      <w:r>
        <w:rPr/>
        <w:t xml:space="preserve"> {{field-on:bible}}aus demselben Mund kommt Segen und Fluch. Es darf nicht sein, meine Geschwister, </w:t>
      </w:r>
      <w:r>
        <w:rPr>
          <w:b/>
          <w:color w:val="808080"/>
        </w:rPr>
        <w:t>[</w:t>
      </w:r>
      <w:r>
        <w:rPr/>
        <w:t>dass</w:t>
      </w:r>
      <w:r>
        <w:rPr>
          <w:b/>
          <w:color w:val="808080"/>
        </w:rPr>
        <w:t>]</w:t>
      </w:r>
      <w:r>
        <w:rPr/>
        <w:t xml:space="preserve"> </w:t>
      </w:r>
      <w:r>
        <w:rPr>
          <w:rStyle w:val="Funotenanker"/>
        </w:rPr>
        <w:footnoteReference w:customMarkFollows="1" w:id="2365"/>
        <w:t>ai</w:t>
      </w:r>
      <w:r>
        <w:rPr/>
        <w:t xml:space="preserve"> dies so geschieht!{{field-off:bible}} </w:t>
        <w:br/>
        <w:t>[[@BibleTOBIBLE:Jas 3:11]]</w:t>
      </w:r>
      <w:r>
        <w:rPr>
          <w:b/>
        </w:rPr>
        <w:t>11</w:t>
      </w:r>
      <w:r>
        <w:rPr/>
        <w:t xml:space="preserve"> {{field-on:bible}}Lässt etwa die Quelle aus derselben Öffnung süßes und bitteres </w:t>
      </w:r>
      <w:r>
        <w:rPr>
          <w:b/>
          <w:color w:val="808080"/>
        </w:rPr>
        <w:t>[</w:t>
      </w:r>
      <w:r>
        <w:rPr/>
        <w:t>Wasser</w:t>
      </w:r>
      <w:r>
        <w:rPr>
          <w:b/>
          <w:color w:val="808080"/>
        </w:rPr>
        <w:t>]</w:t>
      </w:r>
      <w:r>
        <w:rPr/>
        <w:t xml:space="preserve"> </w:t>
      </w:r>
      <w:r>
        <w:rPr>
          <w:rStyle w:val="Funotenanker"/>
        </w:rPr>
        <w:footnoteReference w:customMarkFollows="1" w:id="2366"/>
        <w:t>aj</w:t>
      </w:r>
      <w:r>
        <w:rPr/>
        <w:t xml:space="preserve"> quellen?{{field-off:bible}} </w:t>
        <w:br/>
        <w:t>[[@BibleTOBIBLE:Jas 3:12]]</w:t>
      </w:r>
      <w:r>
        <w:rPr>
          <w:b/>
        </w:rPr>
        <w:t>12</w:t>
      </w:r>
      <w:r>
        <w:rPr/>
        <w:t xml:space="preserve"> {{field-on:bible}}Meine Geschwister, kann etwa ein Feigenbaum Oliven hervorbringen, oder ein Weinstock Feigen? Auch eine salzige </w:t>
      </w:r>
      <w:r>
        <w:rPr>
          <w:b/>
          <w:color w:val="808080"/>
        </w:rPr>
        <w:t>[</w:t>
      </w:r>
      <w:r>
        <w:rPr/>
        <w:t>Quelle</w:t>
      </w:r>
      <w:r>
        <w:rPr>
          <w:b/>
          <w:color w:val="808080"/>
        </w:rPr>
        <w:t>]</w:t>
      </w:r>
      <w:r>
        <w:rPr/>
        <w:t xml:space="preserve"> </w:t>
      </w:r>
      <w:r>
        <w:rPr>
          <w:rStyle w:val="Funotenanker"/>
        </w:rPr>
        <w:footnoteReference w:customMarkFollows="1" w:id="2367"/>
        <w:t>ak</w:t>
      </w:r>
      <w:r>
        <w:rPr/>
        <w:t xml:space="preserve"> </w:t>
      </w:r>
      <w:r>
        <w:rPr>
          <w:b/>
          <w:color w:val="808080"/>
        </w:rPr>
        <w:t>[</w:t>
      </w:r>
      <w:r>
        <w:rPr/>
        <w:t>kann</w:t>
      </w:r>
      <w:r>
        <w:rPr>
          <w:b/>
          <w:color w:val="808080"/>
        </w:rPr>
        <w:t>]</w:t>
      </w:r>
      <w:r>
        <w:rPr/>
        <w:t xml:space="preserve"> kein Süßwasser</w:t>
      </w:r>
      <w:r>
        <w:rPr>
          <w:rStyle w:val="Funotenanker"/>
        </w:rPr>
        <w:footnoteReference w:customMarkFollows="1" w:id="2368"/>
        <w:t>al</w:t>
      </w:r>
      <w:r>
        <w:rPr/>
        <w:t xml:space="preserve"> hervorbringen.{{field-off:bible}} </w:t>
        <w:br/>
        <w:t>[[@BibleTOBIBLE:Jas 3:13]]</w:t>
      </w:r>
      <w:r>
        <w:rPr>
          <w:b/>
        </w:rPr>
        <w:t>13</w:t>
      </w:r>
      <w:r>
        <w:rPr/>
        <w:t xml:space="preserve"> {{field-on:bible}}Wer </w:t>
      </w:r>
      <w:r>
        <w:rPr>
          <w:b/>
          <w:color w:val="808080"/>
        </w:rPr>
        <w:t>[</w:t>
      </w:r>
      <w:r>
        <w:rPr/>
        <w:t>ist</w:t>
      </w:r>
      <w:r>
        <w:rPr>
          <w:b/>
          <w:color w:val="808080"/>
        </w:rPr>
        <w:t>]</w:t>
      </w:r>
      <w:r>
        <w:rPr/>
        <w:t xml:space="preserve"> weise und kundig </w:t>
      </w:r>
      <w:r>
        <w:rPr>
          <w:color w:val="808080"/>
        </w:rPr>
        <w:t>(verständig, gebildet)</w:t>
      </w:r>
      <w:r>
        <w:rPr/>
        <w:t xml:space="preserve"> </w:t>
      </w:r>
      <w:r>
        <w:rPr>
          <w:rStyle w:val="Funotenanker"/>
        </w:rPr>
        <w:footnoteReference w:customMarkFollows="1" w:id="2369"/>
        <w:t>am</w:t>
      </w:r>
      <w:r>
        <w:rPr/>
        <w:t xml:space="preserve"> unter euch? Er soll durch</w:t>
      </w:r>
      <w:r>
        <w:rPr>
          <w:rStyle w:val="Funotenanker"/>
        </w:rPr>
        <w:footnoteReference w:customMarkFollows="1" w:id="2370"/>
        <w:t>an</w:t>
      </w:r>
      <w:r>
        <w:rPr/>
        <w:t xml:space="preserve"> </w:t>
      </w:r>
      <w:r>
        <w:rPr>
          <w:strike/>
          <w:color w:val="808080"/>
        </w:rPr>
        <w:t>{die}</w:t>
      </w:r>
      <w:r>
        <w:rPr/>
        <w:t xml:space="preserve"> gute Lebensführung seine Werke in </w:t>
      </w:r>
      <w:r>
        <w:rPr>
          <w:color w:val="808080"/>
        </w:rPr>
        <w:t>(durch)</w:t>
      </w:r>
      <w:r>
        <w:rPr/>
        <w:t xml:space="preserve"> Bescheidenheit </w:t>
      </w:r>
      <w:r>
        <w:rPr>
          <w:color w:val="808080"/>
        </w:rPr>
        <w:t>(Demut, Sanftmut)</w:t>
      </w:r>
      <w:r>
        <w:rPr/>
        <w:t xml:space="preserve"> </w:t>
      </w:r>
      <w:r>
        <w:rPr>
          <w:rStyle w:val="Funotenanker"/>
        </w:rPr>
        <w:footnoteReference w:customMarkFollows="1" w:id="2371"/>
        <w:t>ao</w:t>
      </w:r>
      <w:r>
        <w:rPr/>
        <w:t xml:space="preserve"> </w:t>
      </w:r>
      <w:r>
        <w:rPr>
          <w:b/>
          <w:color w:val="808080"/>
        </w:rPr>
        <w:t>[</w:t>
      </w:r>
      <w:r>
        <w:rPr/>
        <w:t>aus</w:t>
      </w:r>
      <w:r>
        <w:rPr>
          <w:b/>
          <w:color w:val="808080"/>
        </w:rPr>
        <w:t>]</w:t>
      </w:r>
      <w:r>
        <w:rPr/>
        <w:t xml:space="preserve"> Weisheit</w:t>
      </w:r>
      <w:r>
        <w:rPr>
          <w:rStyle w:val="Funotenanker"/>
        </w:rPr>
        <w:footnoteReference w:customMarkFollows="1" w:id="2372"/>
        <w:t>ap</w:t>
      </w:r>
      <w:r>
        <w:rPr/>
        <w:t xml:space="preserve"> erweisen </w:t>
      </w:r>
      <w:r>
        <w:rPr>
          <w:color w:val="808080"/>
        </w:rPr>
        <w:t>(muss erweisen</w:t>
      </w:r>
      <w:r>
        <w:rPr/>
        <w:t xml:space="preserve"> </w:t>
      </w:r>
      <w:r>
        <w:rPr>
          <w:rStyle w:val="Funotenanker"/>
        </w:rPr>
        <w:footnoteReference w:customMarkFollows="1" w:id="2373"/>
        <w:t>aq</w:t>
      </w:r>
      <w:r>
        <w:rPr/>
        <w:t xml:space="preserve"> </w:t>
      </w:r>
      <w:r>
        <w:rPr>
          <w:color w:val="808080"/>
        </w:rPr>
        <w:t>)</w:t>
      </w:r>
      <w:r>
        <w:rPr/>
        <w:t xml:space="preserve"> </w:t>
      </w:r>
      <w:r>
        <w:rPr>
          <w:rStyle w:val="Funotenanker"/>
        </w:rPr>
        <w:footnoteReference w:customMarkFollows="1" w:id="2374"/>
        <w:t>ar</w:t>
      </w:r>
      <w:r>
        <w:rPr/>
        <w:t xml:space="preserve">!{{field-off:bible}} </w:t>
        <w:br/>
        <w:t>[[@BibleTOBIBLE:Jas 3:14]]</w:t>
      </w:r>
      <w:r>
        <w:rPr>
          <w:b/>
        </w:rPr>
        <w:t>14</w:t>
      </w:r>
      <w:r>
        <w:rPr/>
        <w:t xml:space="preserve"> {{field-on:bible}}Aber wenn ihr bittere Eifersucht und Selbstsucht in eurem Herzen habt, rühmt euch nicht</w:t>
      </w:r>
      <w:r>
        <w:rPr>
          <w:rStyle w:val="Funotenanker"/>
        </w:rPr>
        <w:footnoteReference w:customMarkFollows="1" w:id="2375"/>
        <w:t>as</w:t>
      </w:r>
      <w:r>
        <w:rPr/>
        <w:t xml:space="preserve"> und lügt </w:t>
      </w:r>
      <w:r>
        <w:rPr>
          <w:b/>
          <w:color w:val="808080"/>
        </w:rPr>
        <w:t>[</w:t>
      </w:r>
      <w:r>
        <w:rPr/>
        <w:t>nicht</w:t>
      </w:r>
      <w:r>
        <w:rPr>
          <w:b/>
          <w:color w:val="808080"/>
        </w:rPr>
        <w:t>]</w:t>
      </w:r>
      <w:r>
        <w:rPr/>
        <w:t xml:space="preserve"> wider die Wahrheit!</w:t>
      </w:r>
      <w:r>
        <w:rPr>
          <w:rStyle w:val="Funotenanker"/>
        </w:rPr>
        <w:footnoteReference w:customMarkFollows="1" w:id="2376"/>
        <w:t>at</w:t>
      </w:r>
      <w:r>
        <w:rPr/>
        <w:t xml:space="preserve"> {{field-off:bible}} </w:t>
        <w:br/>
        <w:t>[[@BibleTOBIBLE:Jas 3:15]]</w:t>
      </w:r>
      <w:r>
        <w:rPr>
          <w:b/>
        </w:rPr>
        <w:t>15</w:t>
      </w:r>
      <w:r>
        <w:rPr/>
        <w:t xml:space="preserve"> {{field-on:bible}}Dies ist nicht die Weisheit, die von oben herabkommt</w:t>
      </w:r>
      <w:r>
        <w:rPr>
          <w:rStyle w:val="Funotenanker"/>
        </w:rPr>
        <w:footnoteReference w:customMarkFollows="1" w:id="2377"/>
        <w:t>au</w:t>
      </w:r>
      <w:r>
        <w:rPr/>
        <w:t xml:space="preserve">, sondern </w:t>
      </w:r>
      <w:r>
        <w:rPr>
          <w:b/>
          <w:color w:val="808080"/>
        </w:rPr>
        <w:t>[</w:t>
      </w:r>
      <w:r>
        <w:rPr/>
        <w:t>ist</w:t>
      </w:r>
      <w:r>
        <w:rPr>
          <w:b/>
          <w:color w:val="808080"/>
        </w:rPr>
        <w:t>]</w:t>
      </w:r>
      <w:r>
        <w:rPr/>
        <w:t xml:space="preserve"> irdisch, weltlich, natürlich</w:t>
      </w:r>
      <w:r>
        <w:rPr>
          <w:rStyle w:val="Funotenanker"/>
        </w:rPr>
        <w:footnoteReference w:customMarkFollows="1" w:id="2378"/>
        <w:t>av</w:t>
      </w:r>
      <w:r>
        <w:rPr/>
        <w:t xml:space="preserve"> </w:t>
      </w:r>
      <w:r>
        <w:rPr>
          <w:b/>
          <w:color w:val="808080"/>
        </w:rPr>
        <w:t>[</w:t>
      </w:r>
      <w:r>
        <w:rPr/>
        <w:t>und</w:t>
      </w:r>
      <w:r>
        <w:rPr>
          <w:b/>
          <w:color w:val="808080"/>
        </w:rPr>
        <w:t>]</w:t>
      </w:r>
      <w:r>
        <w:rPr/>
        <w:t xml:space="preserve"> dämonisch.{{field-off:bible}} </w:t>
        <w:br/>
        <w:t>[[@BibleTOBIBLE:Jas 3:16]]</w:t>
      </w:r>
      <w:r>
        <w:rPr>
          <w:b/>
        </w:rPr>
        <w:t>16</w:t>
      </w:r>
      <w:r>
        <w:rPr/>
        <w:t xml:space="preserve"> {{field-on:bible}}Denn wo </w:t>
      </w:r>
      <w:r>
        <w:rPr>
          <w:b/>
          <w:color w:val="808080"/>
        </w:rPr>
        <w:t>[</w:t>
      </w:r>
      <w:r>
        <w:rPr/>
        <w:t>immer es</w:t>
      </w:r>
      <w:r>
        <w:rPr>
          <w:b/>
          <w:color w:val="808080"/>
        </w:rPr>
        <w:t>]</w:t>
      </w:r>
      <w:r>
        <w:rPr/>
        <w:t xml:space="preserve"> Eifersucht und Selbstsucht </w:t>
      </w:r>
      <w:r>
        <w:rPr>
          <w:b/>
          <w:color w:val="808080"/>
        </w:rPr>
        <w:t>[</w:t>
      </w:r>
      <w:r>
        <w:rPr/>
        <w:t>gibt</w:t>
      </w:r>
      <w:r>
        <w:rPr>
          <w:b/>
          <w:color w:val="808080"/>
        </w:rPr>
        <w:t>]</w:t>
      </w:r>
      <w:r>
        <w:rPr/>
        <w:t xml:space="preserve">, dort </w:t>
      </w:r>
      <w:r>
        <w:rPr>
          <w:b/>
          <w:color w:val="808080"/>
        </w:rPr>
        <w:t>[</w:t>
      </w:r>
      <w:r>
        <w:rPr/>
        <w:t>gibt es</w:t>
      </w:r>
      <w:r>
        <w:rPr>
          <w:b/>
          <w:color w:val="808080"/>
        </w:rPr>
        <w:t>]</w:t>
      </w:r>
      <w:r>
        <w:rPr/>
        <w:t xml:space="preserve"> Unordnung </w:t>
      </w:r>
      <w:r>
        <w:rPr>
          <w:color w:val="808080"/>
        </w:rPr>
        <w:t>(Unruhe)</w:t>
      </w:r>
      <w:r>
        <w:rPr/>
        <w:t xml:space="preserve"> und jede </w:t>
      </w:r>
      <w:r>
        <w:rPr>
          <w:b/>
          <w:color w:val="808080"/>
        </w:rPr>
        <w:t>[</w:t>
      </w:r>
      <w:r>
        <w:rPr/>
        <w:t>Art von</w:t>
      </w:r>
      <w:r>
        <w:rPr>
          <w:b/>
          <w:color w:val="808080"/>
        </w:rPr>
        <w:t>]</w:t>
      </w:r>
      <w:r>
        <w:rPr/>
        <w:t xml:space="preserve"> </w:t>
      </w:r>
      <w:r>
        <w:rPr>
          <w:rStyle w:val="Funotenanker"/>
        </w:rPr>
        <w:footnoteReference w:customMarkFollows="1" w:id="2379"/>
        <w:t>aw</w:t>
      </w:r>
      <w:r>
        <w:rPr/>
        <w:t xml:space="preserve"> gemeinem </w:t>
      </w:r>
      <w:r>
        <w:rPr>
          <w:color w:val="808080"/>
        </w:rPr>
        <w:t>(niederem, schlimmem)</w:t>
      </w:r>
      <w:r>
        <w:rPr/>
        <w:t xml:space="preserve"> </w:t>
      </w:r>
      <w:r>
        <w:rPr>
          <w:rStyle w:val="Funotenanker"/>
        </w:rPr>
        <w:footnoteReference w:customMarkFollows="1" w:id="2380"/>
        <w:t>ax</w:t>
      </w:r>
      <w:r>
        <w:rPr/>
        <w:t xml:space="preserve"> Tun </w:t>
      </w:r>
      <w:r>
        <w:rPr>
          <w:color w:val="808080"/>
        </w:rPr>
        <w:t>(Sache, Tat; Rechtsstreit</w:t>
      </w:r>
      <w:r>
        <w:rPr/>
        <w:t xml:space="preserve"> </w:t>
      </w:r>
      <w:r>
        <w:rPr>
          <w:rStyle w:val="Funotenanker"/>
        </w:rPr>
        <w:footnoteReference w:customMarkFollows="1" w:id="2381"/>
        <w:t>ay</w:t>
      </w:r>
      <w:r>
        <w:rPr/>
        <w:t xml:space="preserve"> </w:t>
      </w:r>
      <w:r>
        <w:rPr>
          <w:color w:val="808080"/>
        </w:rPr>
        <w:t>)</w:t>
      </w:r>
      <w:r>
        <w:rPr/>
        <w:t xml:space="preserve">.{{field-off:bible}} </w:t>
        <w:br/>
        <w:t>[[@BibleTOBIBLE:Jas 3:17]]</w:t>
      </w:r>
      <w:r>
        <w:rPr>
          <w:b/>
        </w:rPr>
        <w:t>17</w:t>
      </w:r>
      <w:r>
        <w:rPr/>
        <w:t xml:space="preserve"> {{field-on:bible}}Doch die Weisheit, </w:t>
      </w:r>
      <w:r>
        <w:rPr>
          <w:b/>
          <w:color w:val="808080"/>
        </w:rPr>
        <w:t>[</w:t>
      </w:r>
      <w:r>
        <w:rPr/>
        <w:t>die</w:t>
      </w:r>
      <w:r>
        <w:rPr>
          <w:b/>
          <w:color w:val="808080"/>
        </w:rPr>
        <w:t>]</w:t>
      </w:r>
      <w:r>
        <w:rPr/>
        <w:t xml:space="preserve"> von oben </w:t>
      </w:r>
      <w:r>
        <w:rPr>
          <w:b/>
          <w:color w:val="808080"/>
        </w:rPr>
        <w:t>[</w:t>
      </w:r>
      <w:r>
        <w:rPr/>
        <w:t>kommt</w:t>
      </w:r>
      <w:r>
        <w:rPr>
          <w:b/>
          <w:color w:val="808080"/>
        </w:rPr>
        <w:t>]</w:t>
      </w:r>
      <w:r>
        <w:rPr/>
        <w:t xml:space="preserve">, ist </w:t>
      </w:r>
      <w:r>
        <w:rPr>
          <w:strike/>
          <w:color w:val="808080"/>
        </w:rPr>
        <w:t>{zwar}</w:t>
      </w:r>
      <w:r>
        <w:rPr/>
        <w:t xml:space="preserve"> zuerst rein, dann friedfertig, gütig </w:t>
      </w:r>
      <w:r>
        <w:rPr>
          <w:color w:val="808080"/>
        </w:rPr>
        <w:t>(nachgiebig, milde)</w:t>
      </w:r>
      <w:r>
        <w:rPr/>
        <w:t xml:space="preserve">, folgsam </w:t>
      </w:r>
      <w:r>
        <w:rPr>
          <w:color w:val="808080"/>
        </w:rPr>
        <w:t>(belehrbar, gehorsam</w:t>
      </w:r>
      <w:r>
        <w:rPr/>
        <w:t xml:space="preserve"> </w:t>
      </w:r>
      <w:r>
        <w:rPr>
          <w:rStyle w:val="Funotenanker"/>
        </w:rPr>
        <w:footnoteReference w:customMarkFollows="1" w:id="2382"/>
        <w:t>az</w:t>
      </w:r>
      <w:r>
        <w:rPr/>
        <w:t xml:space="preserve"> </w:t>
      </w:r>
      <w:r>
        <w:rPr>
          <w:color w:val="808080"/>
        </w:rPr>
        <w:t>)</w:t>
      </w:r>
      <w:r>
        <w:rPr/>
        <w:t xml:space="preserve">, voller Barmherzigkeit und guter Früchte, unparteiisch </w:t>
      </w:r>
      <w:r>
        <w:rPr>
          <w:b/>
          <w:color w:val="808080"/>
        </w:rPr>
        <w:t>[</w:t>
      </w:r>
      <w:r>
        <w:rPr/>
        <w:t>und</w:t>
      </w:r>
      <w:r>
        <w:rPr>
          <w:b/>
          <w:color w:val="808080"/>
        </w:rPr>
        <w:t>]</w:t>
      </w:r>
      <w:r>
        <w:rPr/>
        <w:t xml:space="preserve"> ohne Heuchelei.{{field-off:bible}} </w:t>
        <w:br/>
        <w:t>[[@BibleTOBIBLE:Jas 3:18]]</w:t>
      </w:r>
      <w:r>
        <w:rPr>
          <w:b/>
        </w:rPr>
        <w:t>18</w:t>
      </w:r>
      <w:r>
        <w:rPr/>
        <w:t xml:space="preserve"> {{field-on:bible}}Und </w:t>
      </w:r>
      <w:r>
        <w:rPr>
          <w:color w:val="808080"/>
        </w:rPr>
        <w:t>(aber)</w:t>
      </w:r>
      <w:r>
        <w:rPr/>
        <w:t xml:space="preserve"> </w:t>
      </w:r>
      <w:r>
        <w:rPr>
          <w:rStyle w:val="Funotenanker"/>
        </w:rPr>
        <w:footnoteReference w:customMarkFollows="1" w:id="2383"/>
        <w:t>ba</w:t>
      </w:r>
      <w:r>
        <w:rPr/>
        <w:t xml:space="preserve"> </w:t>
      </w:r>
      <w:r>
        <w:rPr>
          <w:b/>
          <w:color w:val="808080"/>
        </w:rPr>
        <w:t>[</w:t>
      </w:r>
      <w:r>
        <w:rPr/>
        <w:t>die</w:t>
      </w:r>
      <w:r>
        <w:rPr>
          <w:b/>
          <w:color w:val="808080"/>
        </w:rPr>
        <w:t>]</w:t>
      </w:r>
      <w:r>
        <w:rPr/>
        <w:t xml:space="preserve"> Ernte</w:t>
      </w:r>
      <w:r>
        <w:rPr>
          <w:rStyle w:val="Funotenanker"/>
        </w:rPr>
        <w:footnoteReference w:customMarkFollows="1" w:id="2384"/>
        <w:t>bb</w:t>
      </w:r>
      <w:r>
        <w:rPr/>
        <w:t xml:space="preserve"> </w:t>
      </w:r>
      <w:r>
        <w:rPr>
          <w:b/>
          <w:color w:val="808080"/>
        </w:rPr>
        <w:t>[</w:t>
      </w:r>
      <w:r>
        <w:rPr/>
        <w:t>der</w:t>
      </w:r>
      <w:r>
        <w:rPr>
          <w:b/>
          <w:color w:val="808080"/>
        </w:rPr>
        <w:t>]</w:t>
      </w:r>
      <w:r>
        <w:rPr/>
        <w:t xml:space="preserve"> Gerechtigkeit</w:t>
      </w:r>
      <w:r>
        <w:rPr>
          <w:rStyle w:val="Funotenanker"/>
        </w:rPr>
        <w:footnoteReference w:customMarkFollows="1" w:id="2385"/>
        <w:t>bc</w:t>
      </w:r>
      <w:r>
        <w:rPr/>
        <w:t xml:space="preserve"> wird in Frieden gesät für</w:t>
      </w:r>
      <w:r>
        <w:rPr>
          <w:rStyle w:val="Funotenanker"/>
        </w:rPr>
        <w:footnoteReference w:customMarkFollows="1" w:id="2386"/>
        <w:t>bd</w:t>
      </w:r>
      <w:r>
        <w:rPr/>
        <w:t xml:space="preserve"> jene, die Frieden stiften</w:t>
      </w:r>
      <w:r>
        <w:rPr>
          <w:rStyle w:val="Funotenanker"/>
        </w:rPr>
        <w:footnoteReference w:customMarkFollows="1" w:id="2387"/>
        <w:t>be</w:t>
      </w:r>
      <w:r>
        <w:rPr/>
        <w:t xml:space="preserve">.{{field-off:bible}}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2388"/>
        <w:t>Status</w:t>
      </w:r>
      <w:r>
        <w:rPr/>
        <w:t xml:space="preserve"> Woher </w:t>
      </w:r>
      <w:r>
        <w:rPr>
          <w:b/>
          <w:color w:val="808080"/>
        </w:rPr>
        <w:t>[</w:t>
      </w:r>
      <w:r>
        <w:rPr/>
        <w:t>kommen</w:t>
      </w:r>
      <w:r>
        <w:rPr>
          <w:b/>
          <w:color w:val="808080"/>
        </w:rPr>
        <w:t>]</w:t>
      </w:r>
      <w:r>
        <w:rPr/>
        <w:t xml:space="preserve"> denn die Kämpfe </w:t>
      </w:r>
      <w:r>
        <w:rPr>
          <w:color w:val="808080"/>
        </w:rPr>
        <w:t>(Kriege, Streitereien)</w:t>
      </w:r>
      <w:r>
        <w:rPr/>
        <w:t>, und woher der Streit</w:t>
      </w:r>
      <w:r>
        <w:rPr>
          <w:rStyle w:val="Funotenanker"/>
        </w:rPr>
        <w:footnoteReference w:customMarkFollows="1" w:id="2389"/>
        <w:t>a</w:t>
      </w:r>
      <w:r>
        <w:rPr/>
        <w:t xml:space="preserve"> unter euch? </w:t>
      </w:r>
      <w:r>
        <w:rPr>
          <w:b/>
          <w:color w:val="808080"/>
        </w:rPr>
        <w:t>[</w:t>
      </w:r>
      <w:r>
        <w:rPr/>
        <w:t>Kommen sie</w:t>
      </w:r>
      <w:r>
        <w:rPr>
          <w:b/>
          <w:color w:val="808080"/>
        </w:rPr>
        <w:t>]</w:t>
      </w:r>
      <w:r>
        <w:rPr/>
        <w:t xml:space="preserve"> nicht von</w:t>
      </w:r>
      <w:r>
        <w:rPr>
          <w:rStyle w:val="Funotenanker"/>
        </w:rPr>
        <w:footnoteReference w:customMarkFollows="1" w:id="2390"/>
        <w:t>b</w:t>
      </w:r>
      <w:r>
        <w:rPr/>
        <w:t xml:space="preserve"> euren Gelüsten, die </w:t>
      </w:r>
      <w:r>
        <w:rPr>
          <w:b/>
          <w:color w:val="808080"/>
        </w:rPr>
        <w:t>[</w:t>
      </w:r>
      <w:r>
        <w:rPr/>
        <w:t>ständig</w:t>
      </w:r>
      <w:r>
        <w:rPr>
          <w:b/>
          <w:color w:val="808080"/>
        </w:rPr>
        <w:t>]</w:t>
      </w:r>
      <w:r>
        <w:rPr/>
        <w:t xml:space="preserve"> in euren Gliedern streiten</w:t>
      </w:r>
      <w:r>
        <w:rPr>
          <w:rStyle w:val="Funotenanker"/>
        </w:rPr>
        <w:footnoteReference w:customMarkFollows="1" w:id="2391"/>
        <w:t>c</w:t>
      </w:r>
      <w:r>
        <w:rPr/>
        <w:t xml:space="preserve">?{{field-off:bible}} </w:t>
        <w:br/>
        <w:t>[[@BibleTOBIBLE:Jas 4:2]]</w:t>
      </w:r>
      <w:r>
        <w:rPr>
          <w:b/>
        </w:rPr>
        <w:t>2</w:t>
      </w:r>
      <w:r>
        <w:rPr/>
        <w:t xml:space="preserve"> {{field-on:bible}}Ihr begehrt und habt </w:t>
      </w:r>
      <w:r>
        <w:rPr>
          <w:b/>
          <w:color w:val="808080"/>
        </w:rPr>
        <w:t>[</w:t>
      </w:r>
      <w:r>
        <w:rPr/>
        <w:t>doch</w:t>
      </w:r>
      <w:r>
        <w:rPr>
          <w:b/>
          <w:color w:val="808080"/>
        </w:rPr>
        <w:t>]</w:t>
      </w:r>
      <w:r>
        <w:rPr/>
        <w:t xml:space="preserve"> </w:t>
      </w:r>
      <w:r>
        <w:rPr>
          <w:rStyle w:val="Funotenanker"/>
        </w:rPr>
        <w:footnoteReference w:customMarkFollows="1" w:id="2392"/>
        <w:t>d</w:t>
      </w:r>
      <w:r>
        <w:rPr/>
        <w:t xml:space="preserve"> nicht, ihr mordet </w:t>
      </w:r>
      <w:r>
        <w:rPr>
          <w:color w:val="808080"/>
        </w:rPr>
        <w:t>(tötet; beneidet)</w:t>
      </w:r>
      <w:r>
        <w:rPr/>
        <w:t xml:space="preserve"> </w:t>
      </w:r>
      <w:r>
        <w:rPr>
          <w:rStyle w:val="Funotenanker"/>
        </w:rPr>
        <w:footnoteReference w:customMarkFollows="1" w:id="2393"/>
        <w:t>e</w:t>
      </w:r>
      <w:r>
        <w:rPr/>
        <w:t xml:space="preserve"> und seid eifersüchtig und könnt </w:t>
      </w:r>
      <w:r>
        <w:rPr>
          <w:b/>
          <w:color w:val="808080"/>
        </w:rPr>
        <w:t>[</w:t>
      </w:r>
      <w:r>
        <w:rPr/>
        <w:t>doch</w:t>
      </w:r>
      <w:r>
        <w:rPr>
          <w:b/>
          <w:color w:val="808080"/>
        </w:rPr>
        <w:t>]</w:t>
      </w:r>
      <w:r>
        <w:rPr/>
        <w:t xml:space="preserve"> nichts</w:t>
      </w:r>
      <w:r>
        <w:rPr>
          <w:rStyle w:val="Funotenanker"/>
        </w:rPr>
        <w:footnoteReference w:customMarkFollows="1" w:id="2394"/>
        <w:t>f</w:t>
      </w:r>
      <w:r>
        <w:rPr/>
        <w:t xml:space="preserve"> erreichen; ihr kämpft </w:t>
      </w:r>
      <w:r>
        <w:rPr>
          <w:color w:val="808080"/>
        </w:rPr>
        <w:t>(streitet, zankt)</w:t>
      </w:r>
      <w:r>
        <w:rPr/>
        <w:t xml:space="preserve"> und führt Kriege </w:t>
      </w:r>
      <w:r>
        <w:rPr>
          <w:color w:val="808080"/>
        </w:rPr>
        <w:t>(kämpft)</w:t>
      </w:r>
      <w:r>
        <w:rPr/>
        <w:t xml:space="preserve">; ihr habt nicht, weil ihr nicht </w:t>
      </w:r>
      <w:r>
        <w:rPr>
          <w:color w:val="808080"/>
        </w:rPr>
        <w:t>(nichts)</w:t>
      </w:r>
      <w:r>
        <w:rPr/>
        <w:t xml:space="preserve"> für euch bittet </w:t>
      </w:r>
      <w:r>
        <w:rPr>
          <w:color w:val="808080"/>
        </w:rPr>
        <w:t>(fordert)</w:t>
      </w:r>
      <w:r>
        <w:rPr/>
        <w:t xml:space="preserve"> </w:t>
      </w:r>
      <w:r>
        <w:rPr>
          <w:rStyle w:val="Funotenanker"/>
        </w:rPr>
        <w:footnoteReference w:customMarkFollows="1" w:id="2395"/>
        <w:t>g</w:t>
      </w:r>
      <w:r>
        <w:rPr/>
        <w:t>;</w:t>
      </w:r>
      <w:r>
        <w:rPr>
          <w:rStyle w:val="Funotenanker"/>
        </w:rPr>
        <w:footnoteReference w:customMarkFollows="1" w:id="2396"/>
        <w:t>h</w:t>
      </w:r>
      <w:r>
        <w:rPr/>
        <w:t xml:space="preserve"> {{field-off:bible}} </w:t>
        <w:br/>
        <w:t>[[@BibleTOBIBLE:Jas 4:3]]</w:t>
      </w:r>
      <w:r>
        <w:rPr>
          <w:b/>
        </w:rPr>
        <w:t>3</w:t>
      </w:r>
      <w:r>
        <w:rPr/>
        <w:t xml:space="preserve"> {{field-on:bible}}ihr bittet und erhaltet </w:t>
      </w:r>
      <w:r>
        <w:rPr>
          <w:b/>
          <w:color w:val="808080"/>
        </w:rPr>
        <w:t>[</w:t>
      </w:r>
      <w:r>
        <w:rPr/>
        <w:t>doch</w:t>
      </w:r>
      <w:r>
        <w:rPr>
          <w:b/>
          <w:color w:val="808080"/>
        </w:rPr>
        <w:t>]</w:t>
      </w:r>
      <w:r>
        <w:rPr/>
        <w:t xml:space="preserve"> nichts</w:t>
      </w:r>
      <w:r>
        <w:rPr>
          <w:rStyle w:val="Funotenanker"/>
        </w:rPr>
        <w:footnoteReference w:customMarkFollows="1" w:id="2397"/>
        <w:t>i</w:t>
      </w:r>
      <w:r>
        <w:rPr/>
        <w:t xml:space="preserve">, weil ihr </w:t>
      </w:r>
      <w:r>
        <w:rPr>
          <w:b/>
          <w:color w:val="808080"/>
        </w:rPr>
        <w:t>[</w:t>
      </w:r>
      <w:r>
        <w:rPr/>
        <w:t>in</w:t>
      </w:r>
      <w:r>
        <w:rPr>
          <w:b/>
          <w:color w:val="808080"/>
        </w:rPr>
        <w:t>]</w:t>
      </w:r>
      <w:r>
        <w:rPr/>
        <w:t xml:space="preserve"> böser </w:t>
      </w:r>
      <w:r>
        <w:rPr>
          <w:b/>
          <w:color w:val="808080"/>
        </w:rPr>
        <w:t>[</w:t>
      </w:r>
      <w:r>
        <w:rPr/>
        <w:t>Absicht</w:t>
      </w:r>
      <w:r>
        <w:rPr>
          <w:b/>
          <w:color w:val="808080"/>
        </w:rPr>
        <w:t>]</w:t>
      </w:r>
      <w:r>
        <w:rPr/>
        <w:t xml:space="preserve"> </w:t>
      </w:r>
      <w:r>
        <w:rPr>
          <w:rStyle w:val="Funotenanker"/>
        </w:rPr>
        <w:footnoteReference w:customMarkFollows="1" w:id="2398"/>
        <w:t>j</w:t>
      </w:r>
      <w:r>
        <w:rPr/>
        <w:t xml:space="preserve"> für euch bittet </w:t>
      </w:r>
      <w:r>
        <w:rPr>
          <w:color w:val="808080"/>
        </w:rPr>
        <w:t>(fordert)</w:t>
      </w:r>
      <w:r>
        <w:rPr/>
        <w:t xml:space="preserve">, um </w:t>
      </w:r>
      <w:r>
        <w:rPr>
          <w:color w:val="808080"/>
        </w:rPr>
        <w:t>(damit)</w:t>
      </w:r>
      <w:r>
        <w:rPr/>
        <w:t xml:space="preserve"> </w:t>
      </w:r>
      <w:r>
        <w:rPr>
          <w:b/>
          <w:color w:val="808080"/>
        </w:rPr>
        <w:t>[</w:t>
      </w:r>
      <w:r>
        <w:rPr/>
        <w:t>es</w:t>
      </w:r>
      <w:r>
        <w:rPr>
          <w:b/>
          <w:color w:val="808080"/>
        </w:rPr>
        <w:t>]</w:t>
      </w:r>
      <w:r>
        <w:rPr/>
        <w:t xml:space="preserve"> für eure Gelüste auszugeben.{{field-off:bible}} </w:t>
        <w:br/>
        <w:t>[[@BibleTOBIBLE:Jas 4:4]]</w:t>
      </w:r>
      <w:r>
        <w:rPr>
          <w:b/>
        </w:rPr>
        <w:t>4</w:t>
      </w:r>
      <w:r>
        <w:rPr/>
        <w:t xml:space="preserve"> {{field-on:bible}} </w:t>
      </w:r>
      <w:r>
        <w:rPr>
          <w:b/>
          <w:color w:val="808080"/>
        </w:rPr>
        <w:t>[</w:t>
      </w:r>
      <w:r>
        <w:rPr/>
        <w:t>Ihr</w:t>
      </w:r>
      <w:r>
        <w:rPr>
          <w:b/>
          <w:color w:val="808080"/>
        </w:rPr>
        <w:t>]</w:t>
      </w:r>
      <w:r>
        <w:rPr/>
        <w:t xml:space="preserve"> Ehebrecher</w:t>
      </w:r>
      <w:r>
        <w:rPr>
          <w:rStyle w:val="Funotenanker"/>
        </w:rPr>
        <w:footnoteReference w:customMarkFollows="1" w:id="2399"/>
        <w:t>k</w:t>
      </w:r>
      <w:r>
        <w:rPr/>
        <w:t xml:space="preserve">, wisst ihr nicht, dass die Freundschaft </w:t>
      </w:r>
      <w:r>
        <w:rPr>
          <w:color w:val="808080"/>
        </w:rPr>
        <w:t>(Liebe)</w:t>
      </w:r>
      <w:r>
        <w:rPr/>
        <w:t xml:space="preserve"> </w:t>
      </w:r>
      <w:r>
        <w:rPr>
          <w:b/>
          <w:color w:val="808080"/>
        </w:rPr>
        <w:t>[</w:t>
      </w:r>
      <w:r>
        <w:rPr/>
        <w:t>zur</w:t>
      </w:r>
      <w:r>
        <w:rPr>
          <w:b/>
          <w:color w:val="808080"/>
        </w:rPr>
        <w:t>]</w:t>
      </w:r>
      <w:r>
        <w:rPr/>
        <w:t xml:space="preserve"> Welt Feindschaft </w:t>
      </w:r>
      <w:r>
        <w:rPr>
          <w:b/>
          <w:color w:val="808080"/>
        </w:rPr>
        <w:t>[</w:t>
      </w:r>
      <w:r>
        <w:rPr/>
        <w:t>mit</w:t>
      </w:r>
      <w:r>
        <w:rPr>
          <w:b/>
          <w:color w:val="808080"/>
        </w:rPr>
        <w:t>]</w:t>
      </w:r>
      <w:r>
        <w:rPr/>
        <w:t xml:space="preserve"> Gott ist? Also erweist </w:t>
      </w:r>
      <w:r>
        <w:rPr>
          <w:color w:val="808080"/>
        </w:rPr>
        <w:t>(macht)</w:t>
      </w:r>
      <w:r>
        <w:rPr/>
        <w:t xml:space="preserve"> sich</w:t>
      </w:r>
      <w:r>
        <w:rPr>
          <w:rStyle w:val="Funotenanker"/>
        </w:rPr>
        <w:footnoteReference w:customMarkFollows="1" w:id="2400"/>
        <w:t>l</w:t>
      </w:r>
      <w:r>
        <w:rPr/>
        <w:t xml:space="preserve"> jeder, der</w:t>
      </w:r>
      <w:r>
        <w:rPr>
          <w:rStyle w:val="Funotenanker"/>
        </w:rPr>
        <w:footnoteReference w:customMarkFollows="1" w:id="2401"/>
        <w:t>m</w:t>
      </w:r>
      <w:r>
        <w:rPr/>
        <w:t xml:space="preserve"> ein Freund der Welt sein will, </w:t>
      </w:r>
      <w:r>
        <w:rPr>
          <w:b/>
          <w:color w:val="808080"/>
        </w:rPr>
        <w:t>[</w:t>
      </w:r>
      <w:r>
        <w:rPr/>
        <w:t>als</w:t>
      </w:r>
      <w:r>
        <w:rPr>
          <w:b/>
          <w:color w:val="808080"/>
        </w:rPr>
        <w:t>]</w:t>
      </w:r>
      <w:r>
        <w:rPr/>
        <w:t xml:space="preserve"> Feind Gottes.{{field-off:bible}} </w:t>
        <w:br/>
        <w:t>[[@BibleTOBIBLE:Jas 4:5]]</w:t>
      </w:r>
      <w:r>
        <w:rPr>
          <w:b/>
        </w:rPr>
        <w:t>5</w:t>
      </w:r>
      <w:r>
        <w:rPr/>
        <w:t xml:space="preserve"> {{field-on:bible}}Oder meint ihr, dass die Schrift umsonst sagt: Eifersüchtig</w:t>
      </w:r>
      <w:r>
        <w:rPr>
          <w:rStyle w:val="Funotenanker"/>
        </w:rPr>
        <w:footnoteReference w:customMarkFollows="1" w:id="2402"/>
        <w:t>n</w:t>
      </w:r>
      <w:r>
        <w:rPr/>
        <w:t xml:space="preserve"> verlangt </w:t>
      </w:r>
      <w:r>
        <w:rPr>
          <w:b/>
          <w:color w:val="808080"/>
        </w:rPr>
        <w:t>[</w:t>
      </w:r>
      <w:r>
        <w:rPr/>
        <w:t>es</w:t>
      </w:r>
      <w:r>
        <w:rPr>
          <w:b/>
          <w:color w:val="808080"/>
        </w:rPr>
        <w:t>]</w:t>
      </w:r>
      <w:r>
        <w:rPr/>
        <w:t xml:space="preserve"> ihn </w:t>
      </w:r>
      <w:r>
        <w:rPr>
          <w:b/>
          <w:color w:val="808080"/>
        </w:rPr>
        <w:t>[</w:t>
      </w:r>
      <w:r>
        <w:rPr/>
        <w:t>nach</w:t>
      </w:r>
      <w:r>
        <w:rPr>
          <w:b/>
          <w:color w:val="808080"/>
        </w:rPr>
        <w:t>]</w:t>
      </w:r>
      <w:r>
        <w:rPr/>
        <w:t xml:space="preserve"> dem Geist,</w:t>
      </w:r>
      <w:r>
        <w:rPr>
          <w:rStyle w:val="Funotenanker"/>
        </w:rPr>
        <w:footnoteReference w:customMarkFollows="1" w:id="2403"/>
        <w:t>o</w:t>
      </w:r>
      <w:r>
        <w:rPr/>
        <w:t xml:space="preserve"> den er in uns wohnen ließ,</w:t>
      </w:r>
      <w:r>
        <w:rPr>
          <w:rStyle w:val="Funotenanker"/>
        </w:rPr>
        <w:footnoteReference w:customMarkFollows="1" w:id="2404"/>
        <w:t>p</w:t>
      </w:r>
      <w:r>
        <w:rPr/>
        <w:t xml:space="preserve"> {{field-off:bible}} </w:t>
        <w:br/>
        <w:t>[[@BibleTOBIBLE:Jas 4:6]]</w:t>
      </w:r>
      <w:r>
        <w:rPr>
          <w:b/>
        </w:rPr>
        <w:t>6</w:t>
      </w:r>
      <w:r>
        <w:rPr/>
        <w:t xml:space="preserve"> {{field-on:bible}}aber er gibt umso größere Gnade?</w:t>
      </w:r>
      <w:r>
        <w:rPr>
          <w:rStyle w:val="Funotenanker"/>
        </w:rPr>
        <w:footnoteReference w:customMarkFollows="1" w:id="2405"/>
        <w:t>q</w:t>
      </w:r>
      <w:r>
        <w:rPr/>
        <w:t xml:space="preserve"> Deswegen sagt sie </w:t>
      </w:r>
      <w:r>
        <w:rPr>
          <w:b/>
          <w:color w:val="808080"/>
        </w:rPr>
        <w:t>[</w:t>
      </w:r>
      <w:r>
        <w:rPr/>
        <w:t>auch</w:t>
      </w:r>
      <w:r>
        <w:rPr>
          <w:b/>
          <w:color w:val="808080"/>
        </w:rPr>
        <w:t>]</w:t>
      </w:r>
      <w:r>
        <w:rPr/>
        <w:t xml:space="preserve">: „Gott stellt sich den Hochmütigen entgegen, den Geringen </w:t>
      </w:r>
      <w:r>
        <w:rPr>
          <w:color w:val="808080"/>
        </w:rPr>
        <w:t>(Unbedeutenden; Demütigen</w:t>
      </w:r>
      <w:r>
        <w:rPr/>
        <w:t xml:space="preserve"> </w:t>
      </w:r>
      <w:r>
        <w:rPr>
          <w:rStyle w:val="Funotenanker"/>
        </w:rPr>
        <w:footnoteReference w:customMarkFollows="1" w:id="2406"/>
        <w:t>r</w:t>
      </w:r>
      <w:r>
        <w:rPr/>
        <w:t xml:space="preserve"> </w:t>
      </w:r>
      <w:r>
        <w:rPr>
          <w:color w:val="808080"/>
        </w:rPr>
        <w:t>)</w:t>
      </w:r>
      <w:r>
        <w:rPr/>
        <w:t xml:space="preserve"> aber gibt er Gnade.“</w:t>
      </w:r>
      <w:r>
        <w:rPr>
          <w:rStyle w:val="Funotenanker"/>
        </w:rPr>
        <w:footnoteReference w:customMarkFollows="1" w:id="2407"/>
        <w:t>s</w:t>
      </w:r>
      <w:r>
        <w:rPr/>
        <w:t xml:space="preserve"> {{field-off:bible}} </w:t>
        <w:br/>
        <w:t>[[@BibleTOBIBLE:Jas 4:7]]</w:t>
      </w:r>
      <w:r>
        <w:rPr>
          <w:b/>
        </w:rPr>
        <w:t>7</w:t>
      </w:r>
      <w:r>
        <w:rPr/>
        <w:t xml:space="preserve"> {{field-on:bible}}Also ordnet </w:t>
      </w:r>
      <w:r>
        <w:rPr>
          <w:b/>
          <w:color w:val="808080"/>
        </w:rPr>
        <w:t>[</w:t>
      </w:r>
      <w:r>
        <w:rPr/>
        <w:t>euch</w:t>
      </w:r>
      <w:r>
        <w:rPr>
          <w:b/>
          <w:color w:val="808080"/>
        </w:rPr>
        <w:t>]</w:t>
      </w:r>
      <w:r>
        <w:rPr/>
        <w:t xml:space="preserve"> Gott unter, doch widersteht dem Teufel, dann </w:t>
      </w:r>
      <w:r>
        <w:rPr>
          <w:color w:val="808080"/>
        </w:rPr>
        <w:t>(und)</w:t>
      </w:r>
      <w:r>
        <w:rPr/>
        <w:t xml:space="preserve"> er wird von euch fliehen</w:t>
      </w:r>
      <w:r>
        <w:rPr>
          <w:rStyle w:val="Funotenanker"/>
        </w:rPr>
        <w:footnoteReference w:customMarkFollows="1" w:id="2408"/>
        <w:t>t</w:t>
      </w:r>
      <w:r>
        <w:rPr/>
        <w:t xml:space="preserve">;{{field-off:bible}} </w:t>
        <w:br/>
        <w:t>[[@BibleTOBIBLE:Jas 4:8]]</w:t>
      </w:r>
      <w:r>
        <w:rPr>
          <w:b/>
        </w:rPr>
        <w:t>8</w:t>
      </w:r>
      <w:r>
        <w:rPr/>
        <w:t xml:space="preserve"> {{field-on:bible}}nähert euch</w:t>
      </w:r>
      <w:r>
        <w:rPr>
          <w:rStyle w:val="Funotenanker"/>
        </w:rPr>
        <w:footnoteReference w:customMarkFollows="1" w:id="2409"/>
        <w:t>u</w:t>
      </w:r>
      <w:r>
        <w:rPr/>
        <w:t xml:space="preserve"> Gott, dann </w:t>
      </w:r>
      <w:r>
        <w:rPr>
          <w:color w:val="808080"/>
        </w:rPr>
        <w:t>(und)</w:t>
      </w:r>
      <w:r>
        <w:rPr/>
        <w:t xml:space="preserve"> nähert er sich euch. Reinigt </w:t>
      </w:r>
      <w:r>
        <w:rPr>
          <w:b/>
          <w:color w:val="808080"/>
        </w:rPr>
        <w:t>[</w:t>
      </w:r>
      <w:r>
        <w:rPr/>
        <w:t>eure</w:t>
      </w:r>
      <w:r>
        <w:rPr>
          <w:b/>
          <w:color w:val="808080"/>
        </w:rPr>
        <w:t>]</w:t>
      </w:r>
      <w:r>
        <w:rPr/>
        <w:t xml:space="preserve"> Hände, </w:t>
      </w:r>
      <w:r>
        <w:rPr>
          <w:b/>
          <w:color w:val="808080"/>
        </w:rPr>
        <w:t>[</w:t>
      </w:r>
      <w:r>
        <w:rPr/>
        <w:t>ihr</w:t>
      </w:r>
      <w:r>
        <w:rPr>
          <w:b/>
          <w:color w:val="808080"/>
        </w:rPr>
        <w:t>]</w:t>
      </w:r>
      <w:r>
        <w:rPr/>
        <w:t xml:space="preserve"> Sünder, und läutert </w:t>
      </w:r>
      <w:r>
        <w:rPr>
          <w:color w:val="808080"/>
        </w:rPr>
        <w:t>(reinigt, heiligt)</w:t>
      </w:r>
      <w:r>
        <w:rPr/>
        <w:t xml:space="preserve"> </w:t>
      </w:r>
      <w:r>
        <w:rPr>
          <w:b/>
          <w:color w:val="808080"/>
        </w:rPr>
        <w:t>[</w:t>
      </w:r>
      <w:r>
        <w:rPr/>
        <w:t>eure</w:t>
      </w:r>
      <w:r>
        <w:rPr>
          <w:b/>
          <w:color w:val="808080"/>
        </w:rPr>
        <w:t>]</w:t>
      </w:r>
      <w:r>
        <w:rPr/>
        <w:t xml:space="preserve"> Herzen, </w:t>
      </w:r>
      <w:r>
        <w:rPr>
          <w:b/>
          <w:color w:val="808080"/>
        </w:rPr>
        <w:t>[</w:t>
      </w:r>
      <w:r>
        <w:rPr/>
        <w:t>ihr</w:t>
      </w:r>
      <w:r>
        <w:rPr>
          <w:b/>
          <w:color w:val="808080"/>
        </w:rPr>
        <w:t>]</w:t>
      </w:r>
      <w:r>
        <w:rPr/>
        <w:t xml:space="preserve"> Zweisinnigen</w:t>
      </w:r>
      <w:r>
        <w:rPr>
          <w:rStyle w:val="Funotenanker"/>
        </w:rPr>
        <w:footnoteReference w:customMarkFollows="1" w:id="2410"/>
        <w:t>v</w:t>
      </w:r>
      <w:r>
        <w:rPr/>
        <w:t xml:space="preserve">!{{field-off:bible}} </w:t>
        <w:br/>
        <w:t>[[@BibleTOBIBLE:Jas 4:9]]</w:t>
      </w:r>
      <w:r>
        <w:rPr>
          <w:b/>
        </w:rPr>
        <w:t>9</w:t>
      </w:r>
      <w:r>
        <w:rPr/>
        <w:t xml:space="preserve"> {{field-on:bible}}Seid bedrückt </w:t>
      </w:r>
      <w:r>
        <w:rPr>
          <w:color w:val="808080"/>
        </w:rPr>
        <w:t>(wehklagt)</w:t>
      </w:r>
      <w:r>
        <w:rPr/>
        <w:t xml:space="preserve">, </w:t>
      </w:r>
      <w:r>
        <w:rPr>
          <w:strike/>
          <w:color w:val="808080"/>
        </w:rPr>
        <w:t>{und}</w:t>
      </w:r>
      <w:r>
        <w:rPr/>
        <w:t xml:space="preserve"> klagt </w:t>
      </w:r>
      <w:r>
        <w:rPr>
          <w:color w:val="808080"/>
        </w:rPr>
        <w:t>(trauert)</w:t>
      </w:r>
      <w:r>
        <w:rPr/>
        <w:t xml:space="preserve"> und weint! Euer Lachen soll sich in Trauer verwandeln</w:t>
      </w:r>
      <w:r>
        <w:rPr>
          <w:rStyle w:val="Funotenanker"/>
        </w:rPr>
        <w:footnoteReference w:customMarkFollows="1" w:id="2411"/>
        <w:t>w</w:t>
      </w:r>
      <w:r>
        <w:rPr/>
        <w:t xml:space="preserve"> und eure Freude in Niedergeschlagenheit!{{field-off:bible}} </w:t>
        <w:br/>
        <w:t>[[@BibleTOBIBLE:Jas 4:10]]</w:t>
      </w:r>
      <w:r>
        <w:rPr>
          <w:b/>
        </w:rPr>
        <w:t>10</w:t>
      </w:r>
      <w:r>
        <w:rPr/>
        <w:t xml:space="preserve"> {{field-on:bible}}Demütigt </w:t>
      </w:r>
      <w:r>
        <w:rPr>
          <w:color w:val="808080"/>
        </w:rPr>
        <w:t>(erniedrigt)</w:t>
      </w:r>
      <w:r>
        <w:rPr/>
        <w:t xml:space="preserve"> </w:t>
      </w:r>
      <w:r>
        <w:rPr>
          <w:rStyle w:val="Funotenanker"/>
        </w:rPr>
        <w:footnoteReference w:customMarkFollows="1" w:id="2412"/>
        <w:t>x</w:t>
      </w:r>
      <w:r>
        <w:rPr/>
        <w:t xml:space="preserve"> euch vor </w:t>
      </w:r>
      <w:r>
        <w:rPr>
          <w:b/>
          <w:color w:val="808080"/>
        </w:rPr>
        <w:t>[</w:t>
      </w:r>
      <w:r>
        <w:rPr/>
        <w:t>dem</w:t>
      </w:r>
      <w:r>
        <w:rPr>
          <w:b/>
          <w:color w:val="808080"/>
        </w:rPr>
        <w:t>]</w:t>
      </w:r>
      <w:r>
        <w:rPr/>
        <w:t xml:space="preserve"> Herrn, dann </w:t>
      </w:r>
      <w:r>
        <w:rPr>
          <w:color w:val="808080"/>
        </w:rPr>
        <w:t>(und)</w:t>
      </w:r>
      <w:r>
        <w:rPr/>
        <w:t xml:space="preserve"> wird er euch erhöhen!{{field-off:bible}} </w:t>
        <w:br/>
        <w:t>[[@BibleTOBIBLE:Jas 4:11]]</w:t>
      </w:r>
      <w:r>
        <w:rPr>
          <w:b/>
        </w:rPr>
        <w:t>11</w:t>
      </w:r>
      <w:r>
        <w:rPr/>
        <w:t xml:space="preserve"> {{field-on:bible}} </w:t>
      </w:r>
      <w:r>
        <w:rPr>
          <w:b/>
          <w:color w:val="808080"/>
        </w:rPr>
        <w:t>[</w:t>
      </w:r>
      <w:r>
        <w:rPr/>
        <w:t>Hört auf</w:t>
      </w:r>
      <w:r>
        <w:rPr>
          <w:b/>
          <w:color w:val="808080"/>
        </w:rPr>
        <w:t>]</w:t>
      </w:r>
      <w:r>
        <w:rPr/>
        <w:t xml:space="preserve">, einander zu verleumden </w:t>
      </w:r>
      <w:r>
        <w:rPr>
          <w:color w:val="808080"/>
        </w:rPr>
        <w:t>(schlecht zu machen, schlecht über einander zu reden)</w:t>
      </w:r>
      <w:r>
        <w:rPr/>
        <w:t xml:space="preserve"> </w:t>
      </w:r>
      <w:r>
        <w:rPr>
          <w:color w:val="808080"/>
        </w:rPr>
        <w:t>(Verleumdet einander nicht)</w:t>
      </w:r>
      <w:r>
        <w:rPr/>
        <w:t xml:space="preserve"> </w:t>
      </w:r>
      <w:r>
        <w:rPr>
          <w:rStyle w:val="Funotenanker"/>
        </w:rPr>
        <w:footnoteReference w:customMarkFollows="1" w:id="2413"/>
        <w:t>y</w:t>
      </w:r>
      <w:r>
        <w:rPr/>
        <w:t xml:space="preserve">, Geschwister! Wer </w:t>
      </w:r>
      <w:r>
        <w:rPr>
          <w:b/>
          <w:color w:val="808080"/>
        </w:rPr>
        <w:t>[</w:t>
      </w:r>
      <w:r>
        <w:rPr/>
        <w:t>seinen</w:t>
      </w:r>
      <w:r>
        <w:rPr>
          <w:b/>
          <w:color w:val="808080"/>
        </w:rPr>
        <w:t>]</w:t>
      </w:r>
      <w:r>
        <w:rPr/>
        <w:t xml:space="preserve"> Bruder</w:t>
      </w:r>
      <w:r>
        <w:rPr>
          <w:rStyle w:val="Funotenanker"/>
        </w:rPr>
        <w:footnoteReference w:customMarkFollows="1" w:id="2414"/>
        <w:t>z</w:t>
      </w:r>
      <w:r>
        <w:rPr/>
        <w:t xml:space="preserve"> verleumdet oder seinen Bruder verurteilt</w:t>
      </w:r>
      <w:r>
        <w:rPr>
          <w:rStyle w:val="Funotenanker"/>
        </w:rPr>
        <w:footnoteReference w:customMarkFollows="1" w:id="2415"/>
        <w:t>aa</w:t>
      </w:r>
      <w:r>
        <w:rPr/>
        <w:t xml:space="preserve">, der verleumdet </w:t>
      </w:r>
      <w:r>
        <w:rPr>
          <w:b/>
          <w:color w:val="808080"/>
        </w:rPr>
        <w:t>[</w:t>
      </w:r>
      <w:r>
        <w:rPr/>
        <w:t>das</w:t>
      </w:r>
      <w:r>
        <w:rPr>
          <w:b/>
          <w:color w:val="808080"/>
        </w:rPr>
        <w:t>]</w:t>
      </w:r>
      <w:r>
        <w:rPr/>
        <w:t xml:space="preserve"> Gesetz und verurteilt </w:t>
      </w:r>
      <w:r>
        <w:rPr>
          <w:b/>
          <w:color w:val="808080"/>
        </w:rPr>
        <w:t>[</w:t>
      </w:r>
      <w:r>
        <w:rPr/>
        <w:t>das</w:t>
      </w:r>
      <w:r>
        <w:rPr>
          <w:b/>
          <w:color w:val="808080"/>
        </w:rPr>
        <w:t>]</w:t>
      </w:r>
      <w:r>
        <w:rPr/>
        <w:t xml:space="preserve"> Gesetz — wenn du aber </w:t>
      </w:r>
      <w:r>
        <w:rPr>
          <w:b/>
          <w:color w:val="808080"/>
        </w:rPr>
        <w:t>[</w:t>
      </w:r>
      <w:r>
        <w:rPr/>
        <w:t>das</w:t>
      </w:r>
      <w:r>
        <w:rPr>
          <w:b/>
          <w:color w:val="808080"/>
        </w:rPr>
        <w:t>]</w:t>
      </w:r>
      <w:r>
        <w:rPr/>
        <w:t xml:space="preserve"> Gesetz verurteilst, bist du nicht Täter </w:t>
      </w:r>
      <w:r>
        <w:rPr>
          <w:b/>
          <w:color w:val="808080"/>
        </w:rPr>
        <w:t>[</w:t>
      </w:r>
      <w:r>
        <w:rPr/>
        <w:t>des</w:t>
      </w:r>
      <w:r>
        <w:rPr>
          <w:b/>
          <w:color w:val="808080"/>
        </w:rPr>
        <w:t>]</w:t>
      </w:r>
      <w:r>
        <w:rPr/>
        <w:t xml:space="preserve"> Gesetzes, sondern </w:t>
      </w:r>
      <w:r>
        <w:rPr>
          <w:b/>
          <w:color w:val="808080"/>
        </w:rPr>
        <w:t>[</w:t>
      </w:r>
      <w:r>
        <w:rPr/>
        <w:t>sein</w:t>
      </w:r>
      <w:r>
        <w:rPr>
          <w:b/>
          <w:color w:val="808080"/>
        </w:rPr>
        <w:t>]</w:t>
      </w:r>
      <w:r>
        <w:rPr/>
        <w:t xml:space="preserve"> Richter.</w:t>
      </w:r>
      <w:r>
        <w:rPr>
          <w:rStyle w:val="Funotenanker"/>
        </w:rPr>
        <w:footnoteReference w:customMarkFollows="1" w:id="2416"/>
        <w:t>ab</w:t>
      </w:r>
      <w:r>
        <w:rPr/>
        <w:t xml:space="preserve"> {{field-off:bible}} </w:t>
        <w:br/>
        <w:t>[[@BibleTOBIBLE:Jas 4:12]]</w:t>
      </w:r>
      <w:r>
        <w:rPr>
          <w:b/>
        </w:rPr>
        <w:t>12</w:t>
      </w:r>
      <w:r>
        <w:rPr/>
        <w:t xml:space="preserve"> {{field-on:bible}}Einer ist</w:t>
      </w:r>
      <w:r>
        <w:rPr>
          <w:rStyle w:val="Funotenanker"/>
        </w:rPr>
        <w:footnoteReference w:customMarkFollows="1" w:id="2417"/>
        <w:t>ac</w:t>
      </w:r>
      <w:r>
        <w:rPr/>
        <w:t xml:space="preserve"> der Gesetzgeber und Richter, der die Macht hat </w:t>
      </w:r>
      <w:r>
        <w:rPr>
          <w:color w:val="808080"/>
        </w:rPr>
        <w:t>(vermag, kann)</w:t>
      </w:r>
      <w:r>
        <w:rPr/>
        <w:t xml:space="preserve"> zu retten und zu vernichten. Du aber, wer bist du, der </w:t>
      </w:r>
      <w:r>
        <w:rPr>
          <w:b/>
          <w:color w:val="808080"/>
        </w:rPr>
        <w:t>[</w:t>
      </w:r>
      <w:r>
        <w:rPr/>
        <w:t>du deinen</w:t>
      </w:r>
      <w:r>
        <w:rPr>
          <w:b/>
          <w:color w:val="808080"/>
        </w:rPr>
        <w:t>]</w:t>
      </w:r>
      <w:r>
        <w:rPr/>
        <w:t xml:space="preserve"> Mitmenschen </w:t>
      </w:r>
      <w:r>
        <w:rPr>
          <w:color w:val="808080"/>
        </w:rPr>
        <w:t>(Nächsten)</w:t>
      </w:r>
      <w:r>
        <w:rPr/>
        <w:t xml:space="preserve"> verurteilst</w:t>
      </w:r>
      <w:r>
        <w:rPr>
          <w:rStyle w:val="Funotenanker"/>
        </w:rPr>
        <w:footnoteReference w:customMarkFollows="1" w:id="2418"/>
        <w:t>ad</w:t>
      </w:r>
      <w:r>
        <w:rPr/>
        <w:t xml:space="preserve">?{{field-off:bible}} </w:t>
        <w:br/>
        <w:t>[[@BibleTOBIBLE:Jas 4:13]]</w:t>
      </w:r>
      <w:r>
        <w:rPr>
          <w:b/>
        </w:rPr>
        <w:t>13</w:t>
      </w:r>
      <w:r>
        <w:rPr/>
        <w:t xml:space="preserve"> {{field-on:bible}}Jetzt zu euch</w:t>
      </w:r>
      <w:r>
        <w:rPr>
          <w:rStyle w:val="Funotenanker"/>
        </w:rPr>
        <w:footnoteReference w:customMarkFollows="1" w:id="2419"/>
        <w:t>ae</w:t>
      </w:r>
      <w:r>
        <w:rPr/>
        <w:t>, die ihr sagt</w:t>
      </w:r>
      <w:r>
        <w:rPr>
          <w:rStyle w:val="Funotenanker"/>
        </w:rPr>
        <w:footnoteReference w:customMarkFollows="1" w:id="2420"/>
        <w:t>af</w:t>
      </w:r>
      <w:r>
        <w:rPr/>
        <w:t>: „Heute oder morgen wollen</w:t>
      </w:r>
      <w:r>
        <w:rPr>
          <w:rStyle w:val="Funotenanker"/>
        </w:rPr>
        <w:footnoteReference w:customMarkFollows="1" w:id="2421"/>
        <w:t>ag</w:t>
      </w:r>
      <w:r>
        <w:rPr/>
        <w:t xml:space="preserve"> wir in die oder die </w:t>
      </w:r>
      <w:r>
        <w:rPr>
          <w:color w:val="808080"/>
        </w:rPr>
        <w:t>(diese oder jene)</w:t>
      </w:r>
      <w:r>
        <w:rPr/>
        <w:t xml:space="preserve"> Stadt gehen und dort ein Jahr verbringen, </w:t>
      </w:r>
      <w:r>
        <w:rPr>
          <w:strike/>
          <w:color w:val="808080"/>
        </w:rPr>
        <w:t>{und}</w:t>
      </w:r>
      <w:r>
        <w:rPr/>
        <w:t xml:space="preserve"> Handel treiben und Gewinn machen“;{{field-off:bible}} </w:t>
        <w:br/>
        <w:t>[[@BibleTOBIBLE:Jas 4:14]]</w:t>
      </w:r>
      <w:r>
        <w:rPr>
          <w:b/>
        </w:rPr>
        <w:t>14</w:t>
      </w:r>
      <w:r>
        <w:rPr/>
        <w:t xml:space="preserve"> {{field-on:bible}}die ihr </w:t>
      </w:r>
      <w:r>
        <w:rPr>
          <w:color w:val="808080"/>
        </w:rPr>
        <w:t>(</w:t>
      </w:r>
      <w:r>
        <w:rPr>
          <w:b/>
          <w:color w:val="808080"/>
        </w:rPr>
        <w:t>[</w:t>
      </w:r>
      <w:r>
        <w:rPr>
          <w:color w:val="808080"/>
        </w:rPr>
        <w:t>als</w:t>
      </w:r>
      <w:r>
        <w:rPr>
          <w:b/>
          <w:color w:val="808080"/>
        </w:rPr>
        <w:t>]</w:t>
      </w:r>
      <w:r>
        <w:rPr>
          <w:color w:val="808080"/>
        </w:rPr>
        <w:t xml:space="preserve"> solche, die)</w:t>
      </w:r>
      <w:r>
        <w:rPr/>
        <w:t xml:space="preserve"> </w:t>
      </w:r>
      <w:r>
        <w:rPr>
          <w:rStyle w:val="Funotenanker"/>
        </w:rPr>
        <w:footnoteReference w:customMarkFollows="1" w:id="2422"/>
        <w:t>ah</w:t>
      </w:r>
      <w:r>
        <w:rPr/>
        <w:t xml:space="preserve"> nicht wisst, wie euer Leben morgen </w:t>
      </w:r>
      <w:r>
        <w:rPr>
          <w:b/>
          <w:color w:val="808080"/>
        </w:rPr>
        <w:t>[</w:t>
      </w:r>
      <w:r>
        <w:rPr/>
        <w:t>sein wird</w:t>
      </w:r>
      <w:r>
        <w:rPr>
          <w:b/>
          <w:color w:val="808080"/>
        </w:rPr>
        <w:t>]</w:t>
      </w:r>
      <w:r>
        <w:rPr/>
        <w:t xml:space="preserve"> </w:t>
      </w:r>
      <w:r>
        <w:rPr>
          <w:rStyle w:val="Funotenanker"/>
        </w:rPr>
        <w:footnoteReference w:customMarkFollows="1" w:id="2423"/>
        <w:t>ai</w:t>
      </w:r>
      <w:r>
        <w:rPr/>
        <w:t xml:space="preserve"> — ihr seid nämlich</w:t>
      </w:r>
      <w:r>
        <w:rPr>
          <w:rStyle w:val="Funotenanker"/>
        </w:rPr>
        <w:footnoteReference w:customMarkFollows="1" w:id="2424"/>
        <w:t>aj</w:t>
      </w:r>
      <w:r>
        <w:rPr/>
        <w:t xml:space="preserve"> Dampf </w:t>
      </w:r>
      <w:r>
        <w:rPr>
          <w:color w:val="808080"/>
        </w:rPr>
        <w:t>(Rauch)</w:t>
      </w:r>
      <w:r>
        <w:rPr/>
        <w:t xml:space="preserve">, der </w:t>
      </w:r>
      <w:r>
        <w:rPr>
          <w:b/>
          <w:color w:val="808080"/>
        </w:rPr>
        <w:t>[</w:t>
      </w:r>
      <w:r>
        <w:rPr/>
        <w:t>nur</w:t>
      </w:r>
      <w:r>
        <w:rPr>
          <w:b/>
          <w:color w:val="808080"/>
        </w:rPr>
        <w:t>]</w:t>
      </w:r>
      <w:r>
        <w:rPr/>
        <w:t xml:space="preserve"> kurze Zeit sichtbar ist </w:t>
      </w:r>
      <w:r>
        <w:rPr>
          <w:color w:val="808080"/>
        </w:rPr>
        <w:t>(sichtbar wird</w:t>
      </w:r>
      <w:r>
        <w:rPr/>
        <w:t xml:space="preserve"> </w:t>
      </w:r>
      <w:r>
        <w:rPr>
          <w:rStyle w:val="Funotenanker"/>
        </w:rPr>
        <w:footnoteReference w:customMarkFollows="1" w:id="2425"/>
        <w:t>ak</w:t>
      </w:r>
      <w:r>
        <w:rPr/>
        <w:t xml:space="preserve"> </w:t>
      </w:r>
      <w:r>
        <w:rPr>
          <w:color w:val="808080"/>
        </w:rPr>
        <w:t>)</w:t>
      </w:r>
      <w:r>
        <w:rPr/>
        <w:t xml:space="preserve"> </w:t>
      </w:r>
      <w:r>
        <w:rPr>
          <w:rStyle w:val="Funotenanker"/>
        </w:rPr>
        <w:footnoteReference w:customMarkFollows="1" w:id="2426"/>
        <w:t>al</w:t>
      </w:r>
      <w:r>
        <w:rPr/>
        <w:t xml:space="preserve"> und dann </w:t>
      </w:r>
      <w:r>
        <w:rPr>
          <w:color w:val="808080"/>
        </w:rPr>
        <w:t>(danach)</w:t>
      </w:r>
      <w:r>
        <w:rPr/>
        <w:t xml:space="preserve"> verschwindet</w:t>
      </w:r>
      <w:r>
        <w:rPr>
          <w:rStyle w:val="Funotenanker"/>
        </w:rPr>
        <w:footnoteReference w:customMarkFollows="1" w:id="2427"/>
        <w:t>am</w:t>
      </w:r>
      <w:r>
        <w:rPr/>
        <w:t xml:space="preserve">.{{field-off:bible}} </w:t>
        <w:br/>
        <w:t>[[@BibleTOBIBLE:Jas 4:15]]</w:t>
      </w:r>
      <w:r>
        <w:rPr>
          <w:b/>
        </w:rPr>
        <w:t>15</w:t>
      </w:r>
      <w:r>
        <w:rPr/>
        <w:t xml:space="preserve"> {{field-on:bible}}Dagegen </w:t>
      </w:r>
      <w:r>
        <w:rPr>
          <w:color w:val="808080"/>
        </w:rPr>
        <w:t>(stattdessen)</w:t>
      </w:r>
      <w:r>
        <w:rPr/>
        <w:t xml:space="preserve"> </w:t>
      </w:r>
      <w:r>
        <w:rPr>
          <w:b/>
          <w:color w:val="808080"/>
        </w:rPr>
        <w:t>[</w:t>
      </w:r>
      <w:r>
        <w:rPr/>
        <w:t>sollt</w:t>
      </w:r>
      <w:r>
        <w:rPr>
          <w:b/>
          <w:color w:val="808080"/>
        </w:rPr>
        <w:t>]</w:t>
      </w:r>
      <w:r>
        <w:rPr/>
        <w:t xml:space="preserve"> </w:t>
      </w:r>
      <w:r>
        <w:rPr>
          <w:rStyle w:val="Funotenanker"/>
        </w:rPr>
        <w:footnoteReference w:customMarkFollows="1" w:id="2428"/>
        <w:t>an</w:t>
      </w:r>
      <w:r>
        <w:rPr/>
        <w:t xml:space="preserve"> ihr sagen: „Wenn der Herr will, dann werden wir leben und dieses oder jenes tun.“</w:t>
      </w:r>
      <w:r>
        <w:rPr>
          <w:rStyle w:val="Funotenanker"/>
        </w:rPr>
        <w:footnoteReference w:customMarkFollows="1" w:id="2429"/>
        <w:t>ao</w:t>
      </w:r>
      <w:r>
        <w:rPr/>
        <w:t xml:space="preserve"> {{field-off:bible}} </w:t>
        <w:br/>
        <w:t>[[@BibleTOBIBLE:Jas 4:16]]</w:t>
      </w:r>
      <w:r>
        <w:rPr>
          <w:b/>
        </w:rPr>
        <w:t>16</w:t>
      </w:r>
      <w:r>
        <w:rPr/>
        <w:t xml:space="preserve"> {{field-on:bible}}Nun </w:t>
      </w:r>
      <w:r>
        <w:rPr>
          <w:color w:val="808080"/>
        </w:rPr>
        <w:t>(jetzt)</w:t>
      </w:r>
      <w:r>
        <w:rPr/>
        <w:t xml:space="preserve"> aber rühmt ihr euch in</w:t>
      </w:r>
      <w:r>
        <w:rPr>
          <w:rStyle w:val="Funotenanker"/>
        </w:rPr>
        <w:footnoteReference w:customMarkFollows="1" w:id="2430"/>
        <w:t>ap</w:t>
      </w:r>
      <w:r>
        <w:rPr/>
        <w:t xml:space="preserve"> euren Prahlereien. Alles </w:t>
      </w:r>
      <w:r>
        <w:rPr>
          <w:color w:val="808080"/>
        </w:rPr>
        <w:t>(jede Art)</w:t>
      </w:r>
      <w:r>
        <w:rPr/>
        <w:t xml:space="preserve"> deartige </w:t>
      </w:r>
      <w:r>
        <w:rPr>
          <w:color w:val="808080"/>
        </w:rPr>
        <w:t>(solche)</w:t>
      </w:r>
      <w:r>
        <w:rPr/>
        <w:t xml:space="preserve"> Rühmen ist böse!{{field-off:bible}} </w:t>
        <w:br/>
        <w:t>[[@BibleTOBIBLE:Jas 4:17]]</w:t>
      </w:r>
      <w:r>
        <w:rPr>
          <w:b/>
        </w:rPr>
        <w:t>17</w:t>
      </w:r>
      <w:r>
        <w:rPr/>
        <w:t xml:space="preserve"> {{field-on:bible}}Also </w:t>
      </w:r>
      <w:r>
        <w:rPr>
          <w:color w:val="808080"/>
        </w:rPr>
        <w:t>(nun)</w:t>
      </w:r>
      <w:r>
        <w:rPr/>
        <w:t xml:space="preserve"> </w:t>
      </w:r>
      <w:r>
        <w:rPr>
          <w:rStyle w:val="Funotenanker"/>
        </w:rPr>
        <w:footnoteReference w:customMarkFollows="1" w:id="2431"/>
        <w:t>aq</w:t>
      </w:r>
      <w:r>
        <w:rPr/>
        <w:t xml:space="preserve"> ist es </w:t>
      </w:r>
      <w:r>
        <w:rPr>
          <w:b/>
          <w:color w:val="808080"/>
        </w:rPr>
        <w:t>[</w:t>
      </w:r>
      <w:r>
        <w:rPr/>
        <w:t>für den</w:t>
      </w:r>
      <w:r>
        <w:rPr>
          <w:b/>
          <w:color w:val="808080"/>
        </w:rPr>
        <w:t>]</w:t>
      </w:r>
      <w:r>
        <w:rPr/>
        <w:t xml:space="preserve">, der weiß </w:t>
      </w:r>
      <w:r>
        <w:rPr>
          <w:color w:val="808080"/>
        </w:rPr>
        <w:t>(versteht</w:t>
      </w:r>
      <w:r>
        <w:rPr/>
        <w:t xml:space="preserve"> </w:t>
      </w:r>
      <w:r>
        <w:rPr>
          <w:rStyle w:val="Funotenanker"/>
        </w:rPr>
        <w:footnoteReference w:customMarkFollows="1" w:id="2432"/>
        <w:t>ar</w:t>
      </w:r>
      <w:r>
        <w:rPr/>
        <w:t xml:space="preserve"> </w:t>
      </w:r>
      <w:r>
        <w:rPr>
          <w:color w:val="808080"/>
        </w:rPr>
        <w:t>)</w:t>
      </w:r>
      <w:r>
        <w:rPr/>
        <w:t xml:space="preserve">, </w:t>
      </w:r>
      <w:r>
        <w:rPr>
          <w:b/>
          <w:color w:val="808080"/>
        </w:rPr>
        <w:t>[</w:t>
      </w:r>
      <w:r>
        <w:rPr/>
        <w:t>was</w:t>
      </w:r>
      <w:r>
        <w:rPr>
          <w:b/>
          <w:color w:val="808080"/>
        </w:rPr>
        <w:t>]</w:t>
      </w:r>
      <w:r>
        <w:rPr/>
        <w:t xml:space="preserve"> Gutes zu tun </w:t>
      </w:r>
      <w:r>
        <w:rPr>
          <w:b/>
          <w:color w:val="808080"/>
        </w:rPr>
        <w:t>[</w:t>
      </w:r>
      <w:r>
        <w:rPr/>
        <w:t>ist</w:t>
      </w:r>
      <w:r>
        <w:rPr>
          <w:b/>
          <w:color w:val="808080"/>
        </w:rPr>
        <w:t>]</w:t>
      </w:r>
      <w:r>
        <w:rPr/>
        <w:t xml:space="preserve"> </w:t>
      </w:r>
      <w:r>
        <w:rPr>
          <w:color w:val="808080"/>
        </w:rPr>
        <w:t>(Gutes zu tun weiß)</w:t>
      </w:r>
      <w:r>
        <w:rPr/>
        <w:t xml:space="preserve"> und es nicht tut</w:t>
      </w:r>
      <w:r>
        <w:rPr>
          <w:rStyle w:val="Funotenanker"/>
        </w:rPr>
        <w:footnoteReference w:customMarkFollows="1" w:id="2433"/>
        <w:t>as</w:t>
      </w:r>
      <w:r>
        <w:rPr/>
        <w:t xml:space="preserve">, </w:t>
      </w:r>
      <w:r>
        <w:rPr>
          <w:strike/>
          <w:color w:val="808080"/>
        </w:rPr>
        <w:t>{ihm}</w:t>
      </w:r>
      <w:r>
        <w:rPr/>
        <w:t xml:space="preserve"> Sünde.{{field-off:bible}} </w:t>
      </w:r>
    </w:p>
    <w:p>
      <w:pPr>
        <w:pStyle w:val="Berschrift3"/>
        <w:rPr/>
      </w:pPr>
      <w:r>
        <w:rPr/>
        <w:t>[[@BibleTOBIBLE:Jas 5]]Kapitel 5</w:t>
      </w:r>
    </w:p>
    <w:p>
      <w:pPr>
        <w:pStyle w:val="Textkrper"/>
        <w:spacing w:before="0" w:after="283"/>
        <w:rPr/>
      </w:pPr>
      <w:r>
        <w:rPr/>
        <w:br/>
        <w:t>[[@BibleTOBIBLE:Jas 5:1]]</w:t>
      </w:r>
      <w:r>
        <w:rPr>
          <w:b/>
        </w:rPr>
        <w:t>1</w:t>
      </w:r>
      <w:r>
        <w:rPr/>
        <w:t xml:space="preserve"> {{field-on:bible}} </w:t>
      </w:r>
      <w:r>
        <w:rPr>
          <w:rStyle w:val="Funotenanker"/>
        </w:rPr>
        <w:footnoteReference w:customMarkFollows="1" w:id="2434"/>
        <w:t>Status</w:t>
      </w:r>
      <w:r>
        <w:rPr/>
        <w:t xml:space="preserve"> Wohlan nun, </w:t>
      </w:r>
      <w:r>
        <w:rPr>
          <w:b/>
          <w:color w:val="808080"/>
        </w:rPr>
        <w:t>[</w:t>
      </w:r>
      <w:r>
        <w:rPr/>
        <w:t>ihr</w:t>
      </w:r>
      <w:r>
        <w:rPr>
          <w:b/>
          <w:color w:val="808080"/>
        </w:rPr>
        <w:t>]</w:t>
      </w:r>
      <w:r>
        <w:rPr/>
        <w:t xml:space="preserve"> Reichen, weint </w:t>
      </w:r>
      <w:r>
        <w:rPr>
          <w:b/>
          <w:color w:val="808080"/>
        </w:rPr>
        <w:t>[</w:t>
      </w:r>
      <w:r>
        <w:rPr/>
        <w:t>und</w:t>
      </w:r>
      <w:r>
        <w:rPr>
          <w:b/>
          <w:color w:val="808080"/>
        </w:rPr>
        <w:t>]</w:t>
      </w:r>
      <w:r>
        <w:rPr/>
        <w:t xml:space="preserve"> heult</w:t>
      </w:r>
      <w:r>
        <w:rPr>
          <w:rStyle w:val="Funotenanker"/>
        </w:rPr>
        <w:footnoteReference w:customMarkFollows="1" w:id="2435"/>
        <w:t>a</w:t>
      </w:r>
      <w:r>
        <w:rPr/>
        <w:t xml:space="preserve"> über eure Nöte </w:t>
      </w:r>
      <w:r>
        <w:rPr>
          <w:color w:val="808080"/>
        </w:rPr>
        <w:t>(Elende, Mühsale. Alternativ: „über euren Nöten“)</w:t>
      </w:r>
      <w:r>
        <w:rPr/>
        <w:t xml:space="preserve">, die </w:t>
      </w:r>
      <w:r>
        <w:rPr>
          <w:b/>
          <w:color w:val="808080"/>
        </w:rPr>
        <w:t>[</w:t>
      </w:r>
      <w:r>
        <w:rPr/>
        <w:t>euch</w:t>
      </w:r>
      <w:r>
        <w:rPr>
          <w:b/>
          <w:color w:val="808080"/>
        </w:rPr>
        <w:t>]</w:t>
      </w:r>
      <w:r>
        <w:rPr/>
        <w:t xml:space="preserve"> bevorstehen</w:t>
      </w:r>
      <w:r>
        <w:rPr>
          <w:rStyle w:val="Funotenanker"/>
        </w:rPr>
        <w:footnoteReference w:customMarkFollows="1" w:id="2436"/>
        <w:t>b</w:t>
      </w:r>
      <w:r>
        <w:rPr/>
        <w:t xml:space="preserve">.{{field-off:bible}} </w:t>
        <w:br/>
        <w:t>[[@BibleTOBIBLE:Jas 5:2]]</w:t>
      </w:r>
      <w:r>
        <w:rPr>
          <w:b/>
        </w:rPr>
        <w:t>2</w:t>
      </w:r>
      <w:r>
        <w:rPr/>
        <w:t xml:space="preserve"> {{field-on:bible}}Euer Reichtum ist vermodert</w:t>
      </w:r>
      <w:r>
        <w:rPr>
          <w:rStyle w:val="Funotenanker"/>
        </w:rPr>
        <w:footnoteReference w:customMarkFollows="1" w:id="2437"/>
        <w:t>c</w:t>
      </w:r>
      <w:r>
        <w:rPr/>
        <w:t xml:space="preserve"> und eure Gewänder sind </w:t>
      </w:r>
      <w:r>
        <w:rPr>
          <w:b/>
          <w:color w:val="808080"/>
        </w:rPr>
        <w:t>[</w:t>
      </w:r>
      <w:r>
        <w:rPr/>
        <w:t>von</w:t>
      </w:r>
      <w:r>
        <w:rPr>
          <w:b/>
          <w:color w:val="808080"/>
        </w:rPr>
        <w:t>]</w:t>
      </w:r>
      <w:r>
        <w:rPr/>
        <w:t xml:space="preserve"> Motten zerfressen </w:t>
      </w:r>
      <w:r>
        <w:rPr>
          <w:strike/>
          <w:color w:val="808080"/>
        </w:rPr>
        <w:t>{worden}</w:t>
      </w:r>
      <w:r>
        <w:rPr/>
        <w:t xml:space="preserve"> </w:t>
      </w:r>
      <w:r>
        <w:rPr>
          <w:rStyle w:val="Funotenanker"/>
        </w:rPr>
        <w:footnoteReference w:customMarkFollows="1" w:id="2438"/>
        <w:t>d</w:t>
      </w:r>
      <w:r>
        <w:rPr/>
        <w:t xml:space="preserve">.{{field-off:bible}} </w:t>
        <w:br/>
        <w:t>[[@BibleTOBIBLE:Jas 5:3]]</w:t>
      </w:r>
      <w:r>
        <w:rPr>
          <w:b/>
        </w:rPr>
        <w:t>3</w:t>
      </w:r>
      <w:r>
        <w:rPr/>
        <w:t xml:space="preserve"> {{field-on:bible}}Euer Gold und Silber sind verrostet</w:t>
      </w:r>
      <w:r>
        <w:rPr>
          <w:rStyle w:val="Funotenanker"/>
        </w:rPr>
        <w:footnoteReference w:customMarkFollows="1" w:id="2439"/>
        <w:t>e</w:t>
      </w:r>
      <w:r>
        <w:rPr/>
        <w:t xml:space="preserve"> und ihr Rost </w:t>
      </w:r>
      <w:r>
        <w:rPr>
          <w:color w:val="808080"/>
        </w:rPr>
        <w:t>(Gift)</w:t>
      </w:r>
      <w:r>
        <w:rPr/>
        <w:t xml:space="preserve"> wird </w:t>
      </w:r>
      <w:r>
        <w:rPr>
          <w:b/>
          <w:color w:val="808080"/>
        </w:rPr>
        <w:t>[</w:t>
      </w:r>
      <w:r>
        <w:rPr/>
        <w:t>gegen</w:t>
      </w:r>
      <w:r>
        <w:rPr>
          <w:b/>
          <w:color w:val="808080"/>
        </w:rPr>
        <w:t>]</w:t>
      </w:r>
      <w:r>
        <w:rPr/>
        <w:t xml:space="preserve"> euch zum Beweis </w:t>
      </w:r>
      <w:r>
        <w:rPr>
          <w:color w:val="808080"/>
        </w:rPr>
        <w:t>(Zeugnis)</w:t>
      </w:r>
      <w:r>
        <w:rPr/>
        <w:t xml:space="preserve"> sein</w:t>
      </w:r>
      <w:r>
        <w:rPr>
          <w:rStyle w:val="Funotenanker"/>
        </w:rPr>
        <w:footnoteReference w:customMarkFollows="1" w:id="2440"/>
        <w:t>f</w:t>
      </w:r>
      <w:r>
        <w:rPr/>
        <w:t xml:space="preserve"> und euer Fleisch</w:t>
      </w:r>
      <w:r>
        <w:rPr>
          <w:rStyle w:val="Funotenanker"/>
        </w:rPr>
        <w:footnoteReference w:customMarkFollows="1" w:id="2441"/>
        <w:t>g</w:t>
      </w:r>
      <w:r>
        <w:rPr/>
        <w:t xml:space="preserve"> wie Feuer fressen. Ihr habt in den letzten Tagen </w:t>
      </w:r>
      <w:r>
        <w:rPr>
          <w:b/>
          <w:color w:val="808080"/>
        </w:rPr>
        <w:t>[</w:t>
      </w:r>
      <w:r>
        <w:rPr/>
        <w:t>Reichtümer</w:t>
      </w:r>
      <w:r>
        <w:rPr>
          <w:b/>
          <w:color w:val="808080"/>
        </w:rPr>
        <w:t>]</w:t>
      </w:r>
      <w:r>
        <w:rPr/>
        <w:t xml:space="preserve"> </w:t>
      </w:r>
      <w:r>
        <w:rPr>
          <w:rStyle w:val="Funotenanker"/>
        </w:rPr>
        <w:footnoteReference w:customMarkFollows="1" w:id="2442"/>
        <w:t>h</w:t>
      </w:r>
      <w:r>
        <w:rPr/>
        <w:t xml:space="preserve"> gesammelt.{{field-off:bible}} </w:t>
        <w:br/>
        <w:t>[[@BibleTOBIBLE:Jas 5:4]]</w:t>
      </w:r>
      <w:r>
        <w:rPr>
          <w:b/>
        </w:rPr>
        <w:t>4</w:t>
      </w:r>
      <w:r>
        <w:rPr/>
        <w:t xml:space="preserve"> {{field-on:bible}}Seht </w:t>
      </w:r>
      <w:r>
        <w:rPr>
          <w:color w:val="808080"/>
        </w:rPr>
        <w:t>(Siehe)</w:t>
      </w:r>
      <w:r>
        <w:rPr/>
        <w:t>, der Lohn der Arbeiter, die eure Felder abmähen</w:t>
      </w:r>
      <w:r>
        <w:rPr>
          <w:rStyle w:val="Funotenanker"/>
        </w:rPr>
        <w:footnoteReference w:customMarkFollows="1" w:id="2443"/>
        <w:t>i</w:t>
      </w:r>
      <w:r>
        <w:rPr/>
        <w:t xml:space="preserve">, der </w:t>
      </w:r>
      <w:r>
        <w:rPr>
          <w:b/>
          <w:color w:val="808080"/>
        </w:rPr>
        <w:t>[</w:t>
      </w:r>
      <w:r>
        <w:rPr/>
        <w:t>ihnen</w:t>
      </w:r>
      <w:r>
        <w:rPr>
          <w:b/>
          <w:color w:val="808080"/>
        </w:rPr>
        <w:t>]</w:t>
      </w:r>
      <w:r>
        <w:rPr/>
        <w:t xml:space="preserve"> von euch vorenthalten wurde</w:t>
      </w:r>
      <w:r>
        <w:rPr>
          <w:rStyle w:val="Funotenanker"/>
        </w:rPr>
        <w:footnoteReference w:customMarkFollows="1" w:id="2444"/>
        <w:t>j</w:t>
      </w:r>
      <w:r>
        <w:rPr/>
        <w:t>, schreit,</w:t>
      </w:r>
      <w:r>
        <w:rPr>
          <w:rStyle w:val="Funotenanker"/>
        </w:rPr>
        <w:footnoteReference w:customMarkFollows="1" w:id="2445"/>
        <w:t>k</w:t>
      </w:r>
      <w:r>
        <w:rPr/>
        <w:t xml:space="preserve"> und die Schreie der Erntearbeiter sind zu den Ohren </w:t>
      </w:r>
      <w:r>
        <w:rPr>
          <w:b/>
          <w:color w:val="808080"/>
        </w:rPr>
        <w:t>[</w:t>
      </w:r>
      <w:r>
        <w:rPr/>
        <w:t>des</w:t>
      </w:r>
      <w:r>
        <w:rPr>
          <w:b/>
          <w:color w:val="808080"/>
        </w:rPr>
        <w:t>]</w:t>
      </w:r>
      <w:r>
        <w:rPr/>
        <w:t xml:space="preserve"> Herrn Zebaot</w:t>
      </w:r>
      <w:r>
        <w:rPr>
          <w:rStyle w:val="Funotenanker"/>
        </w:rPr>
        <w:footnoteReference w:customMarkFollows="1" w:id="2446"/>
        <w:t>l</w:t>
      </w:r>
      <w:r>
        <w:rPr/>
        <w:t xml:space="preserve"> hingekommen.{{field-off:bible}} </w:t>
        <w:br/>
        <w:t>[[@BibleTOBIBLE:Jas 5:5]]</w:t>
      </w:r>
      <w:r>
        <w:rPr>
          <w:b/>
        </w:rPr>
        <w:t>5</w:t>
      </w:r>
      <w:r>
        <w:rPr/>
        <w:t xml:space="preserve"> {{field-on:bible}}Ihr habt geschwelgt</w:t>
      </w:r>
      <w:r>
        <w:rPr>
          <w:rStyle w:val="Funotenanker"/>
        </w:rPr>
        <w:footnoteReference w:customMarkFollows="1" w:id="2447"/>
        <w:t>m</w:t>
      </w:r>
      <w:r>
        <w:rPr/>
        <w:t xml:space="preserve"> auf der Erde und üppig gelebt</w:t>
      </w:r>
      <w:r>
        <w:rPr>
          <w:rStyle w:val="Funotenanker"/>
        </w:rPr>
        <w:footnoteReference w:customMarkFollows="1" w:id="2448"/>
        <w:t>n</w:t>
      </w:r>
      <w:r>
        <w:rPr/>
        <w:t>, ihr habt eure Herzen am</w:t>
      </w:r>
      <w:r>
        <w:rPr>
          <w:rStyle w:val="Funotenanker"/>
        </w:rPr>
        <w:footnoteReference w:customMarkFollows="1" w:id="2449"/>
        <w:t>o</w:t>
      </w:r>
      <w:r>
        <w:rPr/>
        <w:t xml:space="preserve"> Schlachttag</w:t>
      </w:r>
      <w:r>
        <w:rPr>
          <w:rStyle w:val="Funotenanker"/>
        </w:rPr>
        <w:footnoteReference w:customMarkFollows="1" w:id="2450"/>
        <w:t>p</w:t>
      </w:r>
      <w:r>
        <w:rPr/>
        <w:t xml:space="preserve"> gemästet </w:t>
      </w:r>
      <w:r>
        <w:rPr>
          <w:color w:val="808080"/>
        </w:rPr>
        <w:t>(ernährt, gefüttert)</w:t>
      </w:r>
      <w:r>
        <w:rPr/>
        <w:t xml:space="preserve">,{{field-off:bible}} </w:t>
        <w:br/>
        <w:t>[[@BibleTOBIBLE:Jas 5:6]]</w:t>
      </w:r>
      <w:r>
        <w:rPr>
          <w:b/>
        </w:rPr>
        <w:t>6</w:t>
      </w:r>
      <w:r>
        <w:rPr/>
        <w:t xml:space="preserve"> {{field-on:bible}}ihr habt den Gerechten</w:t>
      </w:r>
      <w:r>
        <w:rPr>
          <w:rStyle w:val="Funotenanker"/>
        </w:rPr>
        <w:footnoteReference w:customMarkFollows="1" w:id="2451"/>
        <w:t>q</w:t>
      </w:r>
      <w:r>
        <w:rPr/>
        <w:t xml:space="preserve"> verurteilt </w:t>
      </w:r>
      <w:r>
        <w:rPr>
          <w:b/>
          <w:color w:val="808080"/>
        </w:rPr>
        <w:t>[</w:t>
      </w:r>
      <w:r>
        <w:rPr/>
        <w:t>und</w:t>
      </w:r>
      <w:r>
        <w:rPr>
          <w:b/>
          <w:color w:val="808080"/>
        </w:rPr>
        <w:t>]</w:t>
      </w:r>
      <w:r>
        <w:rPr/>
        <w:t xml:space="preserve"> ermordet </w:t>
      </w:r>
      <w:r>
        <w:rPr>
          <w:color w:val="808080"/>
        </w:rPr>
        <w:t>(getötet)</w:t>
      </w:r>
      <w:r>
        <w:rPr/>
        <w:t>,</w:t>
      </w:r>
      <w:r>
        <w:rPr>
          <w:rStyle w:val="Funotenanker"/>
        </w:rPr>
        <w:footnoteReference w:customMarkFollows="1" w:id="2452"/>
        <w:t>r</w:t>
      </w:r>
      <w:r>
        <w:rPr/>
        <w:t xml:space="preserve"> er leistet euch keinen Widerstand.</w:t>
      </w:r>
      <w:r>
        <w:rPr>
          <w:rStyle w:val="Funotenanker"/>
        </w:rPr>
        <w:footnoteReference w:customMarkFollows="1" w:id="2453"/>
        <w:t>s</w:t>
      </w:r>
      <w:r>
        <w:rPr/>
        <w:t xml:space="preserve"> {{field-off:bible}} </w:t>
        <w:br/>
        <w:t>[[@BibleTOBIBLE:Jas 5:7]]</w:t>
      </w:r>
      <w:r>
        <w:rPr>
          <w:b/>
        </w:rPr>
        <w:t>7</w:t>
      </w:r>
      <w:r>
        <w:rPr/>
        <w:t xml:space="preserve"> {{field-on:bible}}Deshalb </w:t>
      </w:r>
      <w:r>
        <w:rPr>
          <w:color w:val="808080"/>
        </w:rPr>
        <w:t>(Nun)</w:t>
      </w:r>
      <w:r>
        <w:rPr/>
        <w:t xml:space="preserve"> wartet geduldig, Geschwister, bis zur Wiederkunft</w:t>
      </w:r>
      <w:r>
        <w:rPr>
          <w:rStyle w:val="Funotenanker"/>
        </w:rPr>
        <w:footnoteReference w:customMarkFollows="1" w:id="2454"/>
        <w:t>t</w:t>
      </w:r>
      <w:r>
        <w:rPr/>
        <w:t xml:space="preserve"> des Herrn. Seht </w:t>
      </w:r>
      <w:r>
        <w:rPr>
          <w:color w:val="808080"/>
        </w:rPr>
        <w:t>(Siehe)</w:t>
      </w:r>
      <w:r>
        <w:rPr/>
        <w:t>, der Bauer erwartet die kostbare Frucht der Erde, indem er geduldig auf sie wartet,</w:t>
      </w:r>
      <w:r>
        <w:rPr>
          <w:rStyle w:val="Funotenanker"/>
        </w:rPr>
        <w:footnoteReference w:customMarkFollows="1" w:id="2455"/>
        <w:t>u</w:t>
      </w:r>
      <w:r>
        <w:rPr/>
        <w:t xml:space="preserve"> bis sie den Früh- und den Spätregen empfangen hat.</w:t>
      </w:r>
      <w:r>
        <w:rPr>
          <w:rStyle w:val="Funotenanker"/>
        </w:rPr>
        <w:footnoteReference w:customMarkFollows="1" w:id="2456"/>
        <w:t>v</w:t>
      </w:r>
      <w:r>
        <w:rPr/>
        <w:t xml:space="preserve"> {{field-off:bible}} </w:t>
        <w:br/>
        <w:t>[[@BibleTOBIBLE:Jas 5:8]]</w:t>
      </w:r>
      <w:r>
        <w:rPr>
          <w:b/>
        </w:rPr>
        <w:t>8</w:t>
      </w:r>
      <w:r>
        <w:rPr/>
        <w:t xml:space="preserve"> {{field-on:bible}}Auch ihr, wartet geduldig, stärkt eure Herzen, weil die Wiederkunft des Herrn nahe </w:t>
      </w:r>
      <w:r>
        <w:rPr>
          <w:strike/>
          <w:color w:val="808080"/>
        </w:rPr>
        <w:t>{gekommen}</w:t>
      </w:r>
      <w:r>
        <w:rPr/>
        <w:t xml:space="preserve"> ist</w:t>
      </w:r>
      <w:r>
        <w:rPr>
          <w:rStyle w:val="Funotenanker"/>
        </w:rPr>
        <w:footnoteReference w:customMarkFollows="1" w:id="2457"/>
        <w:t>w</w:t>
      </w:r>
      <w:r>
        <w:rPr/>
        <w:t xml:space="preserve">!{{field-off:bible}} </w:t>
        <w:br/>
        <w:t>[[@BibleTOBIBLE:Jas 5:9]]</w:t>
      </w:r>
      <w:r>
        <w:rPr>
          <w:b/>
        </w:rPr>
        <w:t>9</w:t>
      </w:r>
      <w:r>
        <w:rPr/>
        <w:t xml:space="preserve"> {{field-on:bible}}Murrt nicht gegen einander,</w:t>
      </w:r>
      <w:r>
        <w:rPr>
          <w:rStyle w:val="Funotenanker"/>
        </w:rPr>
        <w:footnoteReference w:customMarkFollows="1" w:id="2458"/>
        <w:t>x</w:t>
      </w:r>
      <w:r>
        <w:rPr/>
        <w:t xml:space="preserve"> Geschwister, damit ihr nicht verurteilt werdet; seht </w:t>
      </w:r>
      <w:r>
        <w:rPr>
          <w:color w:val="808080"/>
        </w:rPr>
        <w:t>(siehe)</w:t>
      </w:r>
      <w:r>
        <w:rPr/>
        <w:t xml:space="preserve">, der Richter steht </w:t>
      </w:r>
      <w:r>
        <w:rPr>
          <w:b/>
          <w:color w:val="808080"/>
        </w:rPr>
        <w:t>[</w:t>
      </w:r>
      <w:r>
        <w:rPr/>
        <w:t>schon</w:t>
      </w:r>
      <w:r>
        <w:rPr>
          <w:b/>
          <w:color w:val="808080"/>
        </w:rPr>
        <w:t>]</w:t>
      </w:r>
      <w:r>
        <w:rPr/>
        <w:t xml:space="preserve"> vor den Türen.{{field-off:bible}} </w:t>
        <w:br/>
        <w:t>[[@BibleTOBIBLE:Jas 5:10]]</w:t>
      </w:r>
      <w:r>
        <w:rPr>
          <w:b/>
        </w:rPr>
        <w:t>10</w:t>
      </w:r>
      <w:r>
        <w:rPr/>
        <w:t xml:space="preserve"> {{field-on:bible}}Nehmt euch, Geschwister, im Leiden und im Ausharren die Propheten </w:t>
      </w:r>
      <w:r>
        <w:rPr>
          <w:b/>
          <w:color w:val="808080"/>
        </w:rPr>
        <w:t>[</w:t>
      </w:r>
      <w:r>
        <w:rPr/>
        <w:t>zum</w:t>
      </w:r>
      <w:r>
        <w:rPr>
          <w:b/>
          <w:color w:val="808080"/>
        </w:rPr>
        <w:t>]</w:t>
      </w:r>
      <w:r>
        <w:rPr/>
        <w:t xml:space="preserve"> Vorbild </w:t>
      </w:r>
      <w:r>
        <w:rPr>
          <w:color w:val="808080"/>
        </w:rPr>
        <w:t>(Beispiel)</w:t>
      </w:r>
      <w:r>
        <w:rPr/>
        <w:t xml:space="preserve">, die im Namen des Herrn sprachen.{{field-off:bible}} </w:t>
        <w:br/>
        <w:t>[[@BibleTOBIBLE:Jas 5:11]]</w:t>
      </w:r>
      <w:r>
        <w:rPr>
          <w:b/>
        </w:rPr>
        <w:t>11</w:t>
      </w:r>
      <w:r>
        <w:rPr/>
        <w:t xml:space="preserve"> {{field-on:bible}}Seht </w:t>
      </w:r>
      <w:r>
        <w:rPr>
          <w:color w:val="808080"/>
        </w:rPr>
        <w:t>(Siehe)</w:t>
      </w:r>
      <w:r>
        <w:rPr/>
        <w:t>, wir preisen jene glücklich, die durchgehalten haben</w:t>
      </w:r>
      <w:r>
        <w:rPr>
          <w:rStyle w:val="Funotenanker"/>
        </w:rPr>
        <w:footnoteReference w:customMarkFollows="1" w:id="2459"/>
        <w:t>y</w:t>
      </w:r>
      <w:r>
        <w:rPr/>
        <w:t xml:space="preserve">: Ihr habt </w:t>
      </w:r>
      <w:r>
        <w:rPr>
          <w:b/>
          <w:color w:val="808080"/>
        </w:rPr>
        <w:t>[</w:t>
      </w:r>
      <w:r>
        <w:rPr/>
        <w:t>vom</w:t>
      </w:r>
      <w:r>
        <w:rPr>
          <w:b/>
          <w:color w:val="808080"/>
        </w:rPr>
        <w:t>]</w:t>
      </w:r>
      <w:r>
        <w:rPr/>
        <w:t xml:space="preserve"> Durchhalten </w:t>
      </w:r>
      <w:r>
        <w:rPr>
          <w:color w:val="808080"/>
        </w:rPr>
        <w:t>(Ausdauer, Standhaftigkeit)</w:t>
      </w:r>
      <w:r>
        <w:rPr/>
        <w:t xml:space="preserve"> </w:t>
      </w:r>
      <w:r>
        <w:rPr>
          <w:rStyle w:val="Funotenanker"/>
        </w:rPr>
        <w:footnoteReference w:customMarkFollows="1" w:id="2460"/>
        <w:t>z</w:t>
      </w:r>
      <w:r>
        <w:rPr/>
        <w:t xml:space="preserve"> Hiobs gehört und das </w:t>
      </w:r>
      <w:r>
        <w:rPr>
          <w:b/>
          <w:color w:val="808080"/>
        </w:rPr>
        <w:t>[</w:t>
      </w:r>
      <w:r>
        <w:rPr/>
        <w:t>vom</w:t>
      </w:r>
      <w:r>
        <w:rPr>
          <w:b/>
          <w:color w:val="808080"/>
        </w:rPr>
        <w:t>]</w:t>
      </w:r>
      <w:r>
        <w:rPr/>
        <w:t xml:space="preserve"> Herrn </w:t>
      </w:r>
      <w:r>
        <w:rPr>
          <w:b/>
          <w:color w:val="808080"/>
        </w:rPr>
        <w:t>[</w:t>
      </w:r>
      <w:r>
        <w:rPr/>
        <w:t>herbeigeführte</w:t>
      </w:r>
      <w:r>
        <w:rPr>
          <w:b/>
          <w:color w:val="808080"/>
        </w:rPr>
        <w:t>]</w:t>
      </w:r>
      <w:r>
        <w:rPr/>
        <w:t xml:space="preserve"> Ende</w:t>
      </w:r>
      <w:r>
        <w:rPr>
          <w:rStyle w:val="Funotenanker"/>
        </w:rPr>
        <w:footnoteReference w:customMarkFollows="1" w:id="2461"/>
        <w:t>aa</w:t>
      </w:r>
      <w:r>
        <w:rPr/>
        <w:t xml:space="preserve"> gesehen, dass der Herr voller Erbarmen und mitleidig ist.{{field-off:bible}} </w:t>
        <w:br/>
        <w:t>[[@BibleTOBIBLE:Jas 5:12]]</w:t>
      </w:r>
      <w:r>
        <w:rPr>
          <w:b/>
        </w:rPr>
        <w:t>12</w:t>
      </w:r>
      <w:r>
        <w:rPr/>
        <w:t xml:space="preserve"> {{field-on:bible}}Vor allen </w:t>
      </w:r>
      <w:r>
        <w:rPr>
          <w:b/>
          <w:color w:val="808080"/>
        </w:rPr>
        <w:t>[</w:t>
      </w:r>
      <w:r>
        <w:rPr/>
        <w:t>Dingen</w:t>
      </w:r>
      <w:r>
        <w:rPr>
          <w:b/>
          <w:color w:val="808080"/>
        </w:rPr>
        <w:t>]</w:t>
      </w:r>
      <w:r>
        <w:rPr/>
        <w:t xml:space="preserve"> aber, meine Geschwister, schwört</w:t>
      </w:r>
      <w:r>
        <w:rPr>
          <w:rStyle w:val="Funotenanker"/>
        </w:rPr>
        <w:footnoteReference w:customMarkFollows="1" w:id="2462"/>
        <w:t>ab</w:t>
      </w:r>
      <w:r>
        <w:rPr/>
        <w:t xml:space="preserve"> weder beim Himmel, noch bei der Erde, oder bei irgendeinem anderen Eid. Vielmehr soll euer Ja ein Ja und euer Nein ein Nein sein</w:t>
      </w:r>
      <w:r>
        <w:rPr>
          <w:rStyle w:val="Funotenanker"/>
        </w:rPr>
        <w:footnoteReference w:customMarkFollows="1" w:id="2463"/>
        <w:t>ac</w:t>
      </w:r>
      <w:r>
        <w:rPr/>
        <w:t>, damit ihr nicht dem Gericht verfallt</w:t>
      </w:r>
      <w:r>
        <w:rPr>
          <w:rStyle w:val="Funotenanker"/>
        </w:rPr>
        <w:footnoteReference w:customMarkFollows="1" w:id="2464"/>
        <w:t>ad</w:t>
      </w:r>
      <w:r>
        <w:rPr/>
        <w:t xml:space="preserve">.{{field-off:bible}} </w:t>
        <w:br/>
        <w:t>[[@BibleTOBIBLE:Jas 5:13]]</w:t>
      </w:r>
      <w:r>
        <w:rPr>
          <w:b/>
        </w:rPr>
        <w:t>13</w:t>
      </w:r>
      <w:r>
        <w:rPr/>
        <w:t xml:space="preserve"> {{field-on:bible}}Erleidet einer von </w:t>
      </w:r>
      <w:r>
        <w:rPr>
          <w:color w:val="808080"/>
        </w:rPr>
        <w:t>(unter)</w:t>
      </w:r>
      <w:r>
        <w:rPr/>
        <w:t xml:space="preserve"> euch ein Unglück, soll er beten</w:t>
      </w:r>
      <w:r>
        <w:rPr>
          <w:rStyle w:val="Funotenanker"/>
        </w:rPr>
        <w:footnoteReference w:customMarkFollows="1" w:id="2465"/>
        <w:t>ae</w:t>
      </w:r>
      <w:r>
        <w:rPr/>
        <w:t>; ist einer guten Mutes, soll er Loblieder singen</w:t>
      </w:r>
      <w:r>
        <w:rPr>
          <w:rStyle w:val="Funotenanker"/>
        </w:rPr>
        <w:footnoteReference w:customMarkFollows="1" w:id="2466"/>
        <w:t>af</w:t>
      </w:r>
      <w:r>
        <w:rPr/>
        <w:t>;</w:t>
      </w:r>
      <w:r>
        <w:rPr>
          <w:rStyle w:val="Funotenanker"/>
        </w:rPr>
        <w:footnoteReference w:customMarkFollows="1" w:id="2467"/>
        <w:t>ag</w:t>
      </w:r>
      <w:r>
        <w:rPr/>
        <w:t xml:space="preserve"> {{field-off:bible}} </w:t>
        <w:br/>
        <w:t>[[@BibleTOBIBLE:Jas 5:14]]</w:t>
      </w:r>
      <w:r>
        <w:rPr>
          <w:b/>
        </w:rPr>
        <w:t>14</w:t>
      </w:r>
      <w:r>
        <w:rPr/>
        <w:t xml:space="preserve"> {{field-on:bible}}Ist einer von </w:t>
      </w:r>
      <w:r>
        <w:rPr>
          <w:color w:val="808080"/>
        </w:rPr>
        <w:t>(unter)</w:t>
      </w:r>
      <w:r>
        <w:rPr/>
        <w:t xml:space="preserve"> euch krank </w:t>
      </w:r>
      <w:r>
        <w:rPr>
          <w:color w:val="808080"/>
        </w:rPr>
        <w:t>(schwach)</w:t>
      </w:r>
      <w:r>
        <w:rPr/>
        <w:t xml:space="preserve"> </w:t>
      </w:r>
      <w:r>
        <w:rPr>
          <w:rStyle w:val="Funotenanker"/>
        </w:rPr>
        <w:footnoteReference w:customMarkFollows="1" w:id="2468"/>
        <w:t>ah</w:t>
      </w:r>
      <w:r>
        <w:rPr/>
        <w:t>, soll er die Ältesten der Gemeinde herbeirufen</w:t>
      </w:r>
      <w:r>
        <w:rPr>
          <w:rStyle w:val="Funotenanker"/>
        </w:rPr>
        <w:footnoteReference w:customMarkFollows="1" w:id="2469"/>
        <w:t>ai</w:t>
      </w:r>
      <w:r>
        <w:rPr/>
        <w:t xml:space="preserve"> und sie sollen über ihn </w:t>
      </w:r>
      <w:r>
        <w:rPr>
          <w:color w:val="808080"/>
        </w:rPr>
        <w:t>(für ihn)</w:t>
      </w:r>
      <w:r>
        <w:rPr/>
        <w:t xml:space="preserve"> beten</w:t>
      </w:r>
      <w:r>
        <w:rPr>
          <w:rStyle w:val="Funotenanker"/>
        </w:rPr>
        <w:footnoteReference w:customMarkFollows="1" w:id="2470"/>
        <w:t>aj</w:t>
      </w:r>
      <w:r>
        <w:rPr/>
        <w:t xml:space="preserve"> </w:t>
      </w:r>
      <w:r>
        <w:rPr>
          <w:b/>
          <w:color w:val="808080"/>
        </w:rPr>
        <w:t>[</w:t>
      </w:r>
      <w:r>
        <w:rPr/>
        <w:t>und</w:t>
      </w:r>
      <w:r>
        <w:rPr>
          <w:b/>
          <w:color w:val="808080"/>
        </w:rPr>
        <w:t>]</w:t>
      </w:r>
      <w:r>
        <w:rPr/>
        <w:t xml:space="preserve"> ihn </w:t>
      </w:r>
      <w:r>
        <w:rPr>
          <w:b/>
          <w:color w:val="808080"/>
        </w:rPr>
        <w:t>[</w:t>
      </w:r>
      <w:r>
        <w:rPr/>
        <w:t>mit</w:t>
      </w:r>
      <w:r>
        <w:rPr>
          <w:b/>
          <w:color w:val="808080"/>
        </w:rPr>
        <w:t>]</w:t>
      </w:r>
      <w:r>
        <w:rPr/>
        <w:t xml:space="preserve"> Öl</w:t>
      </w:r>
      <w:r>
        <w:rPr>
          <w:rStyle w:val="Funotenanker"/>
        </w:rPr>
        <w:footnoteReference w:customMarkFollows="1" w:id="2471"/>
        <w:t>ak</w:t>
      </w:r>
      <w:r>
        <w:rPr/>
        <w:t xml:space="preserve"> im Namen des Herrn salben</w:t>
      </w:r>
      <w:r>
        <w:rPr>
          <w:rStyle w:val="Funotenanker"/>
        </w:rPr>
        <w:footnoteReference w:customMarkFollows="1" w:id="2472"/>
        <w:t>al</w:t>
      </w:r>
      <w:r>
        <w:rPr/>
        <w:t xml:space="preserve">.{{field-off:bible}} </w:t>
        <w:br/>
        <w:t>[[@BibleTOBIBLE:Jas 5:15]]</w:t>
      </w:r>
      <w:r>
        <w:rPr>
          <w:b/>
        </w:rPr>
        <w:t>15</w:t>
      </w:r>
      <w:r>
        <w:rPr/>
        <w:t xml:space="preserve"> {{field-on:bible}}Und das Gebet </w:t>
      </w:r>
      <w:r>
        <w:rPr>
          <w:b/>
          <w:color w:val="808080"/>
        </w:rPr>
        <w:t>[</w:t>
      </w:r>
      <w:r>
        <w:rPr/>
        <w:t>im</w:t>
      </w:r>
      <w:r>
        <w:rPr>
          <w:b/>
          <w:color w:val="808080"/>
        </w:rPr>
        <w:t>]</w:t>
      </w:r>
      <w:r>
        <w:rPr/>
        <w:t xml:space="preserve"> </w:t>
      </w:r>
      <w:r>
        <w:rPr>
          <w:rStyle w:val="Funotenanker"/>
        </w:rPr>
        <w:footnoteReference w:customMarkFollows="1" w:id="2473"/>
        <w:t>am</w:t>
      </w:r>
      <w:r>
        <w:rPr/>
        <w:t xml:space="preserve"> Glauben wird den Kranken </w:t>
      </w:r>
      <w:r>
        <w:rPr>
          <w:color w:val="808080"/>
        </w:rPr>
        <w:t>(Ermüdeten)</w:t>
      </w:r>
      <w:r>
        <w:rPr/>
        <w:t xml:space="preserve"> retten und der Herr ihn aufrichten; und wenn er Sünden begangen hat</w:t>
      </w:r>
      <w:r>
        <w:rPr>
          <w:rStyle w:val="Funotenanker"/>
        </w:rPr>
        <w:footnoteReference w:customMarkFollows="1" w:id="2474"/>
        <w:t>an</w:t>
      </w:r>
      <w:r>
        <w:rPr/>
        <w:t>, wird ihm vergeben werden.</w:t>
      </w:r>
      <w:r>
        <w:rPr>
          <w:rStyle w:val="Funotenanker"/>
        </w:rPr>
        <w:footnoteReference w:customMarkFollows="1" w:id="2475"/>
        <w:t>ao</w:t>
      </w:r>
      <w:r>
        <w:rPr/>
        <w:t xml:space="preserve"> {{field-off:bible}} </w:t>
        <w:br/>
        <w:t>[[@BibleTOBIBLE:Jas 5:16]]</w:t>
      </w:r>
      <w:r>
        <w:rPr>
          <w:b/>
        </w:rPr>
        <w:t>16</w:t>
      </w:r>
      <w:r>
        <w:rPr/>
        <w:t xml:space="preserve"> {{field-on:bible}}Also bekennt einander </w:t>
      </w:r>
      <w:r>
        <w:rPr>
          <w:b/>
          <w:color w:val="808080"/>
        </w:rPr>
        <w:t>[</w:t>
      </w:r>
      <w:r>
        <w:rPr/>
        <w:t>eure</w:t>
      </w:r>
      <w:r>
        <w:rPr>
          <w:b/>
          <w:color w:val="808080"/>
        </w:rPr>
        <w:t>]</w:t>
      </w:r>
      <w:r>
        <w:rPr/>
        <w:t xml:space="preserve"> Sünden und betet für einander, dass </w:t>
      </w:r>
      <w:r>
        <w:rPr>
          <w:color w:val="808080"/>
        </w:rPr>
        <w:t>(damit)</w:t>
      </w:r>
      <w:r>
        <w:rPr/>
        <w:t xml:space="preserve"> ihr geheilt werdet. </w:t>
      </w:r>
      <w:r>
        <w:rPr>
          <w:b/>
          <w:color w:val="808080"/>
        </w:rPr>
        <w:t>[</w:t>
      </w:r>
      <w:r>
        <w:rPr/>
        <w:t>Das</w:t>
      </w:r>
      <w:r>
        <w:rPr>
          <w:b/>
          <w:color w:val="808080"/>
        </w:rPr>
        <w:t>]</w:t>
      </w:r>
      <w:r>
        <w:rPr/>
        <w:t xml:space="preserve"> wirksame</w:t>
      </w:r>
      <w:r>
        <w:rPr>
          <w:rStyle w:val="Funotenanker"/>
        </w:rPr>
        <w:footnoteReference w:customMarkFollows="1" w:id="2476"/>
        <w:t>ap</w:t>
      </w:r>
      <w:r>
        <w:rPr/>
        <w:t xml:space="preserve"> Gebet </w:t>
      </w:r>
      <w:r>
        <w:rPr>
          <w:color w:val="808080"/>
        </w:rPr>
        <w:t>(Bitte)</w:t>
      </w:r>
      <w:r>
        <w:rPr/>
        <w:t xml:space="preserve"> eines Gerechten vermag viel.{{field-off:bible}} </w:t>
        <w:br/>
        <w:t>[[@BibleTOBIBLE:Jas 5:17]]</w:t>
      </w:r>
      <w:r>
        <w:rPr>
          <w:b/>
        </w:rPr>
        <w:t>17</w:t>
      </w:r>
      <w:r>
        <w:rPr/>
        <w:t xml:space="preserve"> {{field-on:bible}}Elija war ein Mensch von gleicher Art </w:t>
      </w:r>
      <w:r>
        <w:rPr>
          <w:b/>
          <w:color w:val="808080"/>
        </w:rPr>
        <w:t>[</w:t>
      </w:r>
      <w:r>
        <w:rPr/>
        <w:t>wie</w:t>
      </w:r>
      <w:r>
        <w:rPr>
          <w:b/>
          <w:color w:val="808080"/>
        </w:rPr>
        <w:t>]</w:t>
      </w:r>
      <w:r>
        <w:rPr/>
        <w:t xml:space="preserve"> wir, und er betete inständig</w:t>
      </w:r>
      <w:r>
        <w:rPr>
          <w:rStyle w:val="Funotenanker"/>
        </w:rPr>
        <w:footnoteReference w:customMarkFollows="1" w:id="2477"/>
        <w:t>aq</w:t>
      </w:r>
      <w:r>
        <w:rPr/>
        <w:t>, dass es nicht regnen würde</w:t>
      </w:r>
      <w:r>
        <w:rPr>
          <w:rStyle w:val="Funotenanker"/>
        </w:rPr>
        <w:footnoteReference w:customMarkFollows="1" w:id="2478"/>
        <w:t>ar</w:t>
      </w:r>
      <w:r>
        <w:rPr/>
        <w:t xml:space="preserve">, und es regnete drei Jahre und sechs Monate nicht auf der Erde </w:t>
      </w:r>
      <w:r>
        <w:rPr>
          <w:color w:val="808080"/>
        </w:rPr>
        <w:t>(auf die Erde)</w:t>
      </w:r>
      <w:r>
        <w:rPr/>
        <w:t xml:space="preserve">;{{field-off:bible}} </w:t>
        <w:br/>
        <w:t>[[@BibleTOBIBLE:Jas 5:18]]</w:t>
      </w:r>
      <w:r>
        <w:rPr>
          <w:b/>
        </w:rPr>
        <w:t>18</w:t>
      </w:r>
      <w:r>
        <w:rPr/>
        <w:t xml:space="preserve"> {{field-on:bible}}und er betete wieder, und der Himmel ließ es regnen</w:t>
      </w:r>
      <w:r>
        <w:rPr>
          <w:rStyle w:val="Funotenanker"/>
        </w:rPr>
        <w:footnoteReference w:customMarkFollows="1" w:id="2479"/>
        <w:t>as</w:t>
      </w:r>
      <w:r>
        <w:rPr/>
        <w:t xml:space="preserve"> und die Erde brachte ihre Frucht hervor.{{field-off:bible}} </w:t>
        <w:br/>
        <w:t>[[@BibleTOBIBLE:Jas 5:19]]</w:t>
      </w:r>
      <w:r>
        <w:rPr>
          <w:b/>
        </w:rPr>
        <w:t>19</w:t>
      </w:r>
      <w:r>
        <w:rPr/>
        <w:t xml:space="preserve"> {{field-on:bible}}Meine Geschwister, wenn einer von </w:t>
      </w:r>
      <w:r>
        <w:rPr>
          <w:color w:val="808080"/>
        </w:rPr>
        <w:t>(unter)</w:t>
      </w:r>
      <w:r>
        <w:rPr/>
        <w:t xml:space="preserve"> euch von der Wahrheit abirrt </w:t>
      </w:r>
      <w:r>
        <w:rPr>
          <w:color w:val="808080"/>
        </w:rPr>
        <w:t>(in die Irre geht)</w:t>
      </w:r>
      <w:r>
        <w:rPr/>
        <w:t xml:space="preserve"> und jemand ihn </w:t>
      </w:r>
      <w:r>
        <w:rPr>
          <w:b/>
          <w:color w:val="808080"/>
        </w:rPr>
        <w:t>[</w:t>
      </w:r>
      <w:r>
        <w:rPr/>
        <w:t>wieder</w:t>
      </w:r>
      <w:r>
        <w:rPr>
          <w:b/>
          <w:color w:val="808080"/>
        </w:rPr>
        <w:t>]</w:t>
      </w:r>
      <w:r>
        <w:rPr/>
        <w:t xml:space="preserve"> auf den rechten Weg bringt,{{field-off:bible}} </w:t>
        <w:br/>
        <w:t>[[@BibleTOBIBLE:Jas 5:20]]</w:t>
      </w:r>
      <w:r>
        <w:rPr>
          <w:b/>
        </w:rPr>
        <w:t>20</w:t>
      </w:r>
      <w:r>
        <w:rPr/>
        <w:t xml:space="preserve"> {{field-on:bible}}soll er wissen</w:t>
      </w:r>
      <w:r>
        <w:rPr>
          <w:rStyle w:val="Funotenanker"/>
        </w:rPr>
        <w:footnoteReference w:customMarkFollows="1" w:id="2480"/>
        <w:t>at</w:t>
      </w:r>
      <w:r>
        <w:rPr/>
        <w:t>, dass derjenige, der einen Sünder von seinem Irrweg</w:t>
      </w:r>
      <w:r>
        <w:rPr>
          <w:rStyle w:val="Funotenanker"/>
        </w:rPr>
        <w:footnoteReference w:customMarkFollows="1" w:id="2481"/>
        <w:t>au</w:t>
      </w:r>
      <w:r>
        <w:rPr/>
        <w:t xml:space="preserve"> auf den rechten Weg zurückgeführt hat,</w:t>
      </w:r>
      <w:r>
        <w:rPr>
          <w:rStyle w:val="Funotenanker"/>
        </w:rPr>
        <w:footnoteReference w:customMarkFollows="1" w:id="2482"/>
        <w:t>av</w:t>
      </w:r>
      <w:r>
        <w:rPr/>
        <w:t xml:space="preserve"> seine Seele </w:t>
      </w:r>
      <w:r>
        <w:rPr>
          <w:color w:val="808080"/>
        </w:rPr>
        <w:t>(Leben)</w:t>
      </w:r>
      <w:r>
        <w:rPr/>
        <w:t xml:space="preserve"> vom Tod erretten und eine Menge Sünden zudecken wird.</w:t>
      </w:r>
      <w:r>
        <w:rPr>
          <w:rStyle w:val="Funotenanker"/>
        </w:rPr>
        <w:footnoteReference w:customMarkFollows="1" w:id="2483"/>
        <w:t>aw</w:t>
      </w:r>
      <w:r>
        <w:rPr/>
        <w:t xml:space="preserve"> {{field-off:bible}}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[Status: Zuverlässig]</w:t>
      </w:r>
    </w:p>
  </w:footnote>
  <w:footnote w:id="3">
    <w:p>
      <w:pPr>
        <w:pStyle w:val="Funote"/>
        <w:rPr/>
      </w:pPr>
      <w:r>
        <w:rPr/>
        <w:footnoteRef/>
        <w:tab/>
        <w:t>Dieses Waw muss im Kontext von Ex 2,25 gesehen werden.</w:t>
      </w:r>
    </w:p>
  </w:footnote>
  <w:footnote w:id="4">
    <w:p>
      <w:pPr>
        <w:pStyle w:val="Funote"/>
        <w:rPr/>
      </w:pPr>
      <w:r>
        <w:rPr/>
        <w:footnoteRef/>
        <w:tab/>
        <w:t>Kleinvieh entspricht Schafen und Ziegen (vgl. DBL Hebrew, 7366).</w:t>
      </w:r>
    </w:p>
  </w:footnote>
  <w:footnote w:id="5">
    <w:p>
      <w:pPr>
        <w:pStyle w:val="Funote"/>
        <w:rPr/>
      </w:pPr>
      <w:r>
        <w:rPr/>
        <w:footnoteRef/>
        <w:tab/>
        <w:t>Wörtlich: „war hütend/Hirte das Kleinvieh (Akk.)“. Die gewählte Übersetzung entspricht dem Konsens anderer Übersetzungen.</w:t>
      </w:r>
    </w:p>
  </w:footnote>
  <w:footnote w:id="6">
    <w:p>
      <w:pPr>
        <w:pStyle w:val="Funote"/>
        <w:rPr/>
      </w:pPr>
      <w:r>
        <w:rPr/>
        <w:footnoteRef/>
        <w:tab/>
        <w:t>Wörtlich „Flamme des Feuers“.</w:t>
      </w:r>
    </w:p>
  </w:footnote>
  <w:footnote w:id="7">
    <w:p>
      <w:pPr>
        <w:pStyle w:val="Funote"/>
        <w:rPr/>
      </w:pPr>
      <w:r>
        <w:rPr/>
        <w:footnoteRef/>
        <w:tab/>
        <w:t xml:space="preserve">Das Wort bezeichnet vermutlich einen Dornbusch, möglicherweise eine Brombeere (vgl. BDB, </w:t>
      </w:r>
      <w:r>
        <w:rPr>
          <w:rtl w:val="true"/>
          <w:lang w:bidi="he-IL"/>
        </w:rPr>
        <w:t>סְנֶה</w:t>
      </w:r>
      <w:r>
        <w:rPr/>
        <w:t>).</w:t>
      </w:r>
    </w:p>
  </w:footnote>
  <w:footnote w:id="8">
    <w:p>
      <w:pPr>
        <w:pStyle w:val="Funote"/>
        <w:rPr/>
      </w:pPr>
      <w:r>
        <w:rPr/>
        <w:footnoteRef/>
        <w:tab/>
        <w:t>Satzfolgeunterbrechende Waw-Kombination; wörtlich „und siehe, der Busch … und“. Die Partikel „siehe“ wird häufig mit „sehen“ verwendet und bleibt dann am besten unübersetzt. In diesem Kontext drückt sie konkret die Erstaunlichkeit der Handlung aus – sie ist sozusagen eine Art Ausrufezeichen.</w:t>
      </w:r>
    </w:p>
  </w:footnote>
  <w:footnote w:id="9">
    <w:p>
      <w:pPr>
        <w:pStyle w:val="Funote"/>
        <w:rPr/>
      </w:pPr>
      <w:r>
        <w:rPr/>
        <w:footnoteRef/>
        <w:tab/>
        <w:t>D.h. „lichterloh“. Im Deutschen wird die zusätzliche Information, dass Feuer in dem Busch brannte, als überflüssig empfunden.</w:t>
      </w:r>
    </w:p>
  </w:footnote>
  <w:footnote w:id="10">
    <w:p>
      <w:pPr>
        <w:pStyle w:val="Funote"/>
        <w:rPr/>
      </w:pPr>
      <w:r>
        <w:rPr/>
        <w:footnoteRef/>
        <w:tab/>
        <w:t>Ein Ptz. akt., das eine fortwährende Handlung ausdrückt.</w:t>
      </w:r>
    </w:p>
  </w:footnote>
  <w:footnote w:id="11">
    <w:p>
      <w:pPr>
        <w:pStyle w:val="Funote"/>
        <w:rPr/>
      </w:pPr>
      <w:r>
        <w:rPr/>
        <w:footnoteRef/>
        <w:tab/>
        <w:t>Der Kohortativ ist eine Selbstaufforderung.</w:t>
      </w:r>
    </w:p>
  </w:footnote>
  <w:footnote w:id="12">
    <w:p>
      <w:pPr>
        <w:pStyle w:val="Funote"/>
        <w:rPr/>
      </w:pPr>
      <w:r>
        <w:rPr/>
        <w:footnoteRef/>
        <w:tab/>
        <w:t>Zwei verbundene Kohortative, von denen der zweite den Zweck angibt.</w:t>
      </w:r>
    </w:p>
  </w:footnote>
  <w:footnote w:id="13">
    <w:p>
      <w:pPr>
        <w:pStyle w:val="Funote"/>
        <w:rPr/>
      </w:pPr>
      <w:r>
        <w:rPr/>
        <w:footnoteRef/>
        <w:tab/>
        <w:t>Duratives Ipf., das (wie das Ptz. in V. 2) ein fortwährendes Geschehen andeutet.</w:t>
      </w:r>
    </w:p>
  </w:footnote>
  <w:footnote w:id="14">
    <w:p>
      <w:pPr>
        <w:pStyle w:val="Funote"/>
        <w:rPr/>
      </w:pPr>
      <w:r>
        <w:rPr/>
        <w:footnoteRef/>
        <w:tab/>
        <w:t>Oder: »,[und herausfinden], warum der Busch nicht verbrennt!« Die gewählte Lösung ist wohl eine genauere Übersetzung des Wortbestands, weil kein Verb ergänzt werden muss.</w:t>
      </w:r>
    </w:p>
  </w:footnote>
  <w:footnote w:id="15">
    <w:p>
      <w:pPr>
        <w:pStyle w:val="Funote"/>
        <w:rPr/>
      </w:pPr>
      <w:r>
        <w:rPr/>
        <w:footnoteRef/>
        <w:tab/>
        <w:t>Also sinngemäß: »Ich höre!«</w:t>
      </w:r>
    </w:p>
  </w:footnote>
  <w:footnote w:id="16">
    <w:p>
      <w:pPr>
        <w:pStyle w:val="Funote"/>
        <w:rPr/>
      </w:pPr>
      <w:r>
        <w:rPr/>
        <w:footnoteRef/>
        <w:tab/>
        <w:t>Wörtlich »Erdboden-Heiliges/Heiligtum«.</w:t>
      </w:r>
    </w:p>
  </w:footnote>
  <w:footnote w:id="17">
    <w:p>
      <w:pPr>
        <w:pStyle w:val="Funote"/>
        <w:rPr/>
      </w:pPr>
      <w:r>
        <w:rPr/>
        <w:footnoteRef/>
        <w:tab/>
        <w:t>»Sei versichert« wurde sinngemäß ergänzt, um eine nicht übersetzbare hebräische Konstruktion wiederzugeben. Diese betont das Verb dadurch, dass davor ein Infinitivus absolutus desselben Verbs steht. Möglich wäre auch eine deutsche Wiedergabe mit »genau gesehen« oder einer intensivierten Form wie »genau beobachtet«.</w:t>
      </w:r>
    </w:p>
  </w:footnote>
  <w:footnote w:id="18">
    <w:p>
      <w:pPr>
        <w:pStyle w:val="Funote"/>
        <w:rPr/>
      </w:pPr>
      <w:r>
        <w:rPr/>
        <w:footnoteRef/>
        <w:tab/>
        <w:t>Hier heißt es im Hebräischen »ihrer« mit Bezug auf die Menschen, die das Volk bilden (Constructio ad sensum). Im Deutschen muss entsprechend aber »seiner« verwendet werden.</w:t>
      </w:r>
    </w:p>
  </w:footnote>
  <w:footnote w:id="19">
    <w:p>
      <w:pPr>
        <w:pStyle w:val="Funote"/>
        <w:rPr/>
      </w:pPr>
      <w:r>
        <w:rPr/>
        <w:footnoteRef/>
        <w:tab/>
        <w:t>Perfekt, das mit einem »Verb der Beziehung« (»wissen«) präsentisch gebraucht wird.</w:t>
      </w:r>
    </w:p>
  </w:footnote>
  <w:footnote w:id="20">
    <w:p>
      <w:pPr>
        <w:pStyle w:val="Funote"/>
        <w:rPr/>
      </w:pPr>
      <w:r>
        <w:rPr/>
        <w:footnoteRef/>
        <w:tab/>
        <w:t>Oder, etwas freier: »in dem Milch und Honig fließen.«</w:t>
      </w:r>
    </w:p>
  </w:footnote>
  <w:footnote w:id="21">
    <w:p>
      <w:pPr>
        <w:pStyle w:val="Funote"/>
        <w:rPr/>
      </w:pPr>
      <w:r>
        <w:rPr/>
        <w:footnoteRef/>
        <w:tab/>
        <w:t>»fließen« ist ein Partizip, das das Land beschreibt, ohne grammatisch anders als durch die nachgeordnete Stellung damit verbunden zu sein. Dass sein Subjekt nicht die beiden Attribute, sondern das Land ist, lässt sich an seinem Geschlecht festmachen. Gesenius nennt die beiden Attribute »Milch« und »Honig« epexegetische Genitive, weil sie die Qualität des Landes erklären (vgl. NET Ex 3,8 Fußnote 30). Das »Land, in dem Milch und Honig fließen« ist im Deutschen eine geflügelte Wendung geworden. Es handelt sich um eine Übertreibung, die die große Fruchtbarkeit des Landes beschreiben soll. Obgleich Palästina weit weniger fruchtbar ist als etwa Mitteleuropa, war es für die Israeliten im Vergleich zu Ägypten und der sinaitischen Wüste ein sehr ersehnlicher Ort.</w:t>
      </w:r>
    </w:p>
  </w:footnote>
  <w:footnote w:id="22">
    <w:p>
      <w:pPr>
        <w:pStyle w:val="Funote"/>
        <w:rPr/>
      </w:pPr>
      <w:r>
        <w:rPr/>
        <w:footnoteRef/>
        <w:tab/>
        <w:t>Die nur sinngemäß übersetzbare Partikel »siehe« wirkt als Verstärkung der gemachten Aussage. Hier wurde sie in den Kontext eingearbeitet, indem der Kontrast am Satzanfang besonders stark ausgedrückt wurde.</w:t>
      </w:r>
    </w:p>
  </w:footnote>
  <w:footnote w:id="23">
    <w:p>
      <w:pPr>
        <w:pStyle w:val="Funote"/>
        <w:rPr/>
      </w:pPr>
      <w:r>
        <w:rPr/>
        <w:footnoteRef/>
        <w:tab/>
        <w:t>Constructio ad sensum: Das hier verwendete Partizip steht im Plural, weil es sich auf Ägypten als Metapher für die Ägypter bezieht.</w:t>
      </w:r>
    </w:p>
  </w:footnote>
  <w:footnote w:id="24">
    <w:p>
      <w:pPr>
        <w:pStyle w:val="Funote"/>
        <w:rPr/>
      </w:pPr>
      <w:r>
        <w:rPr/>
        <w:footnoteRef/>
        <w:tab/>
        <w:t>Das hier verwendete Stilmittel ist typisch Hebräisch: mit Unterdrückung wird unterdrückt. Freier: »auf welche Weise Ägypten/die Ägypter...«, »wie grausam (GNB)/schwer (LBBH) Ägypten/die Ägypter«</w:t>
      </w:r>
    </w:p>
  </w:footnote>
  <w:footnote w:id="25">
    <w:p>
      <w:pPr>
        <w:pStyle w:val="Funote"/>
        <w:rPr/>
      </w:pPr>
      <w:r>
        <w:rPr/>
        <w:footnoteRef/>
        <w:tab/>
        <w:t>Emphatischer Imperativ (LBBH).</w:t>
      </w:r>
    </w:p>
  </w:footnote>
  <w:footnote w:id="26">
    <w:p>
      <w:pPr>
        <w:pStyle w:val="Funote"/>
        <w:rPr/>
      </w:pPr>
      <w:r>
        <w:rPr/>
        <w:footnoteRef/>
        <w:tab/>
        <w:t>Oder: »und führe hinaus« (Ipv.). Bei der Konstellation Ipv. + Waw + Ipv. gibt der letzte Ipv. in der Regel Ziel oder Zweck an.</w:t>
      </w:r>
    </w:p>
  </w:footnote>
  <w:footnote w:id="27">
    <w:p>
      <w:pPr>
        <w:pStyle w:val="Funote"/>
        <w:rPr/>
      </w:pPr>
      <w:r>
        <w:rPr/>
        <w:footnoteRef/>
        <w:tab/>
        <w:t>Beide Ipf.</w:t>
      </w:r>
    </w:p>
  </w:footnote>
  <w:footnote w:id="28">
    <w:p>
      <w:pPr>
        <w:pStyle w:val="Funote"/>
        <w:rPr/>
      </w:pPr>
      <w:r>
        <w:rPr/>
        <w:footnoteRef/>
        <w:tab/>
        <w:t xml:space="preserve">An dieser Stelle steht der Partikel </w:t>
      </w:r>
      <w:r>
        <w:rPr>
          <w:rtl w:val="true"/>
          <w:lang w:bidi="he-IL"/>
        </w:rPr>
        <w:t>כּֽי</w:t>
      </w:r>
      <w:r>
        <w:rPr/>
        <w:t xml:space="preserve"> </w:t>
      </w:r>
      <w:r>
        <w:rPr/>
        <w:t>der in diesem Fall als Einleitung zur wörtlichen Rede dient und somit unübersetzt bleibt.</w:t>
      </w:r>
    </w:p>
  </w:footnote>
  <w:footnote w:id="29">
    <w:p>
      <w:pPr>
        <w:pStyle w:val="Funote"/>
        <w:rPr/>
      </w:pPr>
      <w:r>
        <w:rPr/>
        <w:footnoteRef/>
        <w:tab/>
        <w:t>Sowohl eine gegenwärtige als auch eine zukünftige Deutung sind möglich, weil das Verb statisch ist.</w:t>
      </w:r>
    </w:p>
  </w:footnote>
  <w:footnote w:id="30">
    <w:p>
      <w:pPr>
        <w:pStyle w:val="Funote"/>
        <w:rPr/>
      </w:pPr>
      <w:r>
        <w:rPr/>
        <w:footnoteRef/>
        <w:tab/>
        <w:t>Wörtlich » für dich das«.</w:t>
      </w:r>
    </w:p>
  </w:footnote>
  <w:footnote w:id="31">
    <w:p>
      <w:pPr>
        <w:pStyle w:val="Funote"/>
        <w:rPr/>
      </w:pPr>
      <w:r>
        <w:rPr/>
        <w:footnoteRef/>
        <w:tab/>
        <w:t xml:space="preserve">Inf. cs. mit </w:t>
      </w:r>
      <w:r>
        <w:rPr>
          <w:rtl w:val="true"/>
          <w:lang w:bidi="he-IL"/>
        </w:rPr>
        <w:t>בְּ</w:t>
      </w:r>
      <w:r>
        <w:rPr/>
        <w:t>.</w:t>
      </w:r>
    </w:p>
  </w:footnote>
  <w:footnote w:id="32">
    <w:p>
      <w:pPr>
        <w:pStyle w:val="Funote"/>
        <w:rPr/>
      </w:pPr>
      <w:r>
        <w:rPr/>
        <w:footnoteRef/>
        <w:tab/>
        <w:t>Wörtlich: »Siehe, ich komme... und...«</w:t>
      </w:r>
    </w:p>
  </w:footnote>
  <w:footnote w:id="33">
    <w:p>
      <w:pPr>
        <w:pStyle w:val="Funote"/>
        <w:rPr/>
      </w:pPr>
      <w:r>
        <w:rPr/>
        <w:footnoteRef/>
        <w:tab/>
        <w:t>Ipf.</w:t>
      </w:r>
    </w:p>
  </w:footnote>
  <w:footnote w:id="34">
    <w:p>
      <w:pPr>
        <w:pStyle w:val="Funote"/>
        <w:rPr/>
      </w:pPr>
      <w:r>
        <w:rPr/>
        <w:footnoteRef/>
        <w:tab/>
        <w:t>Die Praeformativkonjugation (»Imperfekt«) kann auch futurisch übersetzt werden: »Ich werde sein, der ich sein werde.« Außerdem hat die PK auch modalen Charakter, sodass ohne weiteres eine Verbalgruppe mit einem Modalverb gebildet werden kann: z.B. »Ich kann sein, der ich sein kann.« Ohne einen temporal-deiktischen Aspekt ist darüber hinaus auch eine Zeitstufe der Vergangenheit möglich: Bsp. »Ich war, der ich war«; »Ich war, der ich bin«; etc.</w:t>
      </w:r>
    </w:p>
  </w:footnote>
  <w:footnote w:id="35">
    <w:p>
      <w:pPr>
        <w:pStyle w:val="Funote"/>
        <w:rPr/>
      </w:pPr>
      <w:r>
        <w:rPr/>
        <w:footnoteRef/>
        <w:tab/>
        <w:t>Im Hebräischen steht hier nicht Name (</w:t>
      </w:r>
      <w:r>
        <w:rPr>
          <w:rtl w:val="true"/>
          <w:lang w:bidi="he-IL"/>
        </w:rPr>
        <w:t>שֵׁמ</w:t>
      </w:r>
      <w:r>
        <w:rPr/>
        <w:t xml:space="preserve">), sondern </w:t>
      </w:r>
      <w:r>
        <w:rPr>
          <w:rtl w:val="true"/>
          <w:lang w:bidi="he-IL"/>
        </w:rPr>
        <w:t>זֵכֶר</w:t>
      </w:r>
      <w:r>
        <w:rPr/>
        <w:t xml:space="preserve"> </w:t>
      </w:r>
      <w:r>
        <w:rPr/>
        <w:t>(sechär), was als »Name« gedeutet werden kann. Es kann auch mit »Gedenken« oder »Erinnerung« übersetzt werden.</w:t>
      </w:r>
    </w:p>
  </w:footnote>
  <w:footnote w:id="36">
    <w:p>
      <w:pPr>
        <w:pStyle w:val="Funote"/>
        <w:rPr/>
      </w:pPr>
      <w:r>
        <w:rPr/>
        <w:footnoteRef/>
        <w:tab/>
        <w:t>Hier steht eine AKwaw-From. In der direkten Rede macht sie Aussagen über die sichere Zukunft. Nach einem Imperativ ist sie als bindender Direktiv zu verstehen. Dasselbe gilt beim nächsten Verb.</w:t>
      </w:r>
    </w:p>
  </w:footnote>
  <w:footnote w:id="37">
    <w:p>
      <w:pPr>
        <w:pStyle w:val="Funote"/>
        <w:rPr/>
      </w:pPr>
      <w:r>
        <w:rPr/>
        <w:footnoteRef/>
        <w:tab/>
        <w:t xml:space="preserve">Das Nifal von </w:t>
      </w:r>
      <w:r>
        <w:rPr>
          <w:rtl w:val="true"/>
          <w:lang w:bidi="he-IL"/>
        </w:rPr>
        <w:t>ראה</w:t>
      </w:r>
      <w:r>
        <w:rPr/>
        <w:t xml:space="preserve"> </w:t>
      </w:r>
      <w:r>
        <w:rPr/>
        <w:t>kann als Passiv übersetzt werden.</w:t>
      </w:r>
    </w:p>
  </w:footnote>
  <w:footnote w:id="38">
    <w:p>
      <w:pPr>
        <w:pStyle w:val="Funote"/>
        <w:rPr/>
      </w:pPr>
      <w:r>
        <w:rPr/>
        <w:footnoteRef/>
        <w:tab/>
        <w:t>Die LXX bezeugt »der Gott Abrahams, der Gott Isaaks und der Gott Abrahams«.</w:t>
      </w:r>
    </w:p>
  </w:footnote>
  <w:footnote w:id="39">
    <w:p>
      <w:pPr>
        <w:pStyle w:val="Funote"/>
        <w:rPr/>
      </w:pPr>
      <w:r>
        <w:rPr/>
        <w:footnoteRef/>
        <w:tab/>
        <w:t>»genau« wurde sinngemäß ergänzt, um eine nicht übersetzbare hebräische Konstruktion wiederzugeben. Diese betont den Inhalt des Verbs dadurch, dass davor ein Infinitivus absolutus desselben Verbs steht. Denkbar wäre auch eine Wiedergabe des Inf. abs. als »Ich versichere euch« o.ä.</w:t>
      </w:r>
    </w:p>
  </w:footnote>
  <w:footnote w:id="40">
    <w:p>
      <w:pPr>
        <w:pStyle w:val="Funote"/>
        <w:rPr/>
      </w:pPr>
      <w:r>
        <w:rPr/>
        <w:footnoteRef/>
        <w:tab/>
        <w:t xml:space="preserve">Das Wort </w:t>
      </w:r>
      <w:r>
        <w:rPr>
          <w:rtl w:val="true"/>
          <w:lang w:bidi="he-IL"/>
        </w:rPr>
        <w:t>פקד</w:t>
      </w:r>
      <w:r>
        <w:rPr/>
        <w:t xml:space="preserve"> </w:t>
      </w:r>
      <w:r>
        <w:rPr/>
        <w:t>bedeutet ursprünglich wohl »aufsuchen« (NET Ex 3:16 Fußnote 55). Hier könnte es als »achten auf« (EU, Menge u.a.), »sich annehmen« (Luther), »versorgen« oder »eingreifen« übersetzt werden. Offenbar bezeichnet es in Bezug auf Gott mehr als einen »Besuch«, es beschreibt, wie Gott sich dem Menschen zuwendet, eingreift und sein Leben verändert. Dasselbe Wort in derselben Konstruktion kommt in 1Mose 50,24 vor, als Josef prophezeit, dass Gott eingreifen und das Volk wieder in das versprochene Land führen wird. Insofern ist diese Stelle wohl die gedachte Erfüllung von Josefs Weissagung (NET Ex 3:16 Fußnote 55).</w:t>
      </w:r>
    </w:p>
  </w:footnote>
  <w:footnote w:id="41">
    <w:p>
      <w:pPr>
        <w:pStyle w:val="Funote"/>
        <w:rPr/>
      </w:pPr>
      <w:r>
        <w:rPr/>
        <w:footnoteRef/>
        <w:tab/>
        <w:t>Der textus graecus originalis bezeugt hier die 3.Sg: »Da dachte/sagte er«.</w:t>
      </w:r>
    </w:p>
  </w:footnote>
  <w:footnote w:id="42">
    <w:p>
      <w:pPr>
        <w:pStyle w:val="Funote"/>
        <w:rPr/>
      </w:pPr>
      <w:r>
        <w:rPr/>
        <w:footnoteRef/>
        <w:tab/>
        <w:t>Siehe Fußnoten V. 8.</w:t>
      </w:r>
    </w:p>
  </w:footnote>
  <w:footnote w:id="43">
    <w:p>
      <w:pPr>
        <w:pStyle w:val="Funote"/>
        <w:rPr/>
      </w:pPr>
      <w:r>
        <w:rPr/>
        <w:footnoteRef/>
        <w:tab/>
        <w:t>Die LXX bezeugt hier die 2.Sg. mas.</w:t>
      </w:r>
    </w:p>
  </w:footnote>
  <w:footnote w:id="44">
    <w:p>
      <w:pPr>
        <w:pStyle w:val="Funote"/>
        <w:rPr/>
      </w:pPr>
      <w:r>
        <w:rPr/>
        <w:footnoteRef/>
        <w:tab/>
        <w:t>Der Kohortativ lässt beide Möglichkeiten zu.</w:t>
      </w:r>
    </w:p>
  </w:footnote>
  <w:footnote w:id="45">
    <w:p>
      <w:pPr>
        <w:pStyle w:val="Funote"/>
        <w:rPr/>
      </w:pPr>
      <w:r>
        <w:rPr/>
        <w:footnoteRef/>
        <w:tab/>
        <w:t>Wörtlich: »eine Reise/Weg [von] drei Tagen«</w:t>
      </w:r>
    </w:p>
  </w:footnote>
  <w:footnote w:id="46">
    <w:p>
      <w:pPr>
        <w:pStyle w:val="Funote"/>
        <w:rPr/>
      </w:pPr>
      <w:r>
        <w:rPr/>
        <w:footnoteRef/>
        <w:tab/>
        <w:t>D.h. »wenn er nicht gezwungen wird« oder »auch nicht, wenn er gezwungen wird«. LXX: »außer«. Eine genauere Behandlung in NET Ex 3:19 Fußnote 65.</w:t>
      </w:r>
    </w:p>
  </w:footnote>
  <w:footnote w:id="47">
    <w:p>
      <w:pPr>
        <w:pStyle w:val="Funote"/>
        <w:rPr/>
      </w:pPr>
      <w:r>
        <w:rPr/>
        <w:footnoteRef/>
        <w:tab/>
        <w:t>D.h. »ich werde dafür sorgen, dass die Ägypter euch gesonnen sind«.</w:t>
      </w:r>
    </w:p>
  </w:footnote>
  <w:footnote w:id="48">
    <w:p>
      <w:pPr>
        <w:pStyle w:val="Funote"/>
        <w:rPr/>
      </w:pPr>
      <w:r>
        <w:rPr/>
        <w:footnoteRef/>
        <w:tab/>
        <w:t>Wörtlich »leer«.</w:t>
      </w:r>
    </w:p>
  </w:footnote>
  <w:footnote w:id="49">
    <w:p>
      <w:pPr>
        <w:pStyle w:val="Funote"/>
        <w:rPr/>
      </w:pPr>
      <w:r>
        <w:rPr/>
        <w:footnoteRef/>
        <w:tab/>
        <w:t>Ipf.</w:t>
      </w:r>
    </w:p>
  </w:footnote>
  <w:footnote w:id="50">
    <w:p>
      <w:pPr>
        <w:pStyle w:val="Funote"/>
        <w:rPr/>
      </w:pPr>
      <w:r>
        <w:rPr/>
        <w:footnoteRef/>
        <w:tab/>
        <w:t>[Status: Zuverlässig]</w:t>
      </w:r>
    </w:p>
  </w:footnote>
  <w:footnote w:id="51">
    <w:p>
      <w:pPr>
        <w:pStyle w:val="Funote"/>
        <w:rPr/>
      </w:pPr>
      <w:r>
        <w:rPr/>
        <w:footnoteRef/>
        <w:tab/>
        <w:t xml:space="preserve">Prädikat und Vergleichsobjekt (Sg., im Deutschen ist ein Pl. notwendig) haben dieselbe Wurzel </w:t>
      </w:r>
      <w:r>
        <w:rPr>
          <w:rtl w:val="true"/>
          <w:lang w:bidi="he-IL"/>
        </w:rPr>
        <w:t>עשׂה</w:t>
      </w:r>
      <w:r>
        <w:rPr/>
        <w:t>, die Konstruktion entspricht also etwa „tut nicht die Taten“. Im Deutschen ist diese Dopplung redundant, deshalb ist das Objekt ausgeklammert. Analog in der zweiten Vershälfte.</w:t>
      </w:r>
    </w:p>
  </w:footnote>
  <w:footnote w:id="52">
    <w:p>
      <w:pPr>
        <w:pStyle w:val="Funote"/>
        <w:rPr/>
      </w:pPr>
      <w:r>
        <w:rPr/>
        <w:footnoteRef/>
        <w:tab/>
        <w:t>Ägypten und Kanaan stehen hier metonym als toto pro pars; die gesamte Einheit (das ganze Land) wird also stellvertretend für einen Teil (die Bewohner) genannt. „[die Bewohner]“ wurde deshalb ergänzt.</w:t>
      </w:r>
    </w:p>
  </w:footnote>
  <w:footnote w:id="53">
    <w:p>
      <w:pPr>
        <w:pStyle w:val="Funote"/>
        <w:rPr/>
      </w:pPr>
      <w:r>
        <w:rPr/>
        <w:footnoteRef/>
        <w:tab/>
        <w:t>Partizip. Oder: „in das ich euch führen werde“, dann als Gegensatz zum vormaligen Leben in Ägypten gedeutet (vgl. NET).</w:t>
      </w:r>
    </w:p>
  </w:footnote>
  <w:footnote w:id="54">
    <w:p>
      <w:pPr>
        <w:pStyle w:val="Funote"/>
        <w:rPr/>
      </w:pPr>
      <w:r>
        <w:rPr/>
        <w:footnoteRef/>
        <w:tab/>
        <w:t>Wörtlich „gehen in“, sinngemäß jedoch eher „leben gemäß“; bezeichnet die Lebensführung (Sprinkle 2008, 24).</w:t>
      </w:r>
    </w:p>
  </w:footnote>
  <w:footnote w:id="55">
    <w:p>
      <w:pPr>
        <w:pStyle w:val="Funote"/>
        <w:rPr/>
      </w:pPr>
      <w:r>
        <w:rPr/>
        <w:footnoteRef/>
        <w:tab/>
        <w:t>Meine Verordnungen Die Hervorhebung ergibt sich aus der Wortstellung. Hier bildet nicht wie sonst das Prädikat den Satzanfang, sondern das Objekt (Milgrom 2000, 1521).</w:t>
      </w:r>
    </w:p>
  </w:footnote>
  <w:footnote w:id="56">
    <w:p>
      <w:pPr>
        <w:pStyle w:val="Funote"/>
        <w:rPr/>
      </w:pPr>
      <w:r>
        <w:rPr/>
        <w:footnoteRef/>
        <w:tab/>
        <w:t>tun (handeln) Es handelt sich um dasselbe Wort, das in V. 3 mit „handeln“ übersetzt wurde.</w:t>
      </w:r>
    </w:p>
  </w:footnote>
  <w:footnote w:id="57">
    <w:p>
      <w:pPr>
        <w:pStyle w:val="Funote"/>
        <w:rPr/>
      </w:pPr>
      <w:r>
        <w:rPr/>
        <w:footnoteRef/>
        <w:tab/>
        <w:t>Es handelt sich um dasselbe Wort wie in V. 3 „Bräuche“, nur dass hier (im Paar mit „Gesetzen“) eine andere Konnotation vorhanden ist; es geht um Vorschriften und nicht nur Gepflogenheiten.</w:t>
      </w:r>
    </w:p>
  </w:footnote>
  <w:footnote w:id="58">
    <w:p>
      <w:pPr>
        <w:pStyle w:val="Funote"/>
        <w:rPr/>
      </w:pPr>
      <w:r>
        <w:rPr/>
        <w:footnoteRef/>
        <w:tab/>
        <w:t xml:space="preserve">indem ihr nach ihnen lebt </w:t>
      </w:r>
      <w:r>
        <w:rPr>
          <w:rtl w:val="true"/>
          <w:lang w:bidi="he-IL"/>
        </w:rPr>
        <w:t>לְ־</w:t>
      </w:r>
      <w:r>
        <w:rPr/>
        <w:t xml:space="preserve"> </w:t>
      </w:r>
      <w:r>
        <w:rPr/>
        <w:t xml:space="preserve">wird hier modal gedeutet (vgl. HCSB und van der Merwe, A Biblical Hebrew Reference Grammar, §20.1, 2(v)) und als indem übersetzt. Oder: „...und ihr sollt darauf achten, meinen Vorschriften zu folgen“. </w:t>
      </w:r>
      <w:r>
        <w:rPr>
          <w:rtl w:val="true"/>
          <w:lang w:bidi="he-IL"/>
        </w:rPr>
        <w:t>לְ־</w:t>
      </w:r>
      <w:r>
        <w:rPr/>
        <w:t xml:space="preserve"> </w:t>
      </w:r>
      <w:r>
        <w:rPr/>
        <w:t>dann (gemäß ders., §20.1, 2(ii)) als unübersetzte Nebensatzeinleitung.</w:t>
      </w:r>
    </w:p>
  </w:footnote>
  <w:footnote w:id="59">
    <w:p>
      <w:pPr>
        <w:pStyle w:val="Funote"/>
        <w:rPr/>
      </w:pPr>
      <w:r>
        <w:rPr/>
        <w:footnoteRef/>
        <w:tab/>
        <w:t>Oder: „Wenn jemand sie tut, wird er leben“ bzw. „die ein Mensch tut, damit er lebt“. Wörtlich: „denn/die ein Mensch (</w:t>
      </w:r>
      <w:r>
        <w:rPr>
          <w:rtl w:val="true"/>
          <w:lang w:bidi="he-IL"/>
        </w:rPr>
        <w:t>הָאָדָם</w:t>
      </w:r>
      <w:r>
        <w:rPr/>
        <w:t xml:space="preserve">) wird sie tun und wird durch sie (in ihnen) leben“. </w:t>
      </w:r>
      <w:r>
        <w:rPr>
          <w:rtl w:val="true"/>
          <w:lang w:bidi="he-IL"/>
        </w:rPr>
        <w:t>אֲשֶׁר</w:t>
      </w:r>
      <w:r>
        <w:rPr/>
        <w:t xml:space="preserve"> „</w:t>
      </w:r>
      <w:r>
        <w:rPr/>
        <w:t>denn“/„von denen gilt“ ist entweder Relativpronomen oder kausale Konjunktion, syntaktisch ist beides möglich. „und“ ist hier konsekutiv oder final; die Auflösung der Satzreihe zu Qualifikation→Folge entspricht also ebenfalls dem ursprünglichen Sinn. Der Wechsel in die dritte Person hat wohl den Grund, dass dieses Prinzip nicht nur für das angesprochene Israel gilt, sondern auch für im Land lebende Fremde, die sich ebenfalls an die im Folgenden gelisteten Gebote halten müssen (vgl. V. 26; Milgrom 2000, 1522).</w:t>
      </w:r>
    </w:p>
  </w:footnote>
  <w:footnote w:id="60">
    <w:p>
      <w:pPr>
        <w:pStyle w:val="Funote"/>
        <w:rPr/>
      </w:pPr>
      <w:r>
        <w:rPr/>
        <w:footnoteRef/>
        <w:tab/>
        <w:t xml:space="preserve">wird durch sie (nach/in ihnen) leben Dieser Satz hat eine weit reichende Wirkungsgeschichte im AT, in der jüdischen Auslegung und im NT entfaltet. Was bedeutet „leben“? Geht es um diesseitiges oder jenseitiges Leben oder nur um die Lebensqualität? Und geht es um Leben durch Einhaltung der Gebote, oder in ihrem Schutz o.ä.? Unter dem Einfluss des Exils wurde er neu aufgegriffen (Ez 20,11, Neh 9,29) und als Beleg für Israels Versagen gegenüber ihrem Bundesversprechen. Viele Rabbinen benutzten den Vers als Beleg für die grundsätzlich lebensschützende Funktion der Tora, andere hingegen als Hinweis auf ewiges Leben. Besonders kompliziert ist Paulus' Verwendung von Lev 18,5 (Röm 10,8, Gal 3,12). Ab dem späten 20. Jh. spielte er in der Diskussion um die neue Paulusperspektive eine nicht unwichtige Rolle. Die vorherrschenden Interpretationen lauten grob wie folgt: Milgrom hält </w:t>
      </w:r>
      <w:r>
        <w:rPr>
          <w:rtl w:val="true"/>
          <w:lang w:bidi="he-IL"/>
        </w:rPr>
        <w:t>בָּהֶ֑ם</w:t>
      </w:r>
      <w:r>
        <w:rPr/>
        <w:t xml:space="preserve"> </w:t>
      </w:r>
      <w:r>
        <w:rPr/>
        <w:t xml:space="preserve">(„in ihnen/durch sie“) für instrumental und bezieht „leben“ auf eine den Geboten inne wohnende Kraft zum Leben im Diesseits (Milgrom 2000, 1522). Vertreter der NPP (Sanders, Dunn) interpretieren </w:t>
      </w:r>
      <w:r>
        <w:rPr>
          <w:rtl w:val="true"/>
          <w:lang w:bidi="he-IL"/>
        </w:rPr>
        <w:t>בָּהֶ֑ם</w:t>
      </w:r>
      <w:r>
        <w:rPr/>
        <w:t xml:space="preserve"> </w:t>
      </w:r>
      <w:r>
        <w:rPr/>
        <w:t>lokal; für sie geht es um ein gesegnetes Leben innerhalb des Bundes. Die Mehrheit der Ausleger versteht die Stelle als gehorsamsbedingte Verheißung eines Lebens unter dem Bundessegen im verheißenen Land (Wenham, Sprinkle, Gathercole u.a.).</w:t>
      </w:r>
    </w:p>
  </w:footnote>
  <w:footnote w:id="61">
    <w:p>
      <w:pPr>
        <w:pStyle w:val="Funote"/>
        <w:rPr/>
      </w:pPr>
      <w:r>
        <w:rPr/>
        <w:footnoteRef/>
        <w:tab/>
        <w:t>Der Befehl, sich nicht zu verunreinigen, steht im reflexiven Hitpael. Die Begründung steht im Niphal derselben Wurzel, hier als Passiv übersetzt („sie wurden unrein“). Impliziert ist im Niphal die eigene Verantwortung der Völker (es ließe sich analog zum erwähnten Hitpael auch reflexiv übersetzen), die auch im für die Verunreinigung angeführten Grund zum Ausdruck kommt. V. 25 beginnt dagegen mit einem resultativ gemeinten Wayyiqtol im Qal – das Land war oder wurde also aufgrund der Verunreinigung der Bewohner unrein.</w:t>
      </w:r>
    </w:p>
  </w:footnote>
  <w:footnote w:id="62">
    <w:p>
      <w:pPr>
        <w:pStyle w:val="Funote"/>
        <w:rPr/>
      </w:pPr>
      <w:r>
        <w:rPr/>
        <w:footnoteRef/>
        <w:tab/>
        <w:t>Prädikatives Partizip.</w:t>
      </w:r>
    </w:p>
  </w:footnote>
  <w:footnote w:id="63">
    <w:p>
      <w:pPr>
        <w:pStyle w:val="Funote"/>
        <w:rPr/>
      </w:pPr>
      <w:r>
        <w:rPr/>
        <w:footnoteRef/>
        <w:tab/>
        <w:t>Mit einer konsekutiven Satzverknüpfung zeigt V. 25 an, dass die Unreinheit der Bewohner zur Unreinheit des Landes und zu Gottes Bestrafung führte.</w:t>
      </w:r>
    </w:p>
  </w:footnote>
  <w:footnote w:id="64">
    <w:p>
      <w:pPr>
        <w:pStyle w:val="Funote"/>
        <w:rPr/>
      </w:pPr>
      <w:r>
        <w:rPr/>
        <w:footnoteRef/>
        <w:tab/>
        <w:t>Der Satz ist eine Fortsetzung von V. 26 und beginnt auf Hebräisch mit „und nicht“. Zusammen mit der wieder aufgenommenen direkten Anrede wird klar, dass V. 28 als Konsequenz des Nichtbefolgens von V. 26 gemeint ist. Zür versucht eine Überleitung ohne sinngemäße Ergänzung: „Dann muss euch...“</w:t>
      </w:r>
    </w:p>
  </w:footnote>
  <w:footnote w:id="65">
    <w:p>
      <w:pPr>
        <w:pStyle w:val="Funote"/>
        <w:rPr/>
      </w:pPr>
      <w:r>
        <w:rPr/>
        <w:footnoteRef/>
        <w:tab/>
        <w:t>Die Übersetzung „Seelen“ (Klammer) folgt Kiuchi 2007, 332, der sie in Verbindung mit „abschneiden“ für angemessener hält als „Personen“.</w:t>
      </w:r>
    </w:p>
  </w:footnote>
  <w:footnote w:id="66">
    <w:p>
      <w:pPr>
        <w:pStyle w:val="Funote"/>
        <w:rPr/>
      </w:pPr>
      <w:r>
        <w:rPr/>
        <w:footnoteRef/>
        <w:tab/>
        <w:t>übernehmen Wörtlich „tun/handeln“ (genauso das folgende Verb „nachgegangen sind“), doch Bräuche werden im Deutschen i.d.R. wahrgenommen. Denkbar sind auch „nachgehen“ oder „folgen“. übernehmen passt recht gut in den Kontext (vgl. NLB).</w:t>
      </w:r>
    </w:p>
  </w:footnote>
  <w:footnote w:id="67">
    <w:p>
      <w:pPr>
        <w:pStyle w:val="Funote"/>
        <w:rPr/>
      </w:pPr>
      <w:r>
        <w:rPr/>
        <w:footnoteRef/>
        <w:tab/>
        <w:t>Es ist nicht klar, ob „vor“ hier in räumlicher („vor euren Augen“) oder zeitlicher Hinsicht („vor eurer Ankunft“) gemeint ist. Nach Milgrom ist die räumliche Deutung wahrscheinlicher, weil die zeitliche das Verb „sein“ erforderlich machen würde (Milgrom 2000, 1583). Vgl. auch V. 5 &amp; 27.</w:t>
      </w:r>
    </w:p>
  </w:footnote>
  <w:footnote w:id="68">
    <w:p>
      <w:pPr>
        <w:pStyle w:val="Funote"/>
        <w:rPr/>
      </w:pPr>
      <w:r>
        <w:rPr/>
        <w:footnoteRef/>
        <w:tab/>
        <w:t xml:space="preserve">an ihnen (wie sie) Hebr. </w:t>
      </w:r>
      <w:r>
        <w:rPr>
          <w:rtl w:val="true"/>
          <w:lang w:bidi="he-IL"/>
        </w:rPr>
        <w:t>בָּהֶם</w:t>
      </w:r>
      <w:r>
        <w:rPr/>
        <w:t xml:space="preserve"> </w:t>
      </w:r>
      <w:r>
        <w:rPr/>
        <w:t>bezieht sich hier wie „mit all diesen [Praktiken]“ in V. 24 instrumental auf das Mittel, mit dem die Verunreinigung entstand. Theoretisch möglich wäre jedoch auch die Übersetzung „wie sie“, also als Vergleich mit den Einheimischen.</w:t>
      </w:r>
    </w:p>
  </w:footnote>
  <w:footnote w:id="69">
    <w:p>
      <w:pPr>
        <w:pStyle w:val="Funote"/>
        <w:rPr/>
      </w:pPr>
      <w:r>
        <w:rPr/>
        <w:footnoteRef/>
        <w:tab/>
        <w:t>[Status: Zuverlässig]</w:t>
      </w:r>
    </w:p>
  </w:footnote>
  <w:footnote w:id="70">
    <w:p>
      <w:pPr>
        <w:pStyle w:val="Funote"/>
        <w:rPr/>
      </w:pPr>
      <w:r>
        <w:rPr/>
        <w:footnoteRef/>
        <w:tab/>
        <w:t>Die Bedeutung des Wortes ist nicht ganz sicher, wird aber als wahrscheinlich angegeben.</w:t>
      </w:r>
    </w:p>
  </w:footnote>
  <w:footnote w:id="71">
    <w:p>
      <w:pPr>
        <w:pStyle w:val="Funote"/>
        <w:rPr/>
      </w:pPr>
      <w:r>
        <w:rPr/>
        <w:footnoteRef/>
        <w:tab/>
        <w:t>Die Partikel »Siehe« bleibt am besten unübersetzt. Sie drückt hier die Aufregung der Boten aus; der Satz wurde ansatzweise in eine entsprechende Form gebracht, um dies wiederzugeben.</w:t>
      </w:r>
    </w:p>
  </w:footnote>
  <w:footnote w:id="72">
    <w:p>
      <w:pPr>
        <w:pStyle w:val="Funote"/>
        <w:rPr/>
      </w:pPr>
      <w:r>
        <w:rPr/>
        <w:footnoteRef/>
        <w:tab/>
        <w:t>Möglich auch: „Befehl“, „Nachricht“, „Boten“, „Wachleute“, etc. Die Abgesandten waren aber wohl Polizisten oder Soldaten, wie aus den folgenden Versen klar wird.</w:t>
      </w:r>
    </w:p>
  </w:footnote>
  <w:footnote w:id="73">
    <w:p>
      <w:pPr>
        <w:pStyle w:val="Funote"/>
        <w:rPr/>
      </w:pPr>
      <w:r>
        <w:rPr/>
        <w:footnoteRef/>
        <w:tab/>
        <w:t>Im Hebräischen gibt es kein Plusquamperfekt. Der Kontext legt hier jedoch dringend nahe, dass das Geschilderte vorher geschah und entsprechend zu übersetzen ist.</w:t>
      </w:r>
    </w:p>
  </w:footnote>
  <w:footnote w:id="74">
    <w:p>
      <w:pPr>
        <w:pStyle w:val="Funote"/>
        <w:rPr/>
      </w:pPr>
      <w:r>
        <w:rPr/>
        <w:footnoteRef/>
        <w:tab/>
        <w:t>S. Erklärung zum Plusquamperfekt V. 4.</w:t>
      </w:r>
    </w:p>
  </w:footnote>
  <w:footnote w:id="75">
    <w:p>
      <w:pPr>
        <w:pStyle w:val="Funote"/>
        <w:rPr/>
      </w:pPr>
      <w:r>
        <w:rPr/>
        <w:footnoteRef/>
        <w:tab/>
        <w:t>Wörtlich: „Flachs (pl.) des Holzes“.</w:t>
      </w:r>
    </w:p>
  </w:footnote>
  <w:footnote w:id="76">
    <w:p>
      <w:pPr>
        <w:pStyle w:val="Funote"/>
        <w:rPr/>
      </w:pPr>
      <w:r>
        <w:rPr/>
        <w:footnoteRef/>
        <w:tab/>
        <w:t>Gesenius meint, es handele sich um Baumwolle – bitte in entsprechenden Werken nachschlagen</w:t>
      </w:r>
    </w:p>
  </w:footnote>
  <w:footnote w:id="77">
    <w:p>
      <w:pPr>
        <w:pStyle w:val="Funote"/>
        <w:rPr/>
      </w:pPr>
      <w:r>
        <w:rPr/>
        <w:footnoteRef/>
        <w:tab/>
        <w:t>Aufgelöstes Ptz.</w:t>
      </w:r>
    </w:p>
  </w:footnote>
  <w:footnote w:id="78">
    <w:p>
      <w:pPr>
        <w:pStyle w:val="Funote"/>
        <w:rPr/>
      </w:pPr>
      <w:r>
        <w:rPr/>
        <w:footnoteRef/>
        <w:tab/>
        <w:t>Offenbar zum Trocknen. V. 6 müsste vielleicht anhand von historischen Erkenntnissen zur Flachsverarbeitung korrigiert werden. Meine Kenntnisse stammen von Wikipedia, was weder sehr aussagekräftig noch zitierbar ist.</w:t>
      </w:r>
    </w:p>
  </w:footnote>
  <w:footnote w:id="79">
    <w:p>
      <w:pPr>
        <w:pStyle w:val="Funote"/>
        <w:rPr/>
      </w:pPr>
      <w:r>
        <w:rPr/>
        <w:footnoteRef/>
        <w:tab/>
        <w:t>Satzfolgeunterbrechender Waw-Satz, der hier einen erklärenden Einschub markiert.</w:t>
      </w:r>
    </w:p>
  </w:footnote>
  <w:footnote w:id="80">
    <w:p>
      <w:pPr>
        <w:pStyle w:val="Funote"/>
        <w:rPr/>
      </w:pPr>
      <w:r>
        <w:rPr/>
        <w:footnoteRef/>
        <w:tab/>
        <w:t>Kann auch so verstanden werden: „Während sie sie aufs Dach brachte (V. 6), suchten die Männer sie auf der Straße (V. 7)“. Rahab brachte die Männer danach also nachträglich in ein besseres Versteck (vgl. NET Jos 2:7 Fußnote 14).</w:t>
      </w:r>
    </w:p>
  </w:footnote>
  <w:footnote w:id="81">
    <w:p>
      <w:pPr>
        <w:pStyle w:val="Funote"/>
        <w:rPr/>
      </w:pPr>
      <w:r>
        <w:rPr/>
        <w:footnoteRef/>
        <w:tab/>
        <w:t>Aus der Perspektive der Verfolger geschildert (vgl. NET Jos 2:7 Fußnote 16).</w:t>
      </w:r>
    </w:p>
  </w:footnote>
  <w:footnote w:id="82">
    <w:p>
      <w:pPr>
        <w:pStyle w:val="Funote"/>
        <w:rPr/>
      </w:pPr>
      <w:r>
        <w:rPr/>
        <w:footnoteRef/>
        <w:tab/>
        <w:t>Beigeordnetes Partizip: Sie verließen die Stadt, „um sie zu verfolgen“ oder „bei der Verfolgung“, oder „diejenigen, die sie verfolgten“.</w:t>
      </w:r>
    </w:p>
  </w:footnote>
  <w:footnote w:id="83">
    <w:p>
      <w:pPr>
        <w:pStyle w:val="Funote"/>
        <w:rPr/>
      </w:pPr>
      <w:r>
        <w:rPr/>
        <w:footnoteRef/>
        <w:tab/>
        <w:t>Satzfolgeunterbrechender Waw-Satz, der hier einen erklärenden Einschub markiert.</w:t>
      </w:r>
    </w:p>
  </w:footnote>
  <w:footnote w:id="84">
    <w:p>
      <w:pPr>
        <w:pStyle w:val="Funote"/>
        <w:rPr/>
      </w:pPr>
      <w:r>
        <w:rPr/>
        <w:footnoteRef/>
        <w:tab/>
        <w:t>Wörtlich: »auf uns gefallen ist«</w:t>
      </w:r>
    </w:p>
  </w:footnote>
  <w:footnote w:id="85">
    <w:p>
      <w:pPr>
        <w:pStyle w:val="Funote"/>
        <w:rPr/>
      </w:pPr>
      <w:r>
        <w:rPr/>
        <w:footnoteRef/>
        <w:tab/>
        <w:t xml:space="preserve">Das Wort »schmelzen« könnte auch »(er)zittern«/»beben« bedeuten und drückt hier panische Angst aus. Es wurde versucht, eine passende deutsche Übersetzung zu finden. Vgl. TWOT, 1156 </w:t>
      </w:r>
      <w:r>
        <w:rPr>
          <w:rtl w:val="true"/>
          <w:lang w:bidi="he-IL"/>
        </w:rPr>
        <w:t>מוּג</w:t>
      </w:r>
      <w:r>
        <w:rPr/>
        <w:t>.</w:t>
      </w:r>
    </w:p>
  </w:footnote>
  <w:footnote w:id="86">
    <w:p>
      <w:pPr>
        <w:pStyle w:val="Funote"/>
        <w:rPr/>
      </w:pPr>
      <w:r>
        <w:rPr/>
        <w:footnoteRef/>
        <w:tab/>
        <w:t>Platzhalter für eine fachkundige Erklärung des Bannes.</w:t>
      </w:r>
    </w:p>
  </w:footnote>
  <w:footnote w:id="87">
    <w:p>
      <w:pPr>
        <w:pStyle w:val="Funote"/>
        <w:rPr/>
      </w:pPr>
      <w:r>
        <w:rPr/>
        <w:footnoteRef/>
        <w:tab/>
        <w:t>Wörtlich: »einem Mann«</w:t>
      </w:r>
    </w:p>
  </w:footnote>
  <w:footnote w:id="88">
    <w:p>
      <w:pPr>
        <w:pStyle w:val="Funote"/>
        <w:rPr/>
      </w:pPr>
      <w:r>
        <w:rPr/>
        <w:footnoteRef/>
        <w:tab/>
        <w:t>Alternativ »[selbst wenn wir dafür] sterben« o.ä. Wörtlich »zu sterben« – dies kann sich entweder auf die Kundschafter, oder auf Rahab beziehen.</w:t>
      </w:r>
    </w:p>
  </w:footnote>
  <w:footnote w:id="89">
    <w:p>
      <w:pPr>
        <w:pStyle w:val="Funote"/>
        <w:rPr/>
      </w:pPr>
      <w:r>
        <w:rPr/>
        <w:footnoteRef/>
        <w:tab/>
        <w:t>Alternativ lässt sich der »wenn«-Satz mit dem vorhergehenden Gelübde der Kundschafter verbinden: »Unser Leben für euch..., wenn ihr … nicht meldet«.</w:t>
      </w:r>
    </w:p>
  </w:footnote>
  <w:footnote w:id="90">
    <w:p>
      <w:pPr>
        <w:pStyle w:val="Funote"/>
        <w:rPr/>
      </w:pPr>
      <w:r>
        <w:rPr/>
        <w:footnoteRef/>
        <w:tab/>
        <w:t>Temporal aufzufassen. Deshalb wurde zur Verdeutlichung »sobald« gewählt.</w:t>
      </w:r>
    </w:p>
  </w:footnote>
  <w:footnote w:id="91">
    <w:p>
      <w:pPr>
        <w:pStyle w:val="Funote"/>
        <w:rPr/>
      </w:pPr>
      <w:r>
        <w:rPr/>
        <w:footnoteRef/>
        <w:tab/>
        <w:t>Gedanklich zu ergänzen: »wenn du nicht folgende Bedingung erfüllst:« (s. V. 18).</w:t>
      </w:r>
    </w:p>
  </w:footnote>
  <w:footnote w:id="92">
    <w:p>
      <w:pPr>
        <w:pStyle w:val="Funote"/>
        <w:rPr/>
      </w:pPr>
      <w:r>
        <w:rPr/>
        <w:footnoteRef/>
        <w:tab/>
        <w:t>»Siehe« + Ptz. + satzfolgeunterbrechender Satz drückt ein als abgeschlossen betrachtetes Geschehen aus. Alle wichtigen Übersetzungen übersetzen hier »wenn«. Menge übersetzt »Siehe« als »Wisse wohl:«.</w:t>
      </w:r>
    </w:p>
  </w:footnote>
  <w:footnote w:id="93">
    <w:p>
      <w:pPr>
        <w:pStyle w:val="Funote"/>
        <w:rPr/>
      </w:pPr>
      <w:r>
        <w:rPr/>
        <w:footnoteRef/>
        <w:tab/>
        <w:t xml:space="preserve">Die hier als »scharlachrot« bezeichnete Farbe wurde aus dem Blut der Schildlaus gewonnen (DBL Hebrew, 9106 </w:t>
      </w:r>
      <w:r>
        <w:rPr>
          <w:rtl w:val="true"/>
          <w:lang w:bidi="he-IL"/>
        </w:rPr>
        <w:t>שָׁנִי</w:t>
      </w:r>
      <w:r>
        <w:rPr/>
        <w:t xml:space="preserve">; TWOT 2420a </w:t>
      </w:r>
      <w:r>
        <w:rPr>
          <w:rtl w:val="true"/>
          <w:lang w:bidi="he-IL"/>
        </w:rPr>
        <w:t>שָׁנִי</w:t>
      </w:r>
      <w:r>
        <w:rPr/>
        <w:t>). »karmesinrot« (REB, SLT), »purpurrot« (EÜ, Menge).</w:t>
      </w:r>
    </w:p>
  </w:footnote>
  <w:footnote w:id="94">
    <w:p>
      <w:pPr>
        <w:pStyle w:val="Funote"/>
        <w:rPr/>
      </w:pPr>
      <w:r>
        <w:rPr/>
        <w:footnoteRef/>
        <w:tab/>
        <w:t>D.h. er wird die Verantwortung dafür tragen.</w:t>
      </w:r>
    </w:p>
  </w:footnote>
  <w:footnote w:id="95">
    <w:p>
      <w:pPr>
        <w:pStyle w:val="Funote"/>
        <w:rPr/>
      </w:pPr>
      <w:r>
        <w:rPr/>
        <w:footnoteRef/>
        <w:tab/>
        <w:t>Wörtlich: »...an ihn sein wird«</w:t>
      </w:r>
    </w:p>
  </w:footnote>
  <w:footnote w:id="96">
    <w:p>
      <w:pPr>
        <w:pStyle w:val="Funote"/>
        <w:rPr/>
      </w:pPr>
      <w:r>
        <w:rPr/>
        <w:footnoteRef/>
        <w:tab/>
        <w:t>Aufgelöstes bestimmtes Ptz. akt. f. pl.</w:t>
      </w:r>
    </w:p>
  </w:footnote>
  <w:footnote w:id="97">
    <w:p>
      <w:pPr>
        <w:pStyle w:val="Funote"/>
        <w:rPr/>
      </w:pPr>
      <w:r>
        <w:rPr/>
        <w:footnoteRef/>
        <w:tab/>
        <w:t>S. Erklärung V. 9.</w:t>
      </w:r>
    </w:p>
  </w:footnote>
  <w:footnote w:id="98">
    <w:p>
      <w:pPr>
        <w:pStyle w:val="Funote"/>
        <w:rPr/>
      </w:pPr>
      <w:r>
        <w:rPr/>
        <w:footnoteRef/>
        <w:tab/>
        <w:t>[Status: Zuverlässig]</w:t>
      </w:r>
    </w:p>
  </w:footnote>
  <w:footnote w:id="99">
    <w:p>
      <w:pPr>
        <w:pStyle w:val="Funote"/>
        <w:rPr/>
      </w:pPr>
      <w:r>
        <w:rPr/>
        <w:footnoteRef/>
        <w:tab/>
        <w:t>Eigentlich Singular.</w:t>
      </w:r>
    </w:p>
  </w:footnote>
  <w:footnote w:id="100">
    <w:p>
      <w:pPr>
        <w:pStyle w:val="Funote"/>
        <w:rPr/>
      </w:pPr>
      <w:r>
        <w:rPr/>
        <w:footnoteRef/>
        <w:tab/>
        <w:t>Durch einen die Satzfolge unterbrechenden Teilsatz markierter, erklärender Einschub – daher die Übersetzung.</w:t>
      </w:r>
    </w:p>
  </w:footnote>
  <w:footnote w:id="101">
    <w:p>
      <w:pPr>
        <w:pStyle w:val="Funote"/>
        <w:rPr/>
      </w:pPr>
      <w:r>
        <w:rPr/>
        <w:footnoteRef/>
        <w:tab/>
        <w:t>Durch einen die Satzfolge unterbrechenden Teilsatz markierter, erklärender Einschub – daher die Übersetzung.</w:t>
      </w:r>
    </w:p>
  </w:footnote>
  <w:footnote w:id="102">
    <w:p>
      <w:pPr>
        <w:pStyle w:val="Funote"/>
        <w:rPr/>
      </w:pPr>
      <w:r>
        <w:rPr/>
        <w:footnoteRef/>
        <w:tab/>
        <w:t>Eigentlich Singular. Alternativ könnte man folgendermaßen übersetzen: „kam Simson mit seinem Vater ...“</w:t>
      </w:r>
    </w:p>
  </w:footnote>
  <w:footnote w:id="103">
    <w:p>
      <w:pPr>
        <w:pStyle w:val="Funote"/>
        <w:rPr/>
      </w:pPr>
      <w:r>
        <w:rPr/>
        <w:footnoteRef/>
        <w:tab/>
        <w:t>Wörtlich „Siehe“.</w:t>
      </w:r>
    </w:p>
  </w:footnote>
  <w:footnote w:id="104">
    <w:p>
      <w:pPr>
        <w:pStyle w:val="Funote"/>
        <w:rPr/>
      </w:pPr>
      <w:r>
        <w:rPr/>
        <w:footnoteRef/>
        <w:tab/>
        <w:t>Offenbar eine typisch hebräische Gattungsbezeichnung. Das erste Wort bezeichnet möglicherweise nicht nur junge Löwen.</w:t>
      </w:r>
    </w:p>
  </w:footnote>
  <w:footnote w:id="105">
    <w:p>
      <w:pPr>
        <w:pStyle w:val="Funote"/>
        <w:rPr/>
      </w:pPr>
      <w:r>
        <w:rPr/>
        <w:footnoteRef/>
        <w:tab/>
        <w:t xml:space="preserve">Wörtlich: „ein junger Löwe … brüllend ihm entgegen“. </w:t>
      </w:r>
      <w:r>
        <w:rPr>
          <w:rtl w:val="true"/>
          <w:lang w:bidi="he-IL"/>
        </w:rPr>
        <w:t>לִקְרָאת</w:t>
      </w:r>
      <w:r>
        <w:rPr/>
        <w:t>, gewöhnlich als „entgegen“ übersetzt, ist eigentlich ein Infinitivus constructus mit Präfix und heißt ungefähr „um zu treffen/begegnen“. Je nach Herangehensweise muss ein Verb ergänzt werden: „stand … vor ihm“ (GNB), „sprang“ (REB).</w:t>
      </w:r>
    </w:p>
  </w:footnote>
  <w:footnote w:id="106">
    <w:p>
      <w:pPr>
        <w:pStyle w:val="Funote"/>
        <w:rPr/>
      </w:pPr>
      <w:r>
        <w:rPr/>
        <w:footnoteRef/>
        <w:tab/>
        <w:t xml:space="preserve">So THAT, </w:t>
      </w:r>
      <w:r>
        <w:rPr>
          <w:rtl w:val="true"/>
          <w:lang w:bidi="he-IL"/>
        </w:rPr>
        <w:t>צלך</w:t>
      </w:r>
      <w:r>
        <w:rPr>
          <w:rtl w:val="true"/>
        </w:rPr>
        <w:t xml:space="preserve">, </w:t>
      </w:r>
      <w:r>
        <w:rPr/>
        <w:t>2</w:t>
      </w:r>
      <w:r>
        <w:rPr/>
        <w:t>. Das Wort bezeichnet hier offenbar ein machtvolles oder „gewaltsames“ Eindringen des Geistes (Windes) JHWHs in Simson, so dass „[mit Macht]“ ergänzt werden könnte.</w:t>
      </w:r>
    </w:p>
  </w:footnote>
  <w:footnote w:id="107">
    <w:p>
      <w:pPr>
        <w:pStyle w:val="Funote"/>
        <w:rPr/>
      </w:pPr>
      <w:r>
        <w:rPr/>
        <w:footnoteRef/>
        <w:tab/>
        <w:t>D.h. Simson den Löwen.</w:t>
      </w:r>
    </w:p>
  </w:footnote>
  <w:footnote w:id="108">
    <w:p>
      <w:pPr>
        <w:pStyle w:val="Funote"/>
        <w:rPr/>
      </w:pPr>
      <w:r>
        <w:rPr/>
        <w:footnoteRef/>
        <w:tab/>
        <w:t>Wörtlich: „wie zu zerreißen ein Böckchen“. Alternativ „wie [beim] Zerreißen eines Böckchens“ (LBBH).</w:t>
      </w:r>
    </w:p>
  </w:footnote>
  <w:footnote w:id="109">
    <w:p>
      <w:pPr>
        <w:pStyle w:val="Funote"/>
        <w:rPr/>
      </w:pPr>
      <w:r>
        <w:rPr/>
        <w:footnoteRef/>
        <w:tab/>
        <w:t>Durch einen die Satzfolge unterbrechenden Teilsatz markierter, erklärender Einschub – daher die Übersetzung.</w:t>
      </w:r>
    </w:p>
  </w:footnote>
  <w:footnote w:id="110">
    <w:p>
      <w:pPr>
        <w:pStyle w:val="Funote"/>
        <w:rPr/>
      </w:pPr>
      <w:r>
        <w:rPr/>
        <w:footnoteRef/>
        <w:tab/>
        <w:t>Wörtlich: „Und siehe“. Diese Wendung wird im Hebräischen häufig verwendet, um direkt Gesehenes oder Geschehendes einzuführen.</w:t>
      </w:r>
    </w:p>
  </w:footnote>
  <w:footnote w:id="111">
    <w:p>
      <w:pPr>
        <w:pStyle w:val="Funote"/>
        <w:rPr/>
      </w:pPr>
      <w:r>
        <w:rPr/>
        <w:footnoteRef/>
        <w:tab/>
        <w:t>Wörtlich: „Schwarm/Volk/Gruppe Bienen“</w:t>
      </w:r>
    </w:p>
  </w:footnote>
  <w:footnote w:id="112">
    <w:p>
      <w:pPr>
        <w:pStyle w:val="Funote"/>
        <w:rPr/>
      </w:pPr>
      <w:r>
        <w:rPr/>
        <w:footnoteRef/>
        <w:tab/>
        <w:t>Idiomatische Phrase. Wörtlich: „Er ging, gehen und essen (beide Inf. abs.)“. Dies drückt typischerweise aus, dass beide zur gleichen Zeit geschehen und kann wie die gewählte Übersetzung verstanden werden.</w:t>
      </w:r>
    </w:p>
  </w:footnote>
  <w:footnote w:id="113">
    <w:p>
      <w:pPr>
        <w:pStyle w:val="Funote"/>
        <w:rPr/>
      </w:pPr>
      <w:r>
        <w:rPr/>
        <w:footnoteRef/>
        <w:tab/>
        <w:t>Das berühren von Totem verletzte Simsons Gelübde als Nasiräer. S. Ri 13,5; Num 6,6; vgl. NET Ri 14,9 Fußnote 20. Offenbar sah die Familie den Honig als gutes Zeichen, vielleicht betrachtete ihn Simson als Aphrodisiakum (vgl. NET Ri 14,9 Fußnote 19).</w:t>
      </w:r>
    </w:p>
  </w:footnote>
  <w:footnote w:id="114">
    <w:p>
      <w:pPr>
        <w:pStyle w:val="Funote"/>
        <w:rPr/>
      </w:pPr>
      <w:r>
        <w:rPr/>
        <w:footnoteRef/>
        <w:tab/>
        <w:t>Duratives Imperfekt. Alternativ zur Verdeutlichung „zu machen pflegten“/ „immer so machten“, etc.</w:t>
      </w:r>
    </w:p>
  </w:footnote>
  <w:footnote w:id="115">
    <w:p>
      <w:pPr>
        <w:pStyle w:val="Funote"/>
        <w:rPr/>
      </w:pPr>
      <w:r>
        <w:rPr/>
        <w:footnoteRef/>
        <w:tab/>
        <w:t>Unpersönlicher Gebrauch (LBBH).</w:t>
      </w:r>
    </w:p>
  </w:footnote>
  <w:footnote w:id="116">
    <w:p>
      <w:pPr>
        <w:pStyle w:val="Funote"/>
        <w:rPr/>
      </w:pPr>
      <w:r>
        <w:rPr/>
        <w:footnoteRef/>
        <w:tab/>
        <w:t>Der Satz bezieht sich wohl auf die Philister. Der letzte Teilsatz kann sich theoretisch auch auf die erste Gruppe beziehen, semantisch sinnvoller ist allerdings die Gruppe der „Gefährten“.</w:t>
      </w:r>
    </w:p>
  </w:footnote>
  <w:footnote w:id="117">
    <w:p>
      <w:pPr>
        <w:pStyle w:val="Funote"/>
        <w:rPr/>
      </w:pPr>
      <w:r>
        <w:rPr/>
        <w:footnoteRef/>
        <w:tab/>
        <w:t>Kohortativ.</w:t>
      </w:r>
    </w:p>
  </w:footnote>
  <w:footnote w:id="118">
    <w:p>
      <w:pPr>
        <w:pStyle w:val="Funote"/>
        <w:rPr/>
      </w:pPr>
      <w:r>
        <w:rPr/>
        <w:footnoteRef/>
        <w:tab/>
        <w:t>Wörtlich »sie«, womit das Rätsel gemeint ist.</w:t>
      </w:r>
    </w:p>
  </w:footnote>
  <w:footnote w:id="119">
    <w:p>
      <w:pPr>
        <w:pStyle w:val="Funote"/>
        <w:rPr/>
      </w:pPr>
      <w:r>
        <w:rPr/>
        <w:footnoteRef/>
        <w:tab/>
        <w:t>Eingefügt, um die idiomatische Konstruktion mit Inf. Abs. + Ipf.</w:t>
      </w:r>
    </w:p>
  </w:footnote>
  <w:footnote w:id="120">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1">
    <w:p>
      <w:pPr>
        <w:pStyle w:val="Funote"/>
        <w:rPr/>
      </w:pPr>
      <w:r>
        <w:rPr/>
        <w:footnoteRef/>
        <w:tab/>
        <w:t xml:space="preserve">Ein Kleidungsstück aus Leinen, das offenbar als Untergewand diente und ständig getragen wurde. Vgl. DBL Hebrew 6041 </w:t>
      </w:r>
      <w:r>
        <w:rPr>
          <w:rtl w:val="true"/>
          <w:lang w:bidi="he-IL"/>
        </w:rPr>
        <w:t>סָדִין</w:t>
      </w:r>
      <w:r>
        <w:rPr/>
        <w:t>.</w:t>
      </w:r>
    </w:p>
  </w:footnote>
  <w:footnote w:id="122">
    <w:p>
      <w:pPr>
        <w:pStyle w:val="Funote"/>
        <w:rPr/>
      </w:pPr>
      <w:r>
        <w:rPr/>
        <w:footnoteRef/>
        <w:tab/>
        <w:t xml:space="preserve">Wörtlich »Ersätze [der] Gewänder/Kleider«. Wird im Deutschen meist als »Festgewand« o.ä. wiedergegeben, kann aber aufgrund seiner Herkunft auch allgemeiner als »Ersatz-« oder »Wechselgewand« oder »Satz Kleidung« (so in vielen englischen Übersetzungen) verstanden werden. Vgl. u.a. DBL Hebrew 2722 </w:t>
      </w:r>
      <w:r>
        <w:rPr>
          <w:rtl w:val="true"/>
          <w:lang w:bidi="he-IL"/>
        </w:rPr>
        <w:t>חֲלִיפָה</w:t>
      </w:r>
      <w:r>
        <w:rPr/>
        <w:t>.</w:t>
      </w:r>
    </w:p>
  </w:footnote>
  <w:footnote w:id="123">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4">
    <w:p>
      <w:pPr>
        <w:pStyle w:val="Funote"/>
        <w:rPr/>
      </w:pPr>
      <w:r>
        <w:rPr/>
        <w:footnoteRef/>
        <w:tab/>
        <w:t>Für Näheres über die Kleider s. V. 12.</w:t>
      </w:r>
    </w:p>
  </w:footnote>
  <w:footnote w:id="125">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6">
    <w:p>
      <w:pPr>
        <w:pStyle w:val="Funote"/>
        <w:rPr/>
      </w:pPr>
      <w:r>
        <w:rPr/>
        <w:footnoteRef/>
        <w:tab/>
        <w:t>Im MT steht hier „siebten“, in der LXX und anderen Manuskripten „vierten“. Das passt besser zum vorhergehenden Vers und in den Gesamtkontext.</w:t>
      </w:r>
    </w:p>
  </w:footnote>
  <w:footnote w:id="127">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8">
    <w:p>
      <w:pPr>
        <w:pStyle w:val="Funote"/>
        <w:rPr/>
      </w:pPr>
      <w:r>
        <w:rPr/>
        <w:footnoteRef/>
        <w:tab/>
        <w:t>Ipf.</w:t>
      </w:r>
    </w:p>
  </w:footnote>
  <w:footnote w:id="129">
    <w:p>
      <w:pPr>
        <w:pStyle w:val="Funote"/>
        <w:rPr/>
      </w:pPr>
      <w:r>
        <w:rPr/>
        <w:footnoteRef/>
        <w:tab/>
        <w:t xml:space="preserve">Dieses Wort steht ganz am Ende des hebräischen Textes und ist in dieser Form schwer erklärbar. Die meisten Übersetzungen (Ausnahmen: REB, NASB) gehen deshalb von einem (textkritisch bezeugten) Schreibfehler aus und setzen stattdessen </w:t>
      </w:r>
      <w:r>
        <w:rPr>
          <w:rtl w:val="true"/>
          <w:lang w:bidi="he-IL"/>
        </w:rPr>
        <w:t>הֲלֹם</w:t>
      </w:r>
      <w:r>
        <w:rPr/>
        <w:t xml:space="preserve"> </w:t>
      </w:r>
      <w:r>
        <w:rPr/>
        <w:t>(»hier/hierher« → »Hast du uns hierher eingeladen...«) voraus.</w:t>
      </w:r>
    </w:p>
  </w:footnote>
  <w:footnote w:id="130">
    <w:p>
      <w:pPr>
        <w:pStyle w:val="Funote"/>
        <w:rPr/>
      </w:pPr>
      <w:r>
        <w:rPr/>
        <w:footnoteRef/>
        <w:tab/>
        <w:t>Das kann so verstanden werden, dass sie sich auf ihn warf oder an seiner Schulter weinte.</w:t>
      </w:r>
    </w:p>
  </w:footnote>
  <w:footnote w:id="131">
    <w:p>
      <w:pPr>
        <w:pStyle w:val="Funote"/>
        <w:rPr/>
      </w:pPr>
      <w:r>
        <w:rPr/>
        <w:footnoteRef/>
        <w:tab/>
        <w:t>Das Wort kann auch weniger krass verstanden werden: »Du bist meiner überdrüssig« (LUT), »Du hast eine Abneigung gegen mich« (EU).</w:t>
      </w:r>
    </w:p>
  </w:footnote>
  <w:footnote w:id="132">
    <w:p>
      <w:pPr>
        <w:pStyle w:val="Funote"/>
        <w:rPr/>
      </w:pPr>
      <w:r>
        <w:rPr/>
        <w:footnoteRef/>
        <w:tab/>
        <w:t>Durch die etwas abgesetzte Fortsetzung wurde versucht, die (einen Gegensatz ausdrückende) Satzfolgeunterbrechung zu berücksichtigen.</w:t>
      </w:r>
    </w:p>
  </w:footnote>
  <w:footnote w:id="133">
    <w:p>
      <w:pPr>
        <w:pStyle w:val="Funote"/>
        <w:rPr/>
      </w:pPr>
      <w:r>
        <w:rPr/>
        <w:footnoteRef/>
        <w:tab/>
        <w:t>In Wirklichkeit bezieht sich das Verb direkt zurück auf das Rätsel.</w:t>
      </w:r>
    </w:p>
  </w:footnote>
  <w:footnote w:id="134">
    <w:p>
      <w:pPr>
        <w:pStyle w:val="Funote"/>
        <w:rPr/>
      </w:pPr>
      <w:r>
        <w:rPr/>
        <w:footnoteRef/>
        <w:tab/>
        <w:t>Idiomatische Wiedergabe von »Siehe«.</w:t>
      </w:r>
    </w:p>
  </w:footnote>
  <w:footnote w:id="135">
    <w:p>
      <w:pPr>
        <w:pStyle w:val="Funote"/>
        <w:rPr/>
      </w:pPr>
      <w:r>
        <w:rPr/>
        <w:footnoteRef/>
        <w:tab/>
        <w:t>Das kann so verstanden werden, dass sie sich auf ihn warf oder an seiner Schulter weinte.</w:t>
      </w:r>
    </w:p>
  </w:footnote>
  <w:footnote w:id="136">
    <w:p>
      <w:pPr>
        <w:pStyle w:val="Funote"/>
        <w:rPr/>
      </w:pPr>
      <w:r>
        <w:rPr/>
        <w:footnoteRef/>
        <w:tab/>
        <w:t>Wörtlich „[in] denen“ (bezogen auf die Tage).</w:t>
      </w:r>
    </w:p>
  </w:footnote>
  <w:footnote w:id="137">
    <w:p>
      <w:pPr>
        <w:pStyle w:val="Funote"/>
        <w:rPr/>
      </w:pPr>
      <w:r>
        <w:rPr/>
        <w:footnoteRef/>
        <w:tab/>
        <w:t>Wörtlich: „das Rätsel“.</w:t>
      </w:r>
    </w:p>
  </w:footnote>
  <w:footnote w:id="138">
    <w:p>
      <w:pPr>
        <w:pStyle w:val="Funote"/>
        <w:rPr/>
      </w:pPr>
      <w:r>
        <w:rPr/>
        <w:footnoteRef/>
        <w:tab/>
        <w:t>Eigentlich Imperfekt, das aber mit dem vorhergehenden Wort Vergangenheitsbedeutung hat.</w:t>
      </w:r>
    </w:p>
  </w:footnote>
  <w:footnote w:id="139">
    <w:p>
      <w:pPr>
        <w:pStyle w:val="Funote"/>
        <w:rPr/>
      </w:pPr>
      <w:r>
        <w:rPr/>
        <w:footnoteRef/>
        <w:tab/>
        <w:t xml:space="preserve">Idiom. Im Hebräischen „kommt die Sonne“, wenn sie untergeht (DBL Hebrew 995 </w:t>
      </w:r>
      <w:r>
        <w:rPr>
          <w:rtl w:val="true"/>
          <w:lang w:bidi="he-IL"/>
        </w:rPr>
        <w:t>בֹּוא</w:t>
      </w:r>
      <w:r>
        <w:rPr>
          <w:rtl w:val="true"/>
        </w:rPr>
        <w:t xml:space="preserve">, </w:t>
      </w:r>
      <w:r>
        <w:rPr/>
        <w:t>13</w:t>
      </w:r>
      <w:r>
        <w:rPr/>
        <w:t>.).</w:t>
      </w:r>
    </w:p>
  </w:footnote>
  <w:footnote w:id="140">
    <w:p>
      <w:pPr>
        <w:pStyle w:val="Funote"/>
        <w:rPr/>
      </w:pPr>
      <w:r>
        <w:rPr/>
        <w:footnoteRef/>
        <w:tab/>
        <w:t>Der Begriff bezeichnet ein weibliches Kalb.</w:t>
      </w:r>
    </w:p>
  </w:footnote>
  <w:footnote w:id="141">
    <w:p>
      <w:pPr>
        <w:pStyle w:val="Funote"/>
        <w:rPr/>
      </w:pPr>
      <w:r>
        <w:rPr/>
        <w:footnoteRef/>
        <w:tab/>
        <w:t>Wörtlich: »das Rätsel«.</w:t>
      </w:r>
    </w:p>
  </w:footnote>
  <w:footnote w:id="142">
    <w:p>
      <w:pPr>
        <w:pStyle w:val="Funote"/>
        <w:rPr/>
      </w:pPr>
      <w:r>
        <w:rPr/>
        <w:footnoteRef/>
        <w:tab/>
        <w:t>Die irreale Form des Konditionalsatzes wird durch die Konjunktion vorgegeben (vgl. Davidson, Hebrew Syntax, §130).</w:t>
      </w:r>
    </w:p>
  </w:footnote>
  <w:footnote w:id="143">
    <w:p>
      <w:pPr>
        <w:pStyle w:val="Funote"/>
        <w:rPr/>
      </w:pPr>
      <w:r>
        <w:rPr/>
        <w:footnoteRef/>
        <w:tab/>
        <w:t>S. V. 6.</w:t>
      </w:r>
    </w:p>
  </w:footnote>
  <w:footnote w:id="144">
    <w:p>
      <w:pPr>
        <w:pStyle w:val="Funote"/>
        <w:rPr/>
      </w:pPr>
      <w:r>
        <w:rPr/>
        <w:footnoteRef/>
        <w:tab/>
        <w:t>Bezieht sich auf die Stadtbewohner.</w:t>
      </w:r>
    </w:p>
  </w:footnote>
  <w:footnote w:id="145">
    <w:p>
      <w:pPr>
        <w:pStyle w:val="Funote"/>
        <w:rPr/>
      </w:pPr>
      <w:r>
        <w:rPr/>
        <w:footnoteRef/>
        <w:tab/>
        <w:t>Hier steht im Hebräischen tatsächlich ein kollektiver Singular.</w:t>
      </w:r>
    </w:p>
  </w:footnote>
  <w:footnote w:id="146">
    <w:p>
      <w:pPr>
        <w:pStyle w:val="Funote"/>
        <w:rPr/>
      </w:pPr>
      <w:r>
        <w:rPr/>
        <w:footnoteRef/>
        <w:tab/>
        <w:t xml:space="preserve">Hier im Plural. Gemeint sind die Gegenstände, die ein getöteter Feind bei sich trägt – also etwa seine „Habseligkeiten“(DBL Hebrew, 2723 </w:t>
      </w:r>
      <w:r>
        <w:rPr>
          <w:rtl w:val="true"/>
          <w:lang w:bidi="he-IL"/>
        </w:rPr>
        <w:t>חֲלִיצָה</w:t>
      </w:r>
      <w:r>
        <w:rPr/>
        <w:t>). Viele verstehen das in diesem Kontext als die „Kleider“, die Simson den Siegern im Rätselwettbewerb geben schuldete.</w:t>
      </w:r>
    </w:p>
  </w:footnote>
  <w:footnote w:id="147">
    <w:p>
      <w:pPr>
        <w:pStyle w:val="Funote"/>
        <w:rPr/>
      </w:pPr>
      <w:r>
        <w:rPr/>
        <w:footnoteRef/>
        <w:tab/>
        <w:t>Oder „Kleidungssätze“, wörtlich „Ersatze“. Details s. Fußnote V. 12.</w:t>
      </w:r>
    </w:p>
  </w:footnote>
  <w:footnote w:id="148">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49">
    <w:p>
      <w:pPr>
        <w:pStyle w:val="Funote"/>
        <w:rPr/>
      </w:pPr>
      <w:r>
        <w:rPr/>
        <w:footnoteRef/>
        <w:tab/>
        <w:t>Auflösung eines substantivierten Partizips.</w:t>
      </w:r>
    </w:p>
  </w:footnote>
  <w:footnote w:id="150">
    <w:p>
      <w:pPr>
        <w:pStyle w:val="Funote"/>
        <w:rPr/>
      </w:pPr>
      <w:r>
        <w:rPr/>
        <w:footnoteRef/>
        <w:tab/>
        <w:t>Idiom für „Er war zornig“.</w:t>
      </w:r>
    </w:p>
  </w:footnote>
  <w:footnote w:id="151">
    <w:p>
      <w:pPr>
        <w:pStyle w:val="Funote"/>
        <w:rPr/>
      </w:pPr>
      <w:r>
        <w:rPr/>
        <w:footnoteRef/>
        <w:tab/>
        <w:t>[Die Töchter sind hier keine Ausnahme, denn auch diesen wird der Erbbesitz entzogen, sobald sie außerhalb ihrer Familie heiraten; s. Num 36]</w:t>
      </w:r>
    </w:p>
  </w:footnote>
  <w:footnote w:id="152">
    <w:p>
      <w:pPr>
        <w:pStyle w:val="Funote"/>
        <w:rPr/>
      </w:pPr>
      <w:r>
        <w:rPr/>
        <w:footnoteRef/>
        <w:tab/>
        <w:t>[S. V. 24 der Erzählung in Gen 38: Tamar, die Frau des verstorbenen Er und „Schwiegertochter Judas“ ist „schwanger durch Hurerei“ - d.h. hier: Ehebruch - und soll dafür verbrannt werden.]</w:t>
      </w:r>
    </w:p>
  </w:footnote>
  <w:footnote w:id="153">
    <w:p>
      <w:pPr>
        <w:pStyle w:val="Funote"/>
        <w:rPr/>
      </w:pPr>
      <w:r>
        <w:rPr/>
        <w:footnoteRef/>
        <w:tab/>
        <w:t>[Auch dazu s. Gen 38, wo Juda seiner Schwiegertochter Tamar nach Hause schickt, um so die Schwagerehe zwischen ihr und seinem Sohn Schela zu verhindern. Die Verpflichtung zur Schwagerehe auflösen kann er ganz offensichtlich nicht - dies hätte wohl nur Tamars Schwager Schela tun können (s. Dtn 25,7-10) -, und am Ende des Kapitels gesteht Juda selbst, Unrecht getan zu haben.]</w:t>
      </w:r>
    </w:p>
  </w:footnote>
  <w:footnote w:id="154">
    <w:p>
      <w:pPr>
        <w:pStyle w:val="Funote"/>
        <w:rPr/>
      </w:pPr>
      <w:r>
        <w:rPr/>
        <w:footnoteRef/>
        <w:tab/>
        <w:t>JHWH</w:t>
      </w:r>
    </w:p>
  </w:footnote>
  <w:footnote w:id="155">
    <w:p>
      <w:pPr>
        <w:pStyle w:val="Funote"/>
        <w:rPr/>
      </w:pPr>
      <w:r>
        <w:rPr/>
        <w:footnoteRef/>
        <w:tab/>
        <w:t>[Gegen diese „Moabiter-problematik“ schreibt aber übrigens schon das erste Kapitel an, indem es „unter der Hand“ ein ganz anderes Moab-Bild aufbaut: Moabiter sind dort keinesfalls Menschen, die unbescholtenen Israeliten ihren Glauben rauben, sondern im Gegenteil hat hier die Mischehe die Wirkung, dass eine Moabiterin zum JHWH-Glauben übertritt. Und Moab ist dort keinesfalls ein Land, das Israel seine Unterstützung versagt: Nicht nur nimmt es israelitische Hungerflüchtlinge auf und verleiht ihnen sogar den Status von gers (V. 1), sondern in Kap. 2 und 3 wird es sogar wieder die Moabiterin sein, die ihre israelitische Schwiegermutter mit Brot versorgt (vgl. Braulik 1996, S. 116; Fischer 1999, S. 110). Schon im ersten Kapitel wird also diese Moabiter-problematik unterminiert und die ersten Rechtsbrüche gleich zu Beginn narrativ rechtfertigt. Doch die endgültige Rechtfertigung finden wir erst in Kapitel 4.]</w:t>
      </w:r>
    </w:p>
  </w:footnote>
  <w:footnote w:id="156">
    <w:p>
      <w:pPr>
        <w:pStyle w:val="Funote"/>
        <w:rPr/>
      </w:pPr>
      <w:r>
        <w:rPr/>
        <w:footnoteRef/>
        <w:tab/>
        <w:t>[Status: Zuverlässig]</w:t>
      </w:r>
    </w:p>
  </w:footnote>
  <w:footnote w:id="157">
    <w:p>
      <w:pPr>
        <w:pStyle w:val="Funote"/>
        <w:rPr/>
      </w:pPr>
      <w:r>
        <w:rPr/>
        <w:footnoteRef/>
        <w:tab/>
        <w:t>des Richtens der Richter - Die Begriffe „Richter“ und „Richten“ dürften in der LF missverständlich sein, da es sich bei den biblischen Richtern natürlich nicht um Richter im heutigen Sinn des dt. Wortes handelte, sondern um eine Art Stammesführer. Sinnvoll daher Holmstedt 2010: „Als noch die Häuptlinge regierten,...“; eleganter sicher die Paraphrase von de Waard/Nida 1992, S. 5 und T4T: „Als Israel noch keine Könige hatte...“.</w:t>
      </w:r>
    </w:p>
  </w:footnote>
  <w:footnote w:id="158">
    <w:p>
      <w:pPr>
        <w:pStyle w:val="Funote"/>
        <w:rPr/>
      </w:pPr>
      <w:r>
        <w:rPr/>
        <w:footnoteRef/>
        <w:tab/>
        <w:t>im Land - d.h. in Israel. Übersetze daher vielleicht besser: „...herrschte ein Hungersnot in Israel“ (de Waard/Nida 1992, S. 6).</w:t>
      </w:r>
    </w:p>
  </w:footnote>
  <w:footnote w:id="159">
    <w:p>
      <w:pPr>
        <w:pStyle w:val="Funote"/>
        <w:rPr/>
      </w:pPr>
      <w:r>
        <w:rPr/>
        <w:footnoteRef/>
        <w:tab/>
        <w:t>Zur Zeit des Richtens ... herrschte ... . Da verließ - Oder: Zur Zeit des Richtens der Richter, als eine Hungersnot im Land herrschte, verließ... (vgl. syntaktisch ähnlich Ex 12,41; dazu z.B. Nic §30). tFN: W.: „Und es war in den Tagen des Richtens der Richter. Und es war eine Hungersnot im Land. Und es verließ...“ - Sowohl die Zeitangabe „in den Tagen des Richtens der Richter“ als auch die Information über die Hungersnot wird eingeleitet durch das Verb wajähi („und es war“). Eine solche Doppelung von wajähi findet sich zwar sehr selten in der Bibel, ist aber unproblematisch: Das erste wajähi ist zusammen mit bime („in den Tagen von“) eine stehende Wendung für die Einführung einer neuen Erzählzeit, entsprechend einfach dem dt. „zur Zeit von...“ (vgl. z.B. Holmstedt 2010, S. 52). Und das zweite wajähi ist entweder ebenso aufzufassen (und dann nach der Auflösung in der FN zu deuten) oder ist ein Kopulaverb im Hauptsatz „[Zur Zeit des Richtens der Richter] war (=herrschte) eine Hungersnot im Land.“ (vgl. z.B. Harmelink 2011, S. 212; so die meisten Üss.) und dann aufzulösen wie in der Primärübersetzung.</w:t>
      </w:r>
    </w:p>
  </w:footnote>
  <w:footnote w:id="160">
    <w:p>
      <w:pPr>
        <w:pStyle w:val="Funote"/>
        <w:rPr/>
      </w:pPr>
      <w:r>
        <w:rPr/>
        <w:footnoteRef/>
        <w:tab/>
        <w:t>verließ ein Mann Betlehem in Juda (machte sich ein aus Betlehem in Juda [stammender] Mann auf) - Beide Auflösungen sind gleichermaßen möglich. Nach der primären Auflösung würde die Reise näher beschrieben („Ein Mann ging fort, und zwar ging er fort aus Betlehem in Juda“); nach der alternativen Auflösung der Mann („ein Mann ging fort, und zwar ein aus Betlehem in Juda stammender Mann“). Da die Information, die die Alternativauflösung bieten würde, aber ja in V. 2 geliefert wird, sollte man besser nach der primären Auflösung deuten.</w:t>
      </w:r>
    </w:p>
  </w:footnote>
  <w:footnote w:id="161">
    <w:p>
      <w:pPr>
        <w:pStyle w:val="Funote"/>
        <w:rPr/>
      </w:pPr>
      <w:r>
        <w:rPr/>
        <w:footnoteRef/>
        <w:tab/>
        <w:t>in {dem Gebiet von} (bei den Feldern von) (Vv. 1.6) + aus {dem Gebiet von} (von den Feldern von) (V. 6.22) - Heb. ßadeh (Gebiet, Feld). Mit diesem Wort wird hier - wie oft - nur angezeigt, dass es sich beim folgenden Ortsnamen um einen Ortsnamen handelt („im Gebiet Moab“, d.h. „in Moab“) und sollte dann besser unübersetzt bleiben. Fischer 2001, S. 124 dagegen deutet den Begriff als sprechenden Begriff: Elimelech und seine Familie verlassen Betlehem ob einer Hungersnot und emigrieren daher zu den [Getreide-]Feldern Moabs. Diese Deutung basiert allerdings auf einer Analyse von ßäde als Plural. Das Wort lässt sich im MT aber auch als Sg. analysieren, und weil einige Mss. - darunter auch ein Ms. aus Qumran, das älter ist als der MT - das Wort in einer Wortform bieten, die unmissverständlich Sg. ist und weil weiterhin auch die Versionen ganz einheitlich mit Sg. übersetzen, ist auch im MT die Analyse des Wortes als Sg. deutlich vorzuziehen.</w:t>
      </w:r>
    </w:p>
  </w:footnote>
  <w:footnote w:id="162">
    <w:p>
      <w:pPr>
        <w:pStyle w:val="Funote"/>
        <w:rPr/>
      </w:pPr>
      <w:r>
        <w:rPr/>
        <w:footnoteRef/>
        <w:tab/>
        <w:t>Moab - östlicher Nachbarstaat Israels (für näheres s. Moab / Moabiter (WiBiLex)). Wegen verschiedener kriegerischer Konflikte ist Moab im AT meist negativ belegt; auch im Richterbuch (s. Ri 3,12-30). Noch dazu ist Moab nicht einmal eine naheliegende Wahl für die Hungerflucht: Im Gegensatz zum klassischen Emigrationsland Ägypten unterliegt Moab in etwa den selben klimatischen Bedingungen wie Israel, und obwohl es wegen der gebirgigen Lage Moabs theoretisch möglich wäre, dass wegen der dortigen höheren Niederschlagsmenge Israel unter einer kurzen Hungersnot leidet, Moab aber nicht, ist es ganz unmöglich, dass Moab nicht von den klimatischen Verhältnissen betroffen wäre, die in Israel eine Hungersnot von zehn Jahren verursachen.Hinter der der Entscheidung des Erzählers für Moab stehen daher sicher andere Gründe; s. das Ende der Anmerkungen.</w:t>
      </w:r>
    </w:p>
  </w:footnote>
  <w:footnote w:id="163">
    <w:p>
      <w:pPr>
        <w:pStyle w:val="Funote"/>
        <w:rPr/>
      </w:pPr>
      <w:r>
        <w:rPr/>
        <w:footnoteRef/>
        <w:tab/>
        <w:t>niederzulassen - Heb. gur bedeutet nicht einfach „wohnen“, sondern bezeichnet das dauerhafte Siedeln von zugereisten Ausländern. Ebach 1998, S. 281 umschreibt seinen Status hier sehr gut mit „Hungerasylant“; dies oder ähnliches wäre wohl wirklich eine sinnvolle Übersetzung: „um in Moab Asyl zu suchen“.Ein ger („Siedler, Asylant“) hat in der Bibel häufig einen schweren Schicksalsschlag hinter sich (wegen dem er überhaupt erst ausgereist ist), ist in der Regel arm und hat rechtlich nicht den selben Status wie ein Einheimischer (so z.B. auch Würthwein 1969, S. 10 - allerdings hat er aufgrund dieses rechtlichen Sonderstatus einige Rechte eben doch - im Unterschied zum nokri, dem bloßen „Ausländer“). Elimelech und seine Familie werden also schon durch die Verwendung dieses Wortes in eine sozial sehr tief stehende Schicht eingeordnet.</w:t>
      </w:r>
    </w:p>
  </w:footnote>
  <w:footnote w:id="164">
    <w:p>
      <w:pPr>
        <w:pStyle w:val="Funote"/>
        <w:rPr/>
      </w:pPr>
      <w:r>
        <w:rPr/>
        <w:footnoteRef/>
        <w:tab/>
        <w:t>ein Mann ... - er, seine Frau und seine beiden Söhne (V. 1) + sie hinterblieb, sie und ihre beiden Söhne (V. 3) + es hinterblieb die Frau, ohne ihre beiden Kinder und ohne ihren Mann - Wenn im Hebräischen eine Sache von mehreren Subjekten ausgesagt werden soll, kann sie auch nur von einem Subjekt ausgesagt werden, das dann nach dieser Aussage mit einem (Pro-)Nomen noch einmal aufgegriffen und um die weiteren Subjekte erweitert wird („gespaltene Koordination“; vgl. z.B. JM §146c2; ad loc. Holmstedt 2010, S. 57f). Normalerweise sollte man im Dt. daher Vv. 1.3 besser übersetzen: „ein Mann, seine Frau und seine beiden Söhne verließen...“ (V. 1) resp. „sie und ihre beiden Söhne hinterblieben“ (V. 3); auch V. 5 würde man normalerweise natürlich besser übersetzen als „Die Frau hinterblieb“. Hier aber ist diese Konstruktion bewusst gewählt; s. die Anmerkungen.</w:t>
      </w:r>
    </w:p>
  </w:footnote>
  <w:footnote w:id="165">
    <w:p>
      <w:pPr>
        <w:pStyle w:val="Funote"/>
        <w:rPr/>
      </w:pPr>
      <w:r>
        <w:rPr/>
        <w:footnoteRef/>
        <w:tab/>
        <w:t>tFN: die Namen seiner beiden Söhne [waren] - W. „der Name seiner beiden Söhne [war]“, aber s. JM §136l: „[... Das Hebräische hat] die Tendenz, in Fällen, in denen etwas in ähnlicher Weise für mehrere Individuen gilt, Singular statt Plural zu setzen [...].“ Übersetze daher wie angegeben.</w:t>
      </w:r>
    </w:p>
  </w:footnote>
  <w:footnote w:id="166">
    <w:p>
      <w:pPr>
        <w:pStyle w:val="Funote"/>
        <w:rPr/>
      </w:pPr>
      <w:r>
        <w:rPr/>
        <w:footnoteRef/>
        <w:tab/>
        <w:t>Machlon (krank?) + Kiljon (schwindend?) (V. 2) + Orpa (Nacken?, Wolke?) + Rut (Sättigung?, Freundin?) (V. 4) - Namen sind in der Bibel oft sog. „descriptive names“, d.h. sie sind sprechende Namen, die eine Bedeutung in der Erzählung haben. Weil Noomi in V. 21 selbst mit ihrem Namen spielt (der also klar ein solcher „descriptive name“ ist) und auch der Name von „Herr Irgendwer“ in Kap. 4 fast stets als sprechender Name gedeutet wird, gehen viele davon aus, dass auch obige vier Namen solche descriptive names sein müssten. Ihre Bedeutungen sind aber unklar: * Die Deutung von Machlon und Kiljon als „krank“ und „schwindend“ wäre sprachlich möglich und würde im Rahmen des Rutbuches auch Sinn machen, da sie ja tatsächlich innerhalb von nur vier Versen wieder aus der Geschichte wegsterben. Allerdings gab es diese Namen recht sicher tatsächlich, so dass schwer vorstellbar ist, dass dies wirklich die hinter diesen Namen stehende Bedeutung war (wenn man den namensgebenden Eltern nicht stets einen „grausamen Humor“ (Holmstedt 2010, S. 60) zusprechen will). Rudolph 1962, S. 38 etwa verbindet daher die Namen stattdessen mit „süß/reizend sein“ (Machlon = „der Süße/Reizende“) oder „listig sein“ (Machlon = „der Listige“) und „vollendet sein“ (Kiljon = „der Vollendete“; so auch schon König 1893, S. 287). Wahrschenlich sollte man sich besser mit dem Eingeständnis bescheiden, dass nicht gewiss ist, was die Namen bedeuten (so z.B. Campbell 1975, S. 52f). * Orpa wurde schon von den alten jüdischen Exegeten mit orep („Rücken, Nacken“) in Zusammenhang gebracht und dann so erklärt, dass sie so als die „Widerspenstige“ oder „die den Rücken Kehrende“ dargestellt werden solle,was aber recht „gekünstelt“ (Gerleman 1965) ist. Glanzmann 1959, S. 206 und Dahood 1962, S. 224 leiten außerdem ab vom Ugaritischen `rpt („Wolke“), was sprachlich wohl möglich wäre, erstens aber keine Anerkennung in der Exegese gefunden hat und zweitens in diesem Falle kein descriptive name wäre, so dass es irrelevant für die Übersetzung wäre. * Rut wurde früher meist abgeleitet von rä`ut („Freundin, Gefährtin“ - so schon Syr), was aber etymologisch nur schwer möglich ist. Seit Bruppacher 1966 wird er außerdem wieder häufiger nach der Wurzel rwy (sich sattdrinken) als „Sättigung“, „Erfrischung“ gedeutet (so schon b. Berachoth 7b; Bertholet 1898, S. 57f), was sprachlich zwar möglich wäre, aber in der Exegese dennoch keine allgemeine Anerkennung gefunden hat. Einige gehen außerdem wegen dieser Ungewissheiten davon aus, dass wir es hier mit echt moabitischen Namen zu tun haben, deren Bedeutung sich von uns daher nicht mehr erschließen lässt.</w:t>
      </w:r>
    </w:p>
  </w:footnote>
  <w:footnote w:id="167">
    <w:p>
      <w:pPr>
        <w:pStyle w:val="Funote"/>
        <w:rPr/>
      </w:pPr>
      <w:r>
        <w:rPr/>
        <w:footnoteRef/>
        <w:tab/>
        <w:t>Efratiter - Bedeutung unklar; vermutlich handelt es sich (1) entweder um eine Sippe, die v.a. in der Gegend in und um Betlehem siedelte, oder (2) Efrata ist eine Region, in der u.a. auch Betlehem lag, oder (3) eine alternative Bezeichnung für Betlehem selbst.Dass die Bedeutung unklar ist, ist aber nicht sehr problematisch, da der Begriff hier ohnehin mehr einem Wortspiel als der Information dient: Sowohl „Efratiter“ als auch „Betlehem“ sind sprechende Namen: „Efrata“ ist das „fruchtbare Land“ (Meister 1991, S 115) und „Betlehem“ bedeutet bekanntlich „Haus des Brotes“, „Brothausen“ (schon Luther 1535, S. 193b: „Denn Bethlehem heisst ein brod haus / und Ephrata fruchtbar / das ein fruchtbar land und gute narung darinnen gewesen ist.“). In den Ohren hebräischer Hörer musste der Satz also klingen wie „[Wegen einer Hungersnot] emigrierten sie nach Moab - obwohl sie Brothäusener aus der Fruchtgegend waren! - und blieben dort.“</w:t>
      </w:r>
    </w:p>
  </w:footnote>
  <w:footnote w:id="168">
    <w:p>
      <w:pPr>
        <w:pStyle w:val="Funote"/>
        <w:rPr/>
      </w:pPr>
      <w:r>
        <w:rPr/>
        <w:footnoteRef/>
        <w:tab/>
        <w:t>starb (V. 3) + starben (V. 5) - In der alten jüd. Exegese ist öfter der Tod Elimelechs, Machlons und Kiljons als die Strafe Gottes für ihre Sünden gedeutet worden: Elimelech wird für seine Emigration bestraft, Machlon und Kiljon für ihr Fernbleiben von Israel und ihre Mischehen. In der neueren Exegese findet sich diese Deutung nur noch selten (z.B. bei Berman 2007, S. 27-29), aber es ist doch auffällig, dass die beiden Auskünfte über das Sterben der Familienmitglieder jeweils direkt auf die Auskunft über das „Bleiben“ in Moab folgt und dass nur die ersten fünf Verse, die in Moab spielen, eine Unheilsgeschichte schildern, dagegen von V. 6 an mit Noomis Entscheidung, nach Israel zurückzukehren, eine Heilsgeschichte erzählt wird. Auf jeden Fall sollte, wenn möglich, so übersetzt werden, dass diese Bedeutungsnuance auch in der Übersetzung mitgehört werden kann - ein Leser zur mutmaßlichen Abfassungszeit jedenfalls hätte sie vermutlich mindestens mitgehört.</w:t>
      </w:r>
    </w:p>
  </w:footnote>
  <w:footnote w:id="169">
    <w:p>
      <w:pPr>
        <w:pStyle w:val="Funote"/>
        <w:rPr/>
      </w:pPr>
      <w:r>
        <w:rPr/>
        <w:footnoteRef/>
        <w:tab/>
        <w:t>nahmen (gingen Mischehen ein) - ungewöhnlicher Begriff im Heb.: „Heiraten“ heißt dort gewöhnlich laqach ischah; hier aber - wie nur noch 2Chr 11,21; 13,21; Esr 9,2.12; Neh 13,25 - naßah ischah. Fischer 2001, S. 127 macht darauf aufmerksam, dass die drei letzten Stellen ebenfalls von Mischehen von Judäern mit Moabiterinnen handeln; es könnte sich hier also um einen terminus technicus handeln.</w:t>
      </w:r>
    </w:p>
  </w:footnote>
  <w:footnote w:id="170">
    <w:p>
      <w:pPr>
        <w:pStyle w:val="Funote"/>
        <w:rPr/>
      </w:pPr>
      <w:r>
        <w:rPr/>
        <w:footnoteRef/>
        <w:tab/>
        <w:t>Orpa und Rut - Chiasmus: V. 2: „Machlon und Kiljon“, V. 4: „Orpa und Rut“; dabei ist Orpa die Frau von Kiljon und Rut die von Machlon (s. Rut 4,10). Eine solche chiastische Anordnung von Namen ist ein häufigeres Stilmittel im Hebräischen (vgl. Campbell 1975, S. 151) und kann in der dt. Üs. ohne Bedeutungsverlust übergangen werden.</w:t>
      </w:r>
    </w:p>
  </w:footnote>
  <w:footnote w:id="171">
    <w:p>
      <w:pPr>
        <w:pStyle w:val="Funote"/>
        <w:rPr/>
      </w:pPr>
      <w:r>
        <w:rPr/>
        <w:footnoteRef/>
        <w:tab/>
        <w:t>Kinder - Machlon und Kiljon werden hier - im Gegensatz zum vorherigen „Söhne“ - mit jeled („Kind“) bezeichnet, das sonst nie für Erwachsene verwendet wird. Vermutlich soll diese Wortwahl das Unglück der Frau unterstreichen, die nun nach ihrem Mann auch noch ihre beiden Kinder zu Grabe tragen muss (so auch Zakovitch 1999, S. 82). Zudem wird so bereits vorverwiesen auf Rut 4,16, wo Ruts „Kind“ Obed als Naomis Ersatz für ihre beiden gestorbenen „Kinder“ dargestellt wird.</w:t>
      </w:r>
    </w:p>
  </w:footnote>
  <w:footnote w:id="172">
    <w:p>
      <w:pPr>
        <w:pStyle w:val="Funote"/>
        <w:rPr/>
      </w:pPr>
      <w:r>
        <w:rPr/>
        <w:footnoteRef/>
        <w:tab/>
        <w:t>tFN: begann, zurückzukehren - W. „Da stand sie auf, sie und ihre Schwiegertöchter, um zurückzukehren...“; ein solches vorgeschaltetes „aufstehen“ hat aber häufig nur die Bedeutung „mit etwas beginnen“ (vgl. de Waard/Nida 1992, S. 9; Dobbs-Allsopp 1995, S. 47). Übersetze besser: „Und sie machte sich auf den Rückweg“.</w:t>
      </w:r>
    </w:p>
  </w:footnote>
  <w:footnote w:id="173">
    <w:p>
      <w:pPr>
        <w:pStyle w:val="Funote"/>
        <w:rPr/>
      </w:pPr>
      <w:r>
        <w:rPr/>
        <w:footnoteRef/>
        <w:tab/>
        <w:t>sie und ihre Schwiegertöchter - die selbe Konstruktion wie in FN h beschrieben; normalerweise würde man auch hier übersetzen: „Da machten sie und ihre Schwiegertöchter sich auf den Rückweg“. In unserem Falle spielt es aber zusammen mit den obigen Versen: Nach Noomis Verlust von Ehemann und Söhnen eröffnet der zweite Erzählabschnitt von Kap. 1 mit der neuen Personenkonstellation Noomi + Rut und Orpa; beinahe wie ein „Neue Runde, neues Glück!“: Ihre ersten drei Begleiter hat Noomi verloren - was wird mit den beiden neuen Begleiterinnen geschehen?</w:t>
      </w:r>
    </w:p>
  </w:footnote>
  <w:footnote w:id="174">
    <w:p>
      <w:pPr>
        <w:pStyle w:val="Funote"/>
        <w:rPr/>
      </w:pPr>
      <w:r>
        <w:rPr/>
        <w:footnoteRef/>
        <w:tab/>
        <w:t>tFN: gehört hatte - Nach sog. „gespaltenen Koordinationen“ wie sie - sie und ihre Schwiegertöchter wird im Heb. meist mit Pluralverben angeschlossen (hier also: „sie hatten gehört“); hier aber steht ein Sg.-verb. Diese Konstruktion mit Sg. findet sich noch häufiger (vgl. z.B. Revell 1993, S. 76f.) und soll das Singularsubjekt (hier also Noomi) statt beiden koordinierten Subjekten ins Zentrum der Leseraufmerksamkeit stellen: Handelnde ist hier zuvorderst Noomi; erst ab V. 8 treten auch die beiden Schwiegertöchter als handelnde Subjekte in Aktion (ähnlich Campbell 1975, S. 63).</w:t>
      </w:r>
    </w:p>
  </w:footnote>
  <w:footnote w:id="175">
    <w:p>
      <w:pPr>
        <w:pStyle w:val="Funote"/>
        <w:rPr/>
      </w:pPr>
      <w:r>
        <w:rPr/>
        <w:footnoteRef/>
        <w:tab/>
        <w:t>besucht - Heb. Idiom für „sich um etwas kümmern“ (so z.B. Loretz 1963, S. 44). Gut daher EEB, EVD, GN, T4T: „dass er seinem Volk geholfen hatte“; HfA: „dass er sich über sein Volk erbarmt hatte“; NL: „dass er sich seinem Volk wieder gnädig zugewandt hatte“. „Sein Volk“ = Israel; übersetze daher vielleicht: „dass er seinem Volk Israel geholfen hatte und...“</w:t>
      </w:r>
    </w:p>
  </w:footnote>
  <w:footnote w:id="176">
    <w:p>
      <w:pPr>
        <w:pStyle w:val="Funote"/>
        <w:rPr/>
      </w:pPr>
      <w:r>
        <w:rPr/>
        <w:footnoteRef/>
        <w:tab/>
        <w:t>ihm Brot - Klangspiel: lahem lachem. „Brot“ steht im Heb. fast stets pars pro toto für Nahrung im Allgemeinen (vgl. z.B. de Waard/Nida 1992, S. 9; Zakovitch 1999, S. 83); übersetze daher besser „Nahrung“.</w:t>
      </w:r>
    </w:p>
  </w:footnote>
  <w:footnote w:id="177">
    <w:p>
      <w:pPr>
        <w:pStyle w:val="Funote"/>
        <w:rPr/>
      </w:pPr>
      <w:r>
        <w:rPr/>
        <w:footnoteRef/>
        <w:tab/>
        <w:t>standen unter ihrer Aufsicht - so kürzlich Schipper 2013. Doch das ist wahrscheinlich falsch; Schwiegertöchter waren im hebräischen Haushalt zwar hierarchisch ihren Schwiegermüttern untergeordnet, doch hatten diese keine Autorität über sie (um mit Exum 1997 zu sprechen: Ganz allgemein hatten Frauen im Alten Israel zwar - im familiären Rahmen des Haushalts - „Macht“, aber keine „Autorität“ (vgl. S. 136f)).Vielleicht auch: wo sie gewesen war, und [wo auch] ihre beiden Schwiegertöchter bei ihr [gewesen waren].</w:t>
      </w:r>
    </w:p>
  </w:footnote>
  <w:footnote w:id="178">
    <w:p>
      <w:pPr>
        <w:pStyle w:val="Funote"/>
        <w:rPr/>
      </w:pPr>
      <w:r>
        <w:rPr/>
        <w:footnoteRef/>
        <w:tab/>
        <w:t>Geht!, kehrt zurück - Oder: »Los, kehrt zurück« (Geht gelesen als sog. »Vorbereitungs-Imperativ«; vgl. z.B. Jenni 2005, S. 242f.; ad loc. ähnlich Zakovitch 1999, S. 89). Geht! Kehrt zurück... bildet aber einen Chiasmus mit Kehrt zurück! Geht... in V. 12, die man nicht so deuten kann; daher sollte man besser auch hier nicht als Vorbereitungsimperativ deuten.</w:t>
      </w:r>
    </w:p>
  </w:footnote>
  <w:footnote w:id="179">
    <w:p>
      <w:pPr>
        <w:pStyle w:val="Funote"/>
        <w:rPr/>
      </w:pPr>
      <w:r>
        <w:rPr/>
        <w:footnoteRef/>
        <w:tab/>
        <w:t>ihrer (V. 8) + euch (V. 8.9) + eure (V. 11) + euretwillen (V. 13) + beiden (V. 19) + Diese [beiden] (V. 22) - Das Hebräische kennt neben dem Singular und dem Plural auch einen »Dual« - eine Form, mit der exakt zwei Referenten bezeichnet werden. Z.B. würde entsprechend im Deutschen Apfel in »Ein Apfel« im Singular, »zwei Äpfel« im Dual und »drei Äpfel« im Plural stehen. Diese Form ist sehr selten und findet sich hier so häufig wie fast nirgends sonst; dahinter steckt wohl der bewusste Gestaltungswille des Autors, s. die Anmerkungen.tFN: Genauer: Im Rutbuch findet sich mehrere Male das Phänomen, dass statt den weiblichen - auf -n endenden - Plural-pronomina scheinbar männliche - auf -m endende - Pronomina verwendet werden. Der Grund dafür ist stark umstritten. Vorgeschlagen wurde, dass es sich hier (1) um eine besonders alte hebräische Konstruktion (eine archaische »Dual-Form«; vgl. bes. Campbell 1975, S. 25.65; auch Lim 2011, S. 110f; Michel 2004, S. 86f; Rendsburg 2013, S. 635; Sasson 1979, S. 23; Tropper 1992, S. 208; zu hemma in Rut 1,22 Bush 1996, S. S. 94f; Christian 1953, S. 39; Couprie 1952, S. 153; Rendsburg 1982, S.&amp;ampnbsp;40; NET; noch Fontinoy 1969, S. 59f.), (2) um eine Ausprägung eines regionalen Dialekts (ein »Betlehemismus«; vgl. Gow 1992, S. 195; Young 1997, S. 10f) oder (3) um gewöhnliche hebräische Genus-Inkongruenzen (vgl. Holmstedt 2010, S. 24; offenbar auch schon Levi 1987) handle. Möglich wäre wohl außerdem, (4) es als gewöhnliches Merkmal des postexilischen Hebräisch zu erklären: Die Verwechslung von -m und -n findet sich häufiger im späten Hebräisch und nimmt spätestens von der Zeit des zweiten Tempels an immer mehr zu (vgl. z.B. HDSS § 200.142; zu hemma in Rut 1,22 noch Schattner-Rieser 1994, S. 196f; ad loc. ähnlich Bar-Asher 2008; Bar-Asher 2009, S. 44).Das Phänomen findet sich hier aber so gehäuft, dass man es wohl auf den bewussten Gestaltungswillen des Autors zurückführen muss (gegen (4)), und da sich keine Motivierung für etwaige Genus-inkongruenzen finden lassen (gegen (3)) und die Deutung als Dialekt ausscheidet, da sich das Phänomen in 1,19 auch im Mund des Autors findet (gegen (2)), sollte man recht sicher doch Deutung (1) den Vorzug geben.</w:t>
      </w:r>
    </w:p>
  </w:footnote>
  <w:footnote w:id="180">
    <w:p>
      <w:pPr>
        <w:pStyle w:val="Funote"/>
        <w:rPr/>
      </w:pPr>
      <w:r>
        <w:rPr/>
        <w:footnoteRef/>
        <w:tab/>
        <w:t>Haus ihrer Mutter - ungewöhnlicher Ausdruck; für gewöhnlich spricht man im Hebräischen vom »Haus des Vaters«. Campbell 1975, S. 64; Hajek 1962, S. 28f.; Zakovitch 1999, S. 89 haben erwägenswert vorgeschlagen, dass man vom »Haus der Mutter« regelmäßig dann gesprochen habe, wenn persönliche Angelegenheiten wie etwa die nächste Heirat besprochen werden sollten. Dann wäre die Stelle so zu verstehen: Das Rutbuch ist deutlich in Anlehnung an Gen 38 verfasst (dazu bes. van Wolde 1997; s. auch bes. Rut 4,12). Dort sagt Juda in V. 11 zu Tamar: »Wohne als Witwe im Haus deines Vaters, bis mein Sohn Schela erwachsen ist!«. In unserem Vers wäre also das »Haus des Vaters« durch »das Haus der Mutter« - den Ort, wo die nächste Heirat geregelt wird - ausgetauscht und bewusst das »als Witwe« ausgespart.Vielleicht aber auch einfach so: Der Ausdruck »Haus des Vaters« steht in der Bibel selten für das Gebäude, sondern i.S.v. »Haushalt« für die Familie des Vaters. Das ist wohl auch hier der Sinn: »Kehrt zurück zu den Familien eurer Mütter, statt als meine Angehörigen mit mir - eurer Schwiegermutter - nach Juda zurückzukehren.« (vgl. ähnlich Levine 1983, S. 98f, FN 7).So und so wäre die Intention hinter Noomis Aufforderung die selbe: Sie löst die Familienbande, die Rut und Orpa noch mit ihr verbinden, und gibt sie so frei zu einer neuerlichen Heirat.</w:t>
      </w:r>
    </w:p>
  </w:footnote>
  <w:footnote w:id="181">
    <w:p>
      <w:pPr>
        <w:pStyle w:val="Funote"/>
        <w:rPr/>
      </w:pPr>
      <w:r>
        <w:rPr/>
        <w:footnoteRef/>
        <w:tab/>
        <w:t>Wahrscheinlich durfte Noomi ihre Schwiegertöchter rechtlich gesehen gar nicht zurückschicken; s. die Anmerkungen.</w:t>
      </w:r>
    </w:p>
  </w:footnote>
  <w:footnote w:id="182">
    <w:p>
      <w:pPr>
        <w:pStyle w:val="Funote"/>
        <w:rPr/>
      </w:pPr>
      <w:r>
        <w:rPr/>
        <w:footnoteRef/>
        <w:tab/>
        <w:t>Güte - Heb. chesed, ein Schlüsselwort im Buch. Einige Exegeten gehen sogar - gar nicht unwahrscheinlich - davon aus, dass »um dieses Wort herum« das ganze Buch gebaut sei und die Gesamtaussage des Buches die sei, dass man weniger »legalistisch« (d.h. übertrieben ausgerichtet an den vielen Geboten des AT), sondern mehr geleitet von chesed leben solle (vgl. z.B. bes. gut LaCocque 2004, S. 28-32). Die Übersetzung dieses vieldeutigen Wortes ist also so zentral, dass Alfredo 2013 kürzlich ein ganzes Buch zu dieser Frage vefasst hat.Im Buch Rut findet sich das Wort drei Mal: Hier, in Rut 2,20 und in Rut 3,10; als Ausprägungen von chesed werden oft außerdem Ruts Handlung in Vv. 14-17 und Boaz' Handlungen in Rut 2,8f.15f und in Rut 3,11-15; 4,1-10 gesehen; ich würde außerdem durchaus ergänzen: Noomis Handeln in V. 8 (s. FN y + Anmerkungen). Will man sich auf nur einen Begriff festlegen - was sehr wünschenswert wäre, da es sich eben um das Schlüsselwort des Rutbuches handelt -, muss dieser also beschreiben: (a) Die vorbildliche Gesinnung einer Ehefrau gegenüber ihrem Ehemann und ihrer Schwiegermutter, (b) eine Haltung, die so gut ist, dass sie das gesetzlich und moralisch Gebotene so sehr übertreffen kann, dass sich selbst widervernünftige und sogar illegale Handlungen daraus ergeben können und (c) die Handlungsweise Gottes, wenn er sich dem schweren Geschick von Menschen gnädig erbarmt. Wäre ich (S.W.) LF-Übersetzer, würde ich »Güte« wählen, da diese Wiedergabe am ehesten zu allen drei Stellen passt. Auch die meisten Üss. haben entweder dies oder »Liebe«.</w:t>
      </w:r>
    </w:p>
  </w:footnote>
  <w:footnote w:id="183">
    <w:p>
      <w:pPr>
        <w:pStyle w:val="Funote"/>
        <w:rPr/>
      </w:pPr>
      <w:r>
        <w:rPr/>
        <w:footnoteRef/>
        <w:tab/>
        <w:t>Ruhe - schönes Wort: Heb. mänuchah ist (1) »Ruhe, Erholung«, (2) der Ort, wo man sich zur Erhohlung niederlassen kann, wo »Wohlsein« ist, und dann (3) allgemein die »Heimstatt«. Hier drückt es also gleichzeitig etwa das selbe wie das folgende im Haus ihres Mannes aus (»Jede von euch soll eine Heimstatt im Haus ihres Mannes finden«) als auch einen Gegensatz zur aktuellen leidvollen Situation des verwitwet-Seins und wandern-Müssens: Noomi segnet ihre Schwiegertöchter mit dem Wunsch eines angenehmen Ehelebens.</w:t>
      </w:r>
    </w:p>
  </w:footnote>
  <w:footnote w:id="184">
    <w:p>
      <w:pPr>
        <w:pStyle w:val="Funote"/>
        <w:rPr/>
      </w:pPr>
      <w:r>
        <w:rPr/>
        <w:footnoteRef/>
        <w:tab/>
        <w:t>tFN: JHWH vergelte es euch damit, dass (JHWH gebe, dass) ihr Ruhe findet - W.: »JHWH gebe euch, und findet Ruhe!«; mehrdeutige Syntax. Das Wort natan (»geben, vergelten«) kann u.a. (1) als zweiwertiges Verb (AGENS vergilt [es] REZIPIENT, s. z.B. Jer 17,10: JHWH vergilt es JEDEM (nach seinen Wegen)) und (2) als dreiwertiges Verb (AGENS vergilt REZIPIENT [etwas mit] PATIENS / AGENS gibt REZIPIENT PATIENS; s. z.B. Jos 15,19: DU gibst MIR DEN NEGEV) verwendet werden. Klar ist, dass in unserem Satz JHWH Agens und euch Rezipient ist; unklar ist, wie hier der folgende Imperativsatz findet Ruhe! hineinpasst. Möglich wäre: * (1) konsekutiver Imperativ: JHWH möge es euch vergelten, so dass ihr Ruhe findet...! (z.B. GKC §110i) * (2) gewöhnlicher Imperativ; das Waw (»und«) ist ein explikatives Waw: JHWH möge es euch vergelten: Ihr sollt Ruhe finden...! * (3) Der Imperativsatz übernimmt als Substantivsatz die Rolle des Patiens: JHWH möge euch geben / es euch damit vergelten, dass ihr Ruhe findet...! (z.B. JM §177h; Sasson 1979, S. 22-24) * (4) Der erste Satz ist ein Anakoluth: JHWH möge euch geben... - Findet Ruhe...! (z.B. Holmstedt 2010, S. 75; Schipper 2012, S. 645 sogar: JHWH möge euch geben... [Ach, vergesst es!] Findet Ruhe...!) * (5) Der erste Satz ist unvollständig und man muss textkritisch ein Patiens ergänzen (so ernsthaft Campbell 1975, S. 66). Analysiert man nach (1), (2) oder (3), ist diese Strittigkeit unerheblich für die Übersetzung, und ich sehe keinen Anlass, warum man nach (4) oder (5) analysieren sollte. Am wahrscheinlichsten ist Analyse (2), da »JHWH möge geben« eine häufige Einleitung für Segenssprüche ist (s. auch Rut 4,11; so ad loc. auch Zakovitch 1999, S. 90). Der Imperativ ist gewählt, um den Satz zu parallelisieren mit Geht! Kehrt zurück - jede in das Haus ihrer Mutter!, wo sich ebenfalls zwei Aufforderungen finden.</w:t>
      </w:r>
    </w:p>
  </w:footnote>
  <w:footnote w:id="185">
    <w:p>
      <w:pPr>
        <w:pStyle w:val="Funote"/>
        <w:rPr/>
      </w:pPr>
      <w:r>
        <w:rPr/>
        <w:footnoteRef/>
        <w:tab/>
        <w:t>Haus ihres Mannes - Klangspiel: ´ischah beth ´ischah. Gemeint ist auch hier nicht das Gebäude, sondern die neue Familie, in die die beiden eingegliedert werden sollen (s. FN x).</w:t>
      </w:r>
    </w:p>
  </w:footnote>
  <w:footnote w:id="186">
    <w:p>
      <w:pPr>
        <w:pStyle w:val="Funote"/>
        <w:rPr/>
      </w:pPr>
      <w:r>
        <w:rPr/>
        <w:footnoteRef/>
        <w:tab/>
        <w:t>Da erhoben sie ihre Stimmen, weinten - =„Da begannen sie zu weinen“.</w:t>
      </w:r>
    </w:p>
  </w:footnote>
  <w:footnote w:id="187">
    <w:p>
      <w:pPr>
        <w:pStyle w:val="Funote"/>
        <w:rPr/>
      </w:pPr>
      <w:r>
        <w:rPr/>
        <w:footnoteRef/>
        <w:tab/>
        <w:t>tFN: Nein! ({Nein!}) - Entweder adversatives ki, mit dem der vorangehenden Aufforderung Noomis emphatisch wiedersprochen werden soll (so z.B. Niccacci 1995, S. 74) oder ki zur Einleitung direkter Rede (weniger wahrscheinlich). Im letzteren Falle müsste man es unübersetzt lassen.</w:t>
      </w:r>
    </w:p>
  </w:footnote>
  <w:footnote w:id="188">
    <w:p>
      <w:pPr>
        <w:pStyle w:val="Funote"/>
        <w:rPr/>
      </w:pPr>
      <w:r>
        <w:rPr/>
        <w:footnoteRef/>
        <w:tab/>
        <w:t>[die Frau] eines Mannes - W. »um einem Mann zu sein«; Idiom für die Ehe.</w:t>
      </w:r>
    </w:p>
  </w:footnote>
  <w:footnote w:id="189">
    <w:p>
      <w:pPr>
        <w:pStyle w:val="Funote"/>
        <w:rPr/>
      </w:pPr>
      <w:r>
        <w:rPr/>
        <w:footnoteRef/>
        <w:tab/>
        <w:t>tFN: ja + ja...sogar - potenzierendes gam (vgl. schon Jacob 1912, S. 279; Labuschagne 1966).</w:t>
      </w:r>
    </w:p>
  </w:footnote>
  <w:footnote w:id="190">
    <w:p>
      <w:pPr>
        <w:pStyle w:val="Funote"/>
        <w:rPr/>
      </w:pPr>
      <w:r>
        <w:rPr/>
        <w:footnoteRef/>
        <w:tab/>
        <w:t>[selbst, wenn] - Brachylogie aus dem letzten Satz.</w:t>
      </w:r>
    </w:p>
  </w:footnote>
  <w:footnote w:id="191">
    <w:p>
      <w:pPr>
        <w:pStyle w:val="Funote"/>
        <w:rPr/>
      </w:pPr>
      <w:r>
        <w:rPr/>
        <w:footnoteRef/>
        <w:tab/>
        <w:t>deshalb (darauf, auf diese) + deshalb (darauf, an diese) - Heb. lahen; ein Aramäismus mit der Bedeutung »deshalb«. Weil der Aramäismus einigen problematisch scheint, deuten sie stattdessen entweder als la (»auf«, »an«) + hen (»dieses« - fem. für neutr.) = darauf oder emendieren gar zu lahem (»auf diese« - m.pl). Das ist unnötig; die zweite Lösung hat aber den starken Rückhalt von LXX, Syr, Tg, Altlatein und VUL.</w:t>
      </w:r>
    </w:p>
  </w:footnote>
  <w:footnote w:id="192">
    <w:p>
      <w:pPr>
        <w:pStyle w:val="Funote"/>
        <w:rPr/>
      </w:pPr>
      <w:r>
        <w:rPr/>
        <w:footnoteRef/>
        <w:tab/>
        <w:t>gebunden sein wollen - Bed. unsicher (-&gt; Hapax legomenon). Wörtlich wohl »gefangen sein«. Das Wort findet sich erst wieder in den Schriftrollen von Qumran und in der Mischna und bezeichnet dort die rechtliche Situation einer Frau, deren Mann verschollen ist und die deshalb an einen abwesenden Mann gebunden und so nicht heiratsfähig ist - ein komplexes rechtliches Konzept, das man so oder so frei wiedergeben muss. »An sie gebunden sein« nach Ehrlich 1914, S. 21; andere Wiedergabemöglichkeiten: Brichto 1973, S. 12 sehr gut: »endure hubandlessness«; GN: »allein bleiben«; Würthwein 1969, S. 8: »enthaltsam leben«. Ähnlich OEB »remain single«, doch das würde bei deutschen Lesern die falschen Assoziationen wecken.</w:t>
      </w:r>
    </w:p>
  </w:footnote>
  <w:footnote w:id="193">
    <w:p>
      <w:pPr>
        <w:pStyle w:val="Funote"/>
        <w:rPr/>
      </w:pPr>
      <w:r>
        <w:rPr/>
        <w:footnoteRef/>
        <w:tab/>
        <w:t>Noomis Worte müssen wohl so erklärt werden: Sie hat ihren Schwiegertöchtern in V. 9 eine Wiederheirat gewünscht und diese haben dagegen ihrem Wunsch Ausdruck verliehen, bei Noomi bleiben und zu ihrem Volk gehören zu dürfen. Beides ginge nur ineins, wenn besagte künftige Ehemänner die Söhne Noomis wären - die sie aber ja leider nicht hat.Die Annahme ist ganz unnötig, aus Noomi Worten spräche hier eine schiefe - oder gar: rechtskritische (Fischer 2001, S. 140f) - Vorstellung der Institution »Schwagerehe« (zu dieser Institution s. die Erläuterungen zu Kap. 4).</w:t>
      </w:r>
    </w:p>
  </w:footnote>
  <w:footnote w:id="194">
    <w:p>
      <w:pPr>
        <w:pStyle w:val="Funote"/>
        <w:rPr/>
      </w:pPr>
      <w:r>
        <w:rPr/>
        <w:footnoteRef/>
        <w:tab/>
        <w:t>Ach, mir ist es um euretwillen sehr bitter, dass - so z.B. Würthwein 1969, S. 8. Oder: Denn für mich ist es bitterer als für euch, dass.../, denn.../. Ach,... (so z.B. Campbell 1975, S. 61; Niccacci 1995, S. 75); oder: Denn meine Bitterkeit ist zu groß für euch (=zu groß, als dass ich sie euch zumuten wollte) (so z.B. Brichto 1973, S. 12; Holmstedt 2010; Loretz 1963, S. 44).</w:t>
      </w:r>
    </w:p>
  </w:footnote>
  <w:footnote w:id="195">
    <w:p>
      <w:pPr>
        <w:pStyle w:val="Funote"/>
        <w:rPr/>
      </w:pPr>
      <w:r>
        <w:rPr/>
        <w:footnoteRef/>
        <w:tab/>
        <w:t>dass die Hand JHWHs gegen mich ging - Zum Ausdruck s. ähnlich Ex 9,3; Dtn 2,15; Ri 2,15; 1Sam 5,6.9; 7,13; 12,15; (Jes 19,16; 25,10); der Sinn ist dann wohl etwa: »dass mich JHWH gestraft hat« (vgl. bes. Huntley 2013, S. 9-11).</w:t>
      </w:r>
    </w:p>
  </w:footnote>
  <w:footnote w:id="196">
    <w:p>
      <w:pPr>
        <w:pStyle w:val="Funote"/>
        <w:rPr/>
      </w:pPr>
      <w:r>
        <w:rPr/>
        <w:footnoteRef/>
        <w:tab/>
        <w:t>Und noch einmal erhoben sie ihre Stimme und weinten - =»Und noch einmal begannen sie, zu weinen«.</w:t>
      </w:r>
    </w:p>
  </w:footnote>
  <w:footnote w:id="197">
    <w:p>
      <w:pPr>
        <w:pStyle w:val="Funote"/>
        <w:rPr/>
      </w:pPr>
      <w:r>
        <w:rPr/>
        <w:footnoteRef/>
        <w:tab/>
        <w:t>Dann küsste Orpa ihre Schwiegermutter und (aber) Rut hängte sich an sie - Wohl bewusst mehrdeutig formuliert. Die meisten Übersetzungen vereindeutigen, z.B. de Waard/Nida 1992, S. 9: »Dann gab Orpa ihrer Schwiegermutter einen Abschiedskuss und kehrte nach Hause zurück; Rut aber blieb bei ihr«; ähnlich z.B. GN, HfA, NeÜ, NL. Das aber steht hier gerade nicht. Der Satzbau - ein sog. »invertierter Verbalsatz« (VERB-SUBJEKT - SUBJEKT-VERB: Und-es-küsste Orpa ihre-Schwiegermutter, und-Rut fiel-um-den-Hals ihr), von dem es oft heißt, in ihm komme schon der Kontrast der Reaktionen von Orpa und Rut zum Ausdruck (»Orpa tat X, Rut jedoch tat Y«) - kann auch nur ausdrücken, dass Orpa das eine und Rut das andere tut, ohne dass diese Taten notwendig einander gegenübersetehen müssten (»Orpa tat X und Rut tat Y«). Und was sie tun, ist naschaq (»küssen«) und dabaq (W.: »an etwas kleben«; erst sekundär übertragen »jmdm anhangen«, »jmdn lieben«). Dass der Kuss Orpas als Abschiedskuss verstanden werden muss, wird erst aus dem nächsten Vers klar, und auch dies dabaq könnte nur heißen, dass Rut Noomi umarmte (gut Loretz 1963, S. 44: »Orpa küßte ihre Schwiegermutter, während Rut sich an sie klammerte«; vgl. auch Zenger 1986, S. 40.).Die Reaktion der Schwiegertöchter in V. 14 auf den zweiten Redegang Noomis in Vv. 11-13 wird ebenso eingeleitet wie ihre Reaktion in V. 10 auf Noomis ersten Redegang in Vv. 8f: »Da erhoben sie ihre Stimmen und weinten«. Darauf folgt in V. 10 die Weigerung, Noomi zu verlassen; gespannt wartet also der Leser darauf, wie sie in V. 14 auf den zweiten Redegang Noomis reagieren werden - und genau das hält der Vers in der Schwebe; es ist hier eben noch nicht sicher, ob das »küssen« und »sich-anhängen« die Einleitung für den Abschied der beiden ist, oder Einleitung für eine noch emphatischere Willensbekundung, bei Noomi bleiben zu wollen (à la »Orpa küsste sie, Rut fiel ihr um den Hals, und beide riefen: ‚Nein, keinesfalls wollen wir dich verlassen!‘«). Es wäre sehr schade, wenn das durch eine Vereindeutigung der Übersetzung verloren ginge.</w:t>
      </w:r>
    </w:p>
  </w:footnote>
  <w:footnote w:id="198">
    <w:p>
      <w:pPr>
        <w:pStyle w:val="Funote"/>
        <w:rPr/>
      </w:pPr>
      <w:r>
        <w:rPr/>
        <w:footnoteRef/>
        <w:tab/>
        <w:t>tFN: {Siehe} + [also] - W. »Siehe«, doch das heb. hinneh signalisiert nur, dass die folgende Aussage direkt relevant ist für die aktuelle Situation oder eine folgende Äußerung. Treffender daher eine Übersetzung mit »also« o.Ä.</w:t>
      </w:r>
    </w:p>
  </w:footnote>
  <w:footnote w:id="199">
    <w:p>
      <w:pPr>
        <w:pStyle w:val="Funote"/>
        <w:rPr/>
      </w:pPr>
      <w:r>
        <w:rPr/>
        <w:footnoteRef/>
        <w:tab/>
        <w:t>kehrt ... zurück + hinter - theoretisch auch möglich: »ist zurückgekehrt«; doch das würde nur Sinn machen, wenn wir zwischen Vv. 14.15 eine längere Zeitspanne vergehen lassen. Dass das so ist, folgt auch nicht aus dem Ausdruck hinter deiner Schwägerin, denn das heb. achar (»hinter«) kann auch nur »mit« bedeuten (vgl. z.B. Scott 1949, S. 178f). Besser als »Deine Schwägerin ist zurückgekehrt... Kehre [auch du] zurück, hinter deiner Schwägerin her« daher »Deine Schwägerin kehrt zurück ... Kehre [auch du] zusammen mit deiner Schwägerin zurück.«</w:t>
      </w:r>
    </w:p>
  </w:footnote>
  <w:footnote w:id="200">
    <w:p>
      <w:pPr>
        <w:pStyle w:val="Funote"/>
        <w:rPr/>
      </w:pPr>
      <w:r>
        <w:rPr/>
        <w:footnoteRef/>
        <w:tab/>
        <w:t>vom mit-dir-[Sein] - die selbe Präposition wie in V. 15. Noomi fordert Rut auf zum »mit-Orpa-Sein« und zum Zurückkehren zu deren Volk und deren Gott. Rut stellt dem das »mit-Noomi-Sein« entgegen und entscheidet sich ineins damit auch für deren Volk und Gott.</w:t>
      </w:r>
    </w:p>
  </w:footnote>
  <w:footnote w:id="201">
    <w:p>
      <w:pPr>
        <w:pStyle w:val="Funote"/>
        <w:rPr/>
      </w:pPr>
      <w:r>
        <w:rPr/>
        <w:footnoteRef/>
        <w:tab/>
        <w:t>[einzig] - Fokuspartikel wie »nur«, »selbst« etc. werden im Heb. häufig nicht gesetzt, wo das Dt. sie setzen würde; im Dt. muss man sie sich daher dazudenken (ad loc. vgl. z.B. Ehrlich 1914, S. 22).</w:t>
      </w:r>
    </w:p>
  </w:footnote>
  <w:footnote w:id="202">
    <w:p>
      <w:pPr>
        <w:pStyle w:val="Funote"/>
        <w:rPr/>
      </w:pPr>
      <w:r>
        <w:rPr/>
        <w:footnoteRef/>
        <w:tab/>
        <w:t>Solches tue mir JHWH und solches füge er hinzu, wenn nicht [einzig] der Tod uns scheiden wird - Häufige Schwurformel in Form einer Selbstverfluchung (vgl. z.B. Campbell 1975, S. 74; JM §165a; Zakovitch 1999, S. 98): Der erste, stets konstante, Teil dieser Formel ist »Solches tue mir Gott und solches füge er hinzu«. Er entspricht in seiner Funktion etwa dem dem Deutschen »Ich will auf der Stelle tot umfallen, wenn...«; das »solches ... und solches« ist dabei vermutlich nur ein Ersatz für die eigentliche Selbstverfluchung, die im Bibeltext nicht wörtlich ausgeführt wird. Der zweite Teil wird entweder mit heb. ´im oder mit heb. ´im lo oder - wie hier - ki eingeleitet; im ersteren Fall ist die Bedeutung des Nachsatzes »wenn X geschieht«, im zweiten Fall »wenn nicht X geschieht« (s. noch 1 Sam 14,44; 20,13; 2 Sam 3,9; 1Kön 2,23; 19,2). Hier würde man also im Dt. etwa formulieren »Nichts als allein der Tod wird mich von dir trennen können; das schwöre ich - und wenn es nicht stimmt, will ich auf der Stelle tot umfallen«. Keinesfalls kann man hier wörtlich übersetzen, da einem deutschen Leser diese wörtliche Übersetzung ganz unverständlich bleiben müsste. de Waard/Nida 1992, S. 18 schlagen daher vor: »May the Lord's worst punishment come upon me« (so auch GN, HfA, NL, TEV); ähnlich Moffatt.Ein wichtiger Unterschied zwischen der Standardform dieser Selbstverfluchung und unserer Stelle ist, dass nicht wie sonst die Gottesbezeichnung elohim, sondern der Gottesname JHWH vewendet wird. Wie schon in ihrem Ausspruch »dein Gott sei mein Gott« kommt hier zum Ausdruck: Rut schließt sich hier nicht nur Noomi, sondern ihrem Volk und damit den Reihen der JHWH-Verehrer an.</w:t>
      </w:r>
    </w:p>
  </w:footnote>
  <w:footnote w:id="203">
    <w:p>
      <w:pPr>
        <w:pStyle w:val="Funote"/>
        <w:rPr/>
      </w:pPr>
      <w:r>
        <w:rPr/>
        <w:footnoteRef/>
        <w:tab/>
        <w:t>tFN: wie entschlossen - gut analysiert von Holmstedt 2010, S. 93: W.: »Und sie sah, dass sie-war-entschlossen sie«. Das zweite »sie« ist eigentlich unnötig und würde häufiger vor dem »sie-war-entschlossen« gesetzt werden. Hier ist es dennoch gesetzt und das »sie-war-entschlossen« vor das »sie« gezogen, um es besonders zu betonen; besser daher nicht: »Da sah sie, dass sie entschlossen war«, sondern »Da sah sie, wie entschlossen sie war«.</w:t>
      </w:r>
    </w:p>
  </w:footnote>
  <w:footnote w:id="204">
    <w:p>
      <w:pPr>
        <w:pStyle w:val="Funote"/>
        <w:rPr/>
      </w:pPr>
      <w:r>
        <w:rPr/>
        <w:footnoteRef/>
        <w:tab/>
        <w:t>die beiden [gemeinsam] - Das Dual-pronomen ist auch hier wieder bewusst gewählt (s. Anmerkungen). Im Dt. sollte man das besser durch die Einfügung eines »gemeinsam« o.Ä. ausdrücklich machen.</w:t>
      </w:r>
    </w:p>
  </w:footnote>
  <w:footnote w:id="205">
    <w:p>
      <w:pPr>
        <w:pStyle w:val="Funote"/>
        <w:rPr/>
      </w:pPr>
      <w:r>
        <w:rPr/>
        <w:footnoteRef/>
        <w:tab/>
        <w:t>sie - ungewöhnlicherweise Femininum; nur die Frauen Betlehems scheinen hier gemeint zu sein.</w:t>
      </w:r>
    </w:p>
  </w:footnote>
  <w:footnote w:id="206">
    <w:p>
      <w:pPr>
        <w:pStyle w:val="Funote"/>
        <w:rPr/>
      </w:pPr>
      <w:r>
        <w:rPr/>
        <w:footnoteRef/>
        <w:tab/>
        <w:t>geriet außer sich + Doch dann sagten sie (und sie sagten) + Ist das [nicht] ([wirklich]) Noomi? - Warum die ganze Stadt in Aufregung gerät, ist nicht näher ausgeführt. Viele mutmaßen, dass die Frauen der Stadt mitleidig-schockiert seien, weil Noomi so abgehärmt aussehe. In diesem Falle wäre zu übersetzen: »...geriet die ganze Stadt in Aufruhr, und die Frauen riefen aus: ‚Ist das wirklich Noomi!?‘«.Es heißt aber: Die ganze Stadt gerät in Aufregung »wegen ihnen«; Anlass der Aufregung ist also die ganze Zweiergruppe (so auch Fischer 2001, S. 151). Vielleicht also besser so: Die ganze Stadt gerät in Aufruhr, weil sie zunächst beide Frauen für Moabiterinnen gehalten haben - und dann kommt Erleichterung auf: Die eine Frau ist gar keine Moabiterin, sondern ein bekanntes Gesicht! In diesem Fall wäre zu übersetzen: »...geriet die ganze Stadt in Aufruhr - doch dann riefen die Frauen: ‚Ach, das ist doch Noomi!‘« (zur Deutung als Ausruf vgl. z.B. Jongeling 1978). Doch natürlich ist auch das nur eine Spekulation; genau so gut könnte etwa Schadenfreude aus dem Ausruf der Frauen sprechen (s. Jes 27,7; Klg 2,15) und Noomi will im Folgenden mit ihrem Schuldeingeständnis und ihrer Leidensschilderung diese Schadenfreude unterlaufen. Der Text bietet hier einfach zu wenig Anhaltspunkte.</w:t>
      </w:r>
    </w:p>
  </w:footnote>
  <w:footnote w:id="207">
    <w:p>
      <w:pPr>
        <w:pStyle w:val="Funote"/>
        <w:rPr/>
      </w:pPr>
      <w:r>
        <w:rPr/>
        <w:footnoteRef/>
        <w:tab/>
        <w:t>Schaddai - Eine alte Bezeichnung für Gott; bes. häufig wird sie verwendet, wenn JHWH als strafender Gott dargestellt werden soll - fast 2/3 der Belegstellen finden sich daher im Buch Ijob. Die wörtliche Bedeutung ist unsicher; recht hoch im Kurs stehen in der Diskussion die beiden Vorschläge »Der vom Berge« und »Gott der Wildnis« (vgl. DDD, S. 749f). Die beiden Gottesnamen bilden einen Chiasmus: Schaddai hat mich sehr verbittert [...] : Leer lässt mich JHWH zurückkehren. [...] : JHWH hat mich gedemütigt und Schaddai hat mir Böses angetan. (vgl. Hongisto 1985, S. 21)JHWH wird durch diese Struktur und durch die Gleichschaltung mit der Bezeichnung »Schaddai« als strafender Gott vorgestellt.</w:t>
      </w:r>
    </w:p>
  </w:footnote>
  <w:footnote w:id="208">
    <w:p>
      <w:pPr>
        <w:pStyle w:val="Funote"/>
        <w:rPr/>
      </w:pPr>
      <w:r>
        <w:rPr/>
        <w:footnoteRef/>
        <w:tab/>
        <w:t>Voll + leer bezieht sich offensichtlich auf die drei verlorenen Familienmitglieder Noomis (vgl. auch TgRut 1,21: »Ich ging voll weg - mit meinem Mann und meinen Söhnen; und der Herr hat mich zurückgebracht - leer von ihnen« (Üs. nach Levine 1973, S. 24); RutR 1,21: »‚Voll ging ich von hier‘ d.i. voll mit Söhnen und Töchtern« (Üs.: Wünsche 1883, S. 30) u.ö.) und ihre Besitzlosigkeit (s. Anmerkungen).Wörtlich lässt sich das nicht übertragen; ganz gut gelöst bei GN: »Mit meinem Mann und mit zwei Söhnen bin ich von hier weggezogen; arm und ohne Beschützer lässt der Herr mich heimkehren.«</w:t>
      </w:r>
    </w:p>
  </w:footnote>
  <w:footnote w:id="209">
    <w:p>
      <w:pPr>
        <w:pStyle w:val="Funote"/>
        <w:rPr/>
      </w:pPr>
      <w:r>
        <w:rPr/>
        <w:footnoteRef/>
        <w:tab/>
        <w:t>Textkritik: mich erniedrigt hat (gedemütigt hat, gegen mich Zeugnis abgelegt hat) - Heb. `anah b-. Im Hebräischen gibt es mehrere `anah lautende Wörter mit us. Bedeutung; hier kommen in Frage `anah I (»Zeugnis ablegen«) und `anah II (»erniedrigen, demütigen«); dies zweite müsste zudem als `innah punktiert werden (=&gt; Textkritik). MT und Tg deuten als `anah I, LXX, Syr, VUL als `anah II.Beide Wörter sind aber problematisch: `anah I ist semantisch schwierig, da es nie von JHWH ausgesagt wird - vor wem schließlich sollte JHWH als Zeuge auftreten? - und keinen guten Parallelismus mit der folgenden Zeile bildet, `anah II dagegen steht sonst nie mit b-. Die meisten Exegeten gewichten das zweite Problem merkwürdigerweise höher als das erste; dabei handelt es sich hier um ein argumentum ex silentio (so auch Moore 1997, S. 236 - allerdings kein schwaches; `anah II findet sich recht häufig in der Bibel). Dennoch sollte man daher wohl doch besser als `anah II lesen; so z.B. auch Gray 1967, S. 378.389; Hamlin 1996, S. 22 (?); Köhlmoos 2010, S. 24; LaCocque 2004, S. 58; Levine 1973, S. 63; Linafelt 1999, S. 19; Morris 1968, S. 263; Myers 1955, S. 22.</w:t>
      </w:r>
    </w:p>
  </w:footnote>
  <w:footnote w:id="210">
    <w:p>
      <w:pPr>
        <w:pStyle w:val="Funote"/>
        <w:rPr/>
      </w:pPr>
      <w:r>
        <w:rPr/>
        <w:footnoteRef/>
        <w:tab/>
        <w:t>tFN: So also - W. »Und sie kehrte zurück«; einer der seltenen Fälle, in denen die Verbform Wayyiqtol als zusammenfassender Abschluss einer Erzählung verwendet wird (»summierendes Wayyiqtol«; vgl. JM §117i).</w:t>
      </w:r>
    </w:p>
  </w:footnote>
  <w:footnote w:id="211">
    <w:p>
      <w:pPr>
        <w:pStyle w:val="Funote"/>
        <w:rPr/>
      </w:pPr>
      <w:r>
        <w:rPr/>
        <w:footnoteRef/>
        <w:tab/>
        <w:t>die zurückkehrte - theoretisch auch möglich: »Und Rut, die Moabiterin, ihre Schwiegertochter, [war] bei ihr - [sie], die zurückkehrte...«; d.h. »die zurückkehrte« wäre nicht auf Noomi, sd. auf Rut zu beziehen. So merkwürdigerweise z.B. Holmstedt 2010, S. 95, weil »Relativsätze überwiegend den nächstmöglichen Referenten modifizieren« - aber das ist doch das ihr (=Noomi) in bei ihr, und nicht Rut? tFN: zum Artikel als Relativpartikel vgl. IBHS §19.7.d; JM §145e.</w:t>
      </w:r>
    </w:p>
  </w:footnote>
  <w:footnote w:id="212">
    <w:p>
      <w:pPr>
        <w:pStyle w:val="Funote"/>
        <w:rPr/>
      </w:pPr>
      <w:r>
        <w:rPr/>
        <w:footnoteRef/>
        <w:tab/>
        <w:t>[„Mischna“: eine alte Sammlung jüdischer Rechtstexte]</w:t>
      </w:r>
    </w:p>
  </w:footnote>
  <w:footnote w:id="213">
    <w:p>
      <w:pPr>
        <w:pStyle w:val="Funote"/>
        <w:rPr/>
      </w:pPr>
      <w:r>
        <w:rPr/>
        <w:footnoteRef/>
        <w:tab/>
        <w:t xml:space="preserve">[Indirekt wichtig für das Verständnis von Rut 2 ist außerdem ein weiteres Armenrecht: das </w:t>
      </w:r>
      <w:r>
        <w:rPr>
          <w:b/>
        </w:rPr>
        <w:t>Schikchah-Recht</w:t>
      </w:r>
      <w:r>
        <w:rPr/>
        <w:t>, das seine biblische Grundlage in Dtn 24,19 hat. In den Kommentaren zum Rutbuch heißt es stets, dass die Nachleser erst aufs Feld durften, wenn die Schnitter und die Garbenbinder ihre Arbeit bereits erledigt hatten und die Garben bereits abtransportiert waren, dass deshalb Boas Rede von Ruts Nachlese „zwischen den Garben“ in V. 15 eine besondere Bevorzugung bedeute und dass es ganz unmöglich sei, dass Rut selbst bereits in V. 7 bitten würde, „bei den Garben“ sammeln zu dürfen (Bush 1996, S. 114: „It stretches credulity to the breaking point“). Das ist wahrscheinlich nicht so: Das Schikchah-Recht besagt, dass ganze Garben, die auf dem Feld liegen geblieben waren - „vergessen“ worden waren -, nachdem das geerntente Getreide zur Tenne oder zu einem sonstigen Dreschplatz gebracht worden war, ebenfalls den Armen gehörten. Pe´ah 5,7 führt näher aus, dass Garben, die von den Erntearbeitern deshalb „vergessen“ worden waren, weil ein Armer sie mit seinem Körper vor dem Blick eines Erntearbeiters abgeschirmt oder sie mit Stoppeln abgedeckt und so vor dem Erntearbeiter versteckt hatte, nicht als „vergessen“ gerechnet werden und daher auch nicht den Armen überlassen werden mussten. Und Tosefta Pe´ah 2,4 („Toseftot“: Alte jüdische Sammlungen mündlicher Überlieferungen zur Ergänzung der Mischna) spricht von dem Fall, dass Arme nicht nur heruntergefallene Leqet-Ähren nachlasen, sondern zusätzlich Ähren von den Garben stahlen. Wir müssen nicht glauben, dass diese rechtlichen Regelungen schon zur Abfassungszeit des Rutbuches galten, aber die Rückschlüsse über den Ablauf der Nachlese darf man wohl doch schon für diese Zeit ziehen - nämlich kann man erstens daraus ableiten, dass es durchaus nicht selten war, dass Arme an Garben vorbeikamen, bevor diese zum Dreschplatz transportiert worden waren - nämlich eben während der Leqet-Lese, bei der die Nachleser neben oder hinter den Garbenbindern den Schnittern auf dem Fuß folgten (s. Vv. 2.3.7.9: „hinter den Schnittern lesen“, was jedenfalls nicht heißen kann: „lesen, sobald die Schnitter [und die anderen Erntearbeiter] ihre Arbeit beendet haben“). Und aus der ersten Vorschrift darf man wohl weiterhin ableiten, dass solche Arme, die gerade ihr Leqet-Recht in Anspruch nahmen, auch häufiger in die Trickkiste griffen, um künstlich den Ertrag ihrer auf die Ernte folgenden Schikchah-Nachlese nach oben zu treiben, und dass dies auch häufig Stoff für Konflikte zwischen Erntearbeitern und Nachlesern führte. Wahrscheinlich ist es also durchaus nicht anmaßend, wenn Rut bittet, „bei den Garben hinter den Schnittern“ sammeln zu dürfen, und keine besondere Bevorzugung, wenn Boas von Ruts Sammeln „zwischen“ den Garben spricht: Bei der Leqet-Nachlese befand sich der Nachleser ganz regulär „zwischen den Garben“ - und hatte eben deshalb auch de Möglichkeit, mit den Garben zu tricksen. Laut dem Midrasch ist es sogar Alleinstellungsmerkmal der Rut, dass sie als einzige nicht „einfach so“ „zwischen“ den Garben sammelt, sondern erst auf die feierliche Erlaubnis des Boas wartet.]</w:t>
      </w:r>
    </w:p>
  </w:footnote>
  <w:footnote w:id="214">
    <w:p>
      <w:pPr>
        <w:pStyle w:val="Funote"/>
        <w:rPr/>
      </w:pPr>
      <w:r>
        <w:rPr/>
        <w:footnoteRef/>
        <w:tab/>
        <w:t>[Status: Zuverlässig]</w:t>
      </w:r>
    </w:p>
  </w:footnote>
  <w:footnote w:id="215">
    <w:p>
      <w:pPr>
        <w:pStyle w:val="Funote"/>
        <w:rPr/>
      </w:pPr>
      <w:r>
        <w:rPr/>
        <w:footnoteRef/>
        <w:tab/>
        <w:t>Textkritik: Verwandten (Bekannten) - beide Varianten finden sich in der Überlieferung des heb. Textes; u.a. haben Ketiv und LXX „Bekannter“ und Qere und VUL „Verwandter“. Die Bedeutung ist also entweder „Noomi war über ihren Ehemann mit einem Mann verwandt“ oder „Noomi war über ihren Ehemann mit einem Mann bekannt“. Fast alle - und deshalb auch wir - folgen der Variante „Verwandter“, aber man sollte doch fragen, was denn dann der Mehrwert des folgenden „er war aus der Sippe Elimelechs“ wäre. Auch lässt sich gerade wegen dieses Nachsatzes ein sekundäres Entstehen der Variante „Verwandter“ sehr viel besser erklären als der Variante „Bekannter“, und schließlich würde „Bekannter“ auch strukturell gut Sinn machen, da Boas im Verlauf des Kapitels verwandtschaftlich immer näher an Rut und Noomi heranzurücken scheint (1a: Bekannter =&gt; 1b: aus der Sippe Elimelechs =&gt; 20a: Verwandter =&gt; 20b: Goel (d.h. maximal um eine Ecke verwandt)), bis er in Rut 4,3 dann sogar als „unser Bruder“ bezeichnet wird und ihm Goel- und Schwagerehenpflichten und -rechte zugesprochen werden (s. dort), was dann der Knackpunkt des ganzen Kapitels sein wird.</w:t>
      </w:r>
    </w:p>
  </w:footnote>
  <w:footnote w:id="216">
    <w:p>
      <w:pPr>
        <w:pStyle w:val="Funote"/>
        <w:rPr/>
      </w:pPr>
      <w:r>
        <w:rPr/>
        <w:footnoteRef/>
        <w:tab/>
        <w:t>mächtiger, fähiger Mann - W. isch („Mann“) gibbor („heldenhaft, stark, mächtig“) chajil („stark/fähig/wohlhabend“). Häufiger stehender Ausdruck, der fast stets für „mächtige Krieger“ steht. Weil das an unserer Stelle nicht gut in den Kontext passt, geht man meist entweder nicht von diesem stehenden Ausdruck aus, sondern von seinen einzelnen Bestandteilen, ignoriert dann auch noch häufig das gibbor und macht Boas so zu einem „(sehr) wohlhabenden/angesehenen(? - vielleicht eine Umdeutung von »heldenhaft«?) Mann“ (so z.B. ELB, FREE, H-R, LUT, MEN, NeÜ, SLT, TAF, van Ess, ZÜR), oder man leitet aus 1 Sam 9,1 und 2 Kön 15,20 ab, dass die Wendung isch gibbor chajil auch für reiche Grundbesitzer stehen könne (so viele Kommentare, auch EÜ) - dabei ist an keiner der beiden Stellen von Grundbesitz die Rede, und auch wenn es sich dort auf Grundbesitzer beziehen würde, darf man daraus ja nicht ableiten, dass die Wendung deshalb auch „vermögender Grundbesitzer“ bedeutet. Beide Lösungen sind also recht problematisch; vielleicht besser so: Ein isch gibbor chajil zu sein ist im Alten Israel ein stereotyper Bestandteil eines männlichen Tugendkatalogs: König David ist ein solcher, außerdem ist er schön und zudem redegewandt und musikalisch (s. 1 Sam 16,18). Ähnlich ist Kisch ein solcher und sein Sohn Saul ist schön (s. 1 Sam 9,1f). Ähnlich auch Jerobeam, der außerdem ein guter Handwerker ist (1 Kön 11,28) und Naaman, der außerdem von seinem Herrn geschätzt und voll der Ehre ist (s. 2 Kön 5,1); und wohl aus diesem Grund kann es dann in Jes 5,22 sogar metaphorisch-sarkastisch für Trunkenbolde verwendet werden („heldenhafte Weintrinker und mächtige Alkoholmischer“). Vielleicht heißt es an unserer Stelle also nur: „Boas ist ein mächtig starker Typ“, und ein „mächtig starker Typ“ ist nach der verbreiteten Ansicht (/dem literarischen Stereotyp?) zu biblischer Zeit stets ein „mächtiger Krieger“.Sehr wichtig ist in unserem Kontext aber außerdem, dass Boas in Rut 3,11 Rut als eine eschet chajil bezeichnet und sie so mit sich auf eine Stufe stellt; es ist daher sehr zu empfehlen, das Wort an beiden Stellen gleich zu übersetzen. Beides zusammennehmend scheint mir hier „mächtiger, fähiger Mann“ die sinnvollste Übersetzung zu sein.</w:t>
      </w:r>
    </w:p>
  </w:footnote>
  <w:footnote w:id="217">
    <w:p>
      <w:pPr>
        <w:pStyle w:val="Funote"/>
        <w:rPr/>
      </w:pPr>
      <w:r>
        <w:rPr/>
        <w:footnoteRef/>
        <w:tab/>
        <w:t>aus der Sippe Elimelechs - „Sippe“ = soziale Größe. Die Keimzelle der altisraelitischen Gesellschaft ist die „Familie“ (wörtl.: das „Haus“). Eine Stufe darüber steht die „Sippe“ - die „Großfamilie“ -, von denen es im Alten Israel etwa 60 Stück gab und von denen jede zu bevölkerungsreichen Zeiten wohl durchschnittlich etwa 10.000 Mitglieder hatte (vgl. Andersen 1969, S. 35). Noch eine Stufe darüber stehen die „zwölf Stämme“ (vgl. näher Verwandschaft (AT) (Wibilex)). Dass Boas aus der „Sippe“ Elimelechs stammt, heißt also, dass sie irgendwie verwandt sind; über den Grad der Verwandtschaft sagt es erst mal nichts.Erwähnenswert ist noch, dass Boas in diesem ersten Vers zweimal über Elimelech ausschließlich der Noomi zugeordnet wird; am Ende des Kapitels (V. 20) dagegen wiederum doppelt ohne die Zwischenschaltung Elimelechs sowohl Noomi als auch Rut - was gut zum in FN a erwähnten verwandschaftlich-näher-Heranrücken des Boas an die beiden Frauen passt.</w:t>
      </w:r>
    </w:p>
  </w:footnote>
  <w:footnote w:id="218">
    <w:p>
      <w:pPr>
        <w:pStyle w:val="Funote"/>
        <w:rPr/>
      </w:pPr>
      <w:r>
        <w:rPr/>
        <w:footnoteRef/>
        <w:tab/>
        <w:t>Boas (der Kraftvolle, der Scharfsinnige) - ein weiterer Name mit umstrittener Bedeutung. Die meisten deuten als bo az/oz („in ihm [ist] Kraft“), was sehr gut zu seiner Charakterisierung als isch gibbor chajil passt (s. FN b); vorgeschlagen wurde aber auch eine Ableitung vom arabischen barzun („Geistesstärke“), so z.B. Noth 1928, S. 228. Interessant in unserem Kontext ist vielleicht noch, dass vergleichbare Namen in Moab sehr verbreitet waren (vgl. z.B. die Namensliste in Snyder 2010, S. 669).</w:t>
      </w:r>
    </w:p>
  </w:footnote>
  <w:footnote w:id="219">
    <w:p>
      <w:pPr>
        <w:pStyle w:val="Funote"/>
        <w:rPr/>
      </w:pPr>
      <w:r>
        <w:rPr/>
        <w:footnoteRef/>
        <w:tab/>
        <w:t>Feld (V. 2), Feldstück (V. 3) - »Feld«: Das gesamte Ackerland um Betlehem herum, im Unterschied zum »Feldstück«, das nur den Anteil des Boas an diesem gesamten Ackerland bezeichnet (vgl. z.B. Köhlmoos 2010, S. 31).</w:t>
      </w:r>
    </w:p>
  </w:footnote>
  <w:footnote w:id="220">
    <w:p>
      <w:pPr>
        <w:pStyle w:val="Funote"/>
        <w:rPr/>
      </w:pPr>
      <w:r>
        <w:rPr/>
        <w:footnoteRef/>
        <w:tab/>
        <w:t>Ich würde [gerne] gehen (V. 2) + Ich würde [gerne] lesen (V. 7) - W. »Ich will gehen/lesen-na´« / »Lass mich gehen/lesen-na´«. na´ ist ein sog. »Höflichkeitsmarker« (vgl. bes. Wilt 1996; z.St. auch Holmstedt 2010, S. 106); die vorgeschlagene Übersetzung trifft den Tonfall von Ruts Äußerung daher wesentlich besser.</w:t>
      </w:r>
    </w:p>
  </w:footnote>
  <w:footnote w:id="221">
    <w:p>
      <w:pPr>
        <w:pStyle w:val="Funote"/>
        <w:rPr/>
      </w:pPr>
      <w:r>
        <w:rPr/>
        <w:footnoteRef/>
        <w:tab/>
        <w:t>tFN: an den Ähren mitlesen: Nicht »in den Ähren lesen«; die Präposition b- hat hier die Funktion eines »Beth comitatus«: an den Ähren mit-lesen (so z.B. Gerleman 1965, S. 23; Joüon 1913, S. 200; Zenger 1986, S. 55). Zum Ährenlesen s. näher die Anmerkungen.</w:t>
      </w:r>
    </w:p>
  </w:footnote>
  <w:footnote w:id="222">
    <w:p>
      <w:pPr>
        <w:pStyle w:val="Funote"/>
        <w:rPr/>
      </w:pPr>
      <w:r>
        <w:rPr/>
        <w:footnoteRef/>
        <w:tab/>
        <w:t>hinter dem, in dessen Augen ich Gefallen finde - häufige geprägte Wendung im Heb., die noch zwei weitere Male in diesem Kapitel kommen wird und jedes Mal anders zu übersetzen ist (s.u.). Hier drückt es aus, dass Rut für ihr Nachlesen des Wohlgefallens eines Mannes bedarf (s. die Anmerkungen). Sehr gut daher EÜ: »Ähren lesen, wo es mir jemand erlaubt«; ähnlich de Waard/Nida 1992, S. 22; H-R, HER05, HfA, MEN, NeÜ, NL, OEB. Noch treffender GN: »Ich finde schon jemand, der freundlich zu mir ist und es mir erlaubt.«, PAT: »bei jemand, der es mir freundlich erlaubt«</w:t>
      </w:r>
    </w:p>
  </w:footnote>
  <w:footnote w:id="223">
    <w:p>
      <w:pPr>
        <w:pStyle w:val="Funote"/>
        <w:rPr/>
      </w:pPr>
      <w:r>
        <w:rPr/>
        <w:footnoteRef/>
        <w:tab/>
        <w:t>Geh, meine Tochter! muss frei übersetzt werden. Das Hebräische hat kein Wort für „Ja“; Zustimmung wird daher ausgedrückt, indem eine vorige Äußerung teilweise wieder aufgegriffen wird (hier also: „Ich würde gerne gehen“ - „Geh!“; vgl. bes. Greenstein 1989, S. 53). Noomis Antwort klingt daher wörtlich übersetzt wesentlich knapper und harrscher, als sie eigentlich ist (vgl. z.B. etwas unglücklich EÜ: „Geh, Tochter!“). Besser de Waard/Nida 1992, S. 22; T4T: „Go ahead!“ (=„Mach das“); GN, NeÜ, MEN, NL: „Geh nur, meine Tochter“. Am besten HfA: „‚Ja‘, antwortete Noomi, ‚geh nur!‘“</w:t>
      </w:r>
    </w:p>
  </w:footnote>
  <w:footnote w:id="224">
    <w:p>
      <w:pPr>
        <w:pStyle w:val="Funote"/>
        <w:rPr/>
      </w:pPr>
      <w:r>
        <w:rPr/>
        <w:footnoteRef/>
        <w:tab/>
        <w:t>ging und kam - Zu „ging und kam und...“ s. bes. noch 2 Sam 11,22: „Der Bote ging und kam und sagte David alles“. Es gibt noch viele ähnliche Stellen in der Bibel: Wenn im Hebräischen von einer Reise berichtet wird, kann der „Reisebericht“ häufig in die beiden „Reise-Episoden“ „(Fort)gehen“ und „Ankommen“ aufgesplittet werden. Oft dient diese Stileigentümlichkeit des Heb. zusätzlich dazu, einen Aspekt der Reise näher zu spezifizieren; z.B. die Reisegruppenkonstellation (Ri 13,11; 1 Sam 28,8; 30,9), den Reiseanlass (1 Sam 17,20; 1 Kön 19,3), den Reisemodus (1 Sam 19,18; 2 Sam 17,18; 1 Kön 20,43) oder nähere Angaben zu Ort (1 Sam 19,22; 1 Kön 17,10) und Zeit (2 Sam 4,5). Aber ebenso häufig - und wichtiger für unsere Stelle - ist, dass diese Stileigentümlichkeit ohne eine derartige Spezifizierung dann angewandt wird, wenn ausgedrückt werden soll, dass die Reise etwas länger dauert (Num 13,26; Jos 2,1; Ri 19,10; 1 Kön 14,17; 2Kön 4,25; 8,14; vgl. außerdem noch die Botenauftragsformel „Geh, komm!“ in 2 Kön 5,5; Jes 22,15; Ez 3,4.11). So ist wohl auch unsere Stelle zu verstehen: Rut sammelt nicht auf dem erstbesten Feldstück bei der Stadt, sondern „sie ging und kam“ soll ausdrücken, dass das das Feld etwas abseits liegt und sie eine längere Strecke dorthin zurücklegen musste - und umso größer ist der Zufall, dass es dann gerade das Feldstück des Boas ist, auf das sie gerät. So haben es wohl außerdem schon LXX, Syr und VUL verstanden, die einfach nur mit „sie ging“ übersetzen.</w:t>
      </w:r>
    </w:p>
  </w:footnote>
  <w:footnote w:id="225">
    <w:p>
      <w:pPr>
        <w:pStyle w:val="Funote"/>
        <w:rPr/>
      </w:pPr>
      <w:r>
        <w:rPr/>
        <w:footnoteRef/>
        <w:tab/>
        <w:t>([Und das kam so: ]) - Hier müssen wir zu einer unwahrscheinlicheren der möglichen Deutungen greifen, weil wir nach den SF-Kriterien in V. 7 zu einer etablierten Verlegenheitsübersetzung greifen müssen (s. dort): Der Satz ist als einfache Aussage zu lesen, der den Beginn von Ruts Nachlesetätigkeit angibt.Eigentlich wahrscheinlicher: Gar nicht selten finden sich in der Bibel sogenannte „proleptische Summarien“, d.h. Sätze, die nicht eigentlich zur „story“ gehören, sondern zusammenfassend eine folgende Handlung vorwegnehmen (vgl. bes. Ska 1995). Ein solches proleptisches Summarium ist auch „Also ging und kam und sammelte sie hinter den Schnittern an den Ähren mit“: V. 8 legt sehr nahe, dass Rut ihre Nachleseerlaubnis erst von Boas bekommt, sonst wäre sowohl ihre euphorische Reaktion in V. 10 als auch Boas Rede davon, dass Rut auf ein anderes Feld weiterziehen würde, ganz unverständlich; und folgerichtig identifiziert sie in Vv. 10.13 als „den, in dessen Augen sie Gefallen findet“, ja nicht den Aufseher, sondern gleich zwei Mal Boas (so z.St. auch wieder Ska 1995, S. 324; auch Campbell 1975, S. 93; Hubbard 1988, S. 149, Ska 2003, S. 55). Aber da wir nach den SF-Kriterien V. 7 so auffassen müssen, dass Rut schon vor Boas´ Nachleseerlaubnis in V. 8 gesammelt hat, ist diese Deutung hier für unsere Übersetzung nicht gangbar.</w:t>
      </w:r>
    </w:p>
  </w:footnote>
  <w:footnote w:id="226">
    <w:p>
      <w:pPr>
        <w:pStyle w:val="Funote"/>
        <w:rPr/>
      </w:pPr>
      <w:r>
        <w:rPr/>
        <w:footnoteRef/>
        <w:tab/>
        <w:t>Zufällig geriet sie - unübersetzbare Figura etymologica: „Es fügte sich ihre Fügung“, „es zufällte ihr Zufall“. Wie schon das „sie ging und kam“ unterstreicht diese F.E. den großen Zufall, der zum Zusammentreffen Ruts und Boas führt. Das folgende Wort „Stück“ in „Feldstück“ hat auch die Bedeutung „Los, Schicksal“, was dies noch zusätzlich unterstreicht - man müsste beinahe übersetzen: „Ihr Zufall zufällte das dem Boas zugefallene Feld“.</w:t>
      </w:r>
    </w:p>
  </w:footnote>
  <w:footnote w:id="227">
    <w:p>
      <w:pPr>
        <w:pStyle w:val="Funote"/>
        <w:rPr/>
      </w:pPr>
      <w:r>
        <w:rPr/>
        <w:footnoteRef/>
        <w:tab/>
        <w:t>Und, siehe da: Da kam [auch schon] - W. „Und siehe, es [war] kommend Boas...“. „Und siehe“ markiert das im Folgenden Geschilderte als überraschend; „und siehe“ + Partizip drückt oft aus, dass überraschenderweise „genau das richtige passiert“ (Campbell 1975, S. 93; ebenso z.B. Berlin 1994, S. 92f). Ein weiterer Zufall also, der zum Zusammentreffen von Rut und Boas führt.</w:t>
      </w:r>
    </w:p>
  </w:footnote>
  <w:footnote w:id="228">
    <w:p>
      <w:pPr>
        <w:pStyle w:val="Funote"/>
        <w:rPr/>
      </w:pPr>
      <w:r>
        <w:rPr/>
        <w:footnoteRef/>
        <w:tab/>
        <w:t>JHWH [sei] mit euch! + Es segne dich JHWH - Keine auffallend frommen Grüße, sondern stereotypisierte Grußformeln, die noch heute in manchen semitischen Sprachen gebräuchlich sind; vergleichbar etwa dem Dt. „Gott zum Gruß“ - „Grüß Gott!“ (urspr. Bedeutung: „Gott segne dich“). Dass es sich hier „nur“ um stereotype Formeln handelt, sieht man z.B. auch daran, dass Syr frei mit einer weiteren, anderen gängigen Grußformel übersetzt („Friede sei mit euch“); auch Mischna Berakhot 9,5 leitet aus dieser Stelle ab, dass man „seinem Gefährten Frieden im Namen des Herrn wünschen sollte“, was sich ebenfalls auf eine andere heb. Grußformel bezieht: Schalom („Friede!“). VUL übrigens übersetzt: Dominus vobiscum, und auf diese Übersetzung geht der deutsche Gruß „Der Herr sei mit euch“ zurück, wie er noch heute z.B. in der katholischen Liturgie gebräuchlich ist - etwas unglücklich vielleicht, da, wie gesagt, in hebräischen Ohren dies „JHWH mit euch“ nicht viel frommer oder fremder klang als in deutschen Ohren ein „Grüß Gott“.Man sollte hier aber dennoch nicht zu frei übersetzen: Das Rutbuch ist eine „Segensgeschichte“ (Zenger 1986, S. 96), in der fortwährend gesegnet wird - s. eben hier; Rut 2,19.20; Rut 3,10; ähnlich auch die Segenswünsche in Rut 1,8f; Rut 2,12; Rut 4,11f. Und auffallend in diesem Kontext ist, dass Boas gerade nicht sagt: „JHWH segne euch“, sondern „JHWH sei mit euch“: Das Wort „segnen“ ist im Rutbuch ausschließlich Rut (3,10) und Boas (2,4; 2,19f) vorbehalten; ähnlich, wie z.B. auch nur diese beiden als chajil bezeichnet werden - zumindest die Vokabel „segnen“ sollte in der Übersetzung also schon erkennbar sein. Zudem ist es „nicht müssig“ (Bertholet 1898, S. 60), dass von allen zur Verfügung stehenden Grußformeln gerade diese beiden verwendet werden: Auf diese Weise ist das erste und das letzte Wort dieses nur vier Wörter langen Dialogs „JHWH“, was die Erntegemeinschaft ganz deutlich als Gemeinschaft von JHWH-Verehrern charakterisiert. Auf ganz bescheidene Weise erfährt Rut mit ihrer Aufnahme in diese Erntegemeinschaft also schon hier eine Aufnahme in die „Gemeinde des Herrn“ (s. die Anmerkungen zu Rut 1).Gut daher die Übersetzungsempfehlung von de Waard/Nida 1992, S. 27, beide Formeln zu belassen und mit einem „begrüßen“ einzuleiten: „Boas grüßte seine Arbeiter, indem er sagte: ‚JHWH sei mit euch!‘ - und die Arbeiter grüßten zurück: ‚JHWH segne dich!‘“ (ähnlich z.B. GN, H-R, HfA, NeÜ, NL, T4T).</w:t>
      </w:r>
    </w:p>
  </w:footnote>
  <w:footnote w:id="229">
    <w:p>
      <w:pPr>
        <w:pStyle w:val="Funote"/>
        <w:rPr/>
      </w:pPr>
      <w:r>
        <w:rPr/>
        <w:footnoteRef/>
        <w:tab/>
        <w:t>Junge (Angestelltem) - W. „Junge“, doch bezeichnet das Wort hier wie oft recht sicher das Dienstverhältnis (für angestellte Feldarbeiter auch in Ijob 1,5). Ob es sich dabei um Knechte oder Lohnarbeiter handelt, ist zunächst nicht zu erschließen; aber da Boas zunächst auch Rut mit diesen „Jungen“ und „Mädchen“ in einen Topf zu werfen scheint, können wir mutmaßen, dass es sich bei dem „Jungen, der über die Schnitter gestellt war“, wohl um jemanden wie den „Verwalter“ in Mt 20,8; Lk 12,42 handelt und dass dieser in Abwesenheit seines Herrn weitere „Jungen“ und „Mädchen“ - nämlich Lohnarbeiter - einstellen konnte, die Boas daher auch nicht kennen musste.</w:t>
      </w:r>
    </w:p>
  </w:footnote>
  <w:footnote w:id="230">
    <w:p>
      <w:pPr>
        <w:pStyle w:val="Funote"/>
        <w:rPr/>
      </w:pPr>
      <w:r>
        <w:rPr/>
        <w:footnoteRef/>
        <w:tab/>
        <w:t>[Zu] wem [gehört] - W. »Wem [ist] dieses Mädchen?«. Dass Rut sich hier über Ruts Verhältnis zu ihren Familienangehörigen nach ihrer Identität erkundigt (also nicht einfach fragt: »Wer ist das?«), ist ganz gewöhnlich (vgl. z.B. Lande 1949, S. 79: »Nicht in der Frage nach dem Eigennamen dürfen wir daher die allgemeine Erkundigungsformel erblicken, sondern in der viel häufigeren nach der Familienzugehörigkeit.«); das kommunikativere Äquivalent dafür ist doch einfach »Wer ist das Mädchen da?« (gegen de Waard/Nida 1992, S. 28; so auch BFC, GNB, GW, MSG, NIRV, NLT, Wycliffe).</w:t>
      </w:r>
    </w:p>
  </w:footnote>
  <w:footnote w:id="231">
    <w:p>
      <w:pPr>
        <w:pStyle w:val="Funote"/>
        <w:rPr/>
      </w:pPr>
      <w:r>
        <w:rPr/>
        <w:footnoteRef/>
        <w:tab/>
        <w:t>Zu aus {dem Gebiet} (von den Feldern von) Moab s. FN e zu Rut 1,1.6.22.</w:t>
      </w:r>
    </w:p>
  </w:footnote>
  <w:footnote w:id="232">
    <w:p>
      <w:pPr>
        <w:pStyle w:val="Funote"/>
        <w:rPr/>
      </w:pPr>
      <w:r>
        <w:rPr/>
        <w:footnoteRef/>
        <w:tab/>
        <w:t>Die Antwort des Verwalters wird gerahmt von der Betonung des Moabitertums Ruts; in »Ein moabitisches Mädchen [ist] diese« ist »moabitisches Mädchen« zudem emphatisch vorangestellt. Es ist wohl auch wirklich relevant, denn Ruts Mobitertum beißt sich mit ihrer Bitte, Nachlese halten zu dürfen (s. Anmerkungen); weshalb der Verwalter es dann eben auch doppelt hervorhebt.</w:t>
      </w:r>
    </w:p>
  </w:footnote>
  <w:footnote w:id="233">
    <w:p>
      <w:pPr>
        <w:pStyle w:val="Funote"/>
        <w:rPr/>
      </w:pPr>
      <w:r>
        <w:rPr/>
        <w:footnoteRef/>
        <w:tab/>
        <w:t>bei den Garben (in Garben, zu Garben, {bei den Garben}?, Halme?) - Zu bei den Garben s. die Anmerkungen. Vielen Exegeten scheint es schwierig, daher wollen sie das Wort entweder mit Syr und VUL streichen oder von ba`amarim (»bei den Garben [sammeln]«) nach ba`amirim (»Halme [sammeln]«) umpunktieren (=&gt; Textkritik), was wohl unmöglich ist, da `amir ein Kollektivnomen ist und daher sehr wahrscheinlich nicht als Plural `amirim vorkommen kann, und da das Wort mit der Präposition b sehr unwahrscheinlich das Objekt von »sammeln« sein kann. Neuere deuten daher lieber als »in Garben sammeln« oder »zu Garben sammeln« (so z.B. Bush 1996, S. 114; Holmstedt 2010, S. 116; Hubbard 1988, S. 107; Korpel 2001, S. 99), was grammatisch möglich, aber sprachlich sehr redundant formuliert wäre und unnötig ist.</w:t>
      </w:r>
    </w:p>
  </w:footnote>
  <w:footnote w:id="234">
    <w:p>
      <w:pPr>
        <w:pStyle w:val="Funote"/>
        <w:rPr/>
      </w:pPr>
      <w:r>
        <w:rPr/>
        <w:footnoteRef/>
        <w:tab/>
        <w:t>Das Ende von V. 7 ist der schwierigste Satz im Rutbuch. Im Folgenden werden einige der besseren Lösungsvorschläge erklärt, doch keiner dieser Vorschläge ist ganz unproblematisch. In der LF wird daher nach SF-Kriterium 1a eine unauffällige, gut etablierte Übersetzung verwendet werden müssen; die Mischung aus am besten vertretbar und am etabliertesten ist: »Sie kam und ist dageblieben; von heute morgen bis gerade eben hat sie [nur] kurz Pause gemacht« (so oder ähnlich EÜ, GN, H-R, HfA, LUT, MEN, NeÜ, NL, R-S, TAF, ZÜR). Wörtlich übersetzt lautet der Text etwa: »Und-sie-ist-gekommen und-geblieben von dem-Morgen bis-jetzt/gerade eben, dieses/dieses ihr-Sitzen das-Haus kurz/seit-Kurzem.« # geblieben - Heb. wata`amod. (a) Auf den ersten Blick scheint dies so gedeutet werden zu müssen, dass Rut nach ihrer Ankunft nur herumgestanden wäre: »Sie ist gekommen und gestanden«. (b) Weil die meisten davon ausgehen, dass die Auskunft des Verwalters ein Hohelied auf Ruts Fleiß beinhaltet, deuten viele das Wort als »bleiben«, was sprachlich gut möglich wäre (»Sie ist gekommen und geblieben«), oder (noch häufiger) als »sie war auf den Beinen (d.h. sie war fleißig)«, was sprachlich nicht möglich ist. (c) Alternativ hat schon Houbigant 1777, S. 259 vorgeschlagen, wata`amod zu emendieren (=&gt; Textkritik) nach wata`amor (»sie las Ähren«; erwogen auch von Rudolph 1962, S. 46): »Sie ist gekommen und hat Ähren gelesen«. Doch ist das Wort sonst nicht belegt. (d) Vorschlagen möchte ich (S.W.) außerdem, dass es sich bei »sie kam und stand« um eine ähnliche Doppelverb-formel handelt wie bei »sie ging und kam« in V. 3 (vgl. FN j; zu solchen Doppelverbformeln vgl. z.B. Polak 1989) und bei dem ähnlichen Doppelausdruck »sie warf sich auf ihr Gesicht und verneigte sich« in V. 10, und dass dieser dann verwendet wird, wenn vom Zurücklegen einer längeren Wegstrecke inklusive der Ankunft die Rede ist (»X kam und stellte sich zu Y« ≠ »X kam und positionierte sich bei Y«, sondern »X legte einen längeren Weg zu X zurück«, s. bes. 2 Kön 5,15.25; 8,9; 18,17; Jer 7,10; 17,19; Ez 9,2; Ez 10,6; Dan 2,2). Doch hat die Existenz dieser Formel bisher m.W. noch niemand vorgeschlagen. # bis-jetzt/gerade eben, dieses/dieses - zéh (»dieses/diese/jetzt/hier(her)«) kann (a) zu `ad-atta (»bis jetzt«) gezogen werden und `ad-atta zeh heißt dann »bis gerade eben« (s. 1 Kön 17,24; 2 Kön 5,22), (b) zu »ihr Sitzen« gezogen werden, was dann »dieses ihr Sitzen« heißt oder (c) für sich genommen und dann auf Rut (»diese«), den Zeitpunkt (»jetzt«) oder den Ort (»hier(her)«) bezogen werden. # ihr-Sitzen, heb. schibtah, ist ein Infinitiv und daher merkwürdig. Viele wollen deshalb emendieren (=&gt; Textkritik): Entweder (a) soll dann umvokalisiert werden zu schabthah (»sie macht(e) Pause«; so LXX) oder (b) es soll nach schabah (»sie kehrt(e) zurück«; so VUL) korrigiert werden. (c) Premnath 1988, S. 55f denkt außerdem, jaschab könnte auch für das Besitzen von Land stehen; dem folgend könnte man schibtah deuten als »ihr Besitz« - aber eigentlich hat das Hebräische hierfür andere Vokabeln. # das-Haus ist problematisch: Bei den Feldern standen keine Häuser und »Zelt« oder »Hütte« kann bajit nicht heißen. (a) Sehr viele wollen daher das ganze Wort streichen (z.B. Bush 1996, Gerleman 1965; Köhlmoos 2010; Rudolph 1962; Würthwein 1969; Zenger 1986). (b) BHQ und Weippert 1978, S. 272 haben außerdem erwogen, ob bajit nicht wie seine akkadischen und arabischen Kognate »Grundstück, Feld« heißen könne. Im Mischnahebräischen ist das recht sicher so: Vogelstein 1894 listet eine ganze Reihe von Feldbezeichnungen, in denen bajit »Feld« bedeutet (s. S. 10.13.16.23.59) und der Besitzer des Feldes heißt in Mischna und Tosefta fast stets ba`al habajit (»Herr des Hauses«). S. dann noch Jes 5,7-9 (dazu Premnath 1988, bes. S. 54f) und Jer 31,27, wo dann vielleicht mit dieser Doppelbedeutung gespielt wird, auch Jer 32,15; Mi 2,2; Neh 5,3.11.13. (c) Eine weitere Gruppe deutet habajit als adverbialen Akkusativ mit der Bedeutung »im Haus« oder »zu/nach Hause«. Basierend auf diesen Optionen lassen sich aus dem Text folgene Situationen rekonstruieren: * Am häufigsten vertreten: Rut kam auf Boas Feld an, begann auf die vorläufige Erlaubnis des Verwalters mit ihrer Nachlese und war dann so fleißig, dass der Aufseher Boas berichten kann: ** Sie kam und blieb (1b). Hier (2c) [war] ihr Sitzen (=ihr Aufenthaltsort), das Haus (=Noomis Haus in der Stadt) [dagegen nur] wenig. (ein Lob auf ihren Fleiß; so Moore 1997 nach Lys 1971; ähnlich Loader 1992: Dies ist ihr Aufenthaltsort; sozusagen ihr Heim.; ähnlich auch Hubbard 1988, S. 151) - Dieser Vorschlag kommt bisher als einziger mit dem hebräischen Text zurecht, wie er vorliegt (abgesehen von der Akzentuation), ist aber so elliptisch, dass er bisher nur wenig Anerkennung gefunden hat. ** ähnlich: [...]. Ihr zuhause-Sitzen weilt [nur] kurz. (=das ist eine, die nur wenig zuhause herumsitzt - so schon LUT, van Ess; Hajek 1962, S. 51; Korpel 2001, S. 92. So sogar schon um 1200 Jesaja Di Trani; vgl. Zakovitch 1999, S. 113) - doch ist die Deutung von »Ihr Sitzen zuhause [ist] kurz« als generelle Aussage über Ruts Fleiß doch recht gezwungen. ** Weil Rut als Leserin so unerfahren ist, hat sie trotz ihres Fleißes nur wenig Ertrag zusammengebracht: Sie kam und war seit heute Morgen auf den Beinen (1b), und bis gerade eben (2a), wo sie sich zu Hause (4c) wieder setzen will (=wo sie wieder nach Hause zurückkehren will), [ist es (=das, was sie gesammelt hat)] [nur] wenig. (Barthélemy 1982, S. 132; Zimolong 1940; nun auch BHQ) - Aber das ist unlogisch. Der folgende Text zeigt ja, dass noch mindestens ein Essen und eine weitere »Lese-Einheit« folgt. Warum sollte dann Rut nach Hause zurückkehren wollen, wo es doch gerade so wenig ist, was sie gesammelt hat? Außerdem kann »sie stand« nicht »sie war auf den Beinen« heißen, und es ist schwer glaublich, dass gerade »es« - das, was sie gesammelt hat - ausgespart sein sollte, wo es doch das Thema der Aussage ist. * Rut ist bei Boas Feld angekommen, doch der Verwalter hat ihr die Erlaubnis zur Nachlese nicht erteilt: Sie kam und stand (1a) von heute Morgen bis gerade eben [...] (so z.B. Campbell 1975, S. 94f.; ähnlich Sasson 1979, S. 47.56; Hubbard 1988, S. 154.176) - Doch in dem Fall wäre gerade das problematische »ihr Sitzen das Haus wenig« unmotiviert. * Rut war den ganzen Vormittag von Feld zu Feld unterwegs, ist aber überall abgewiesen worden. Nun ist sie bei Boas Feld angekommen und hat sich erschöpft niedergelassen: Sie war von heute Morgen bis jetzt hierher (2c) unterwegs (1d); ihr Sitzen das Haus/auf dem Feld (4a/4b) [ist (=währt)] [erst] seit Kurzem (d.h., sie ist gerade erst angekommen). - doch ist die Existenz der Formel »sie kam und stand« als »sie war unterwegs« m.W. von niemandem vorgeschlagen worden und die Streichung von habajit doch ein recht krasser Eingriff in den Text / die Deutung von bajit als »Feld« nicht allgemein anerkannt. Mir (S.W.) ist diese Deutung dennoch recht sympathisch, weil dann Boas Reaktion in V. 8 so gut motiviert wäre: »Du musst nicht zum Lesen auf ein anderes Feld gehen; von hier musst du nicht fort, sondern du darfst hier bleiben, bei meinen Mädchen.« * Sie kam und blieb (1b) von heute Morgen bis gerade eben. Ihr Besitz (3c) an Land (4b; eine Constructus-Verbindung mit zwischengeschaltetem Possessivpronomen, vgl. IBHS §9.3.d.14; zum Infinitiv im Status Constructus vgl. JM §49b, FN 6) [ist] [nur] gering., eine Rechtfertigung des Verwalters dafür, dass er Rut die Nachlese gewährt hat; denn zur Nachlese waren nur arme Bürger mit nur wenig oder gar keinem Landbesitz zugelassen. Doch weder die Deutung von bajit als »Land« noch von jaschab als »besitzen« ist allgemein anerkannt.</w:t>
      </w:r>
    </w:p>
  </w:footnote>
  <w:footnote w:id="235">
    <w:p>
      <w:pPr>
        <w:pStyle w:val="Funote"/>
        <w:rPr/>
      </w:pPr>
      <w:r>
        <w:rPr/>
        <w:footnoteRef/>
        <w:tab/>
        <w:t>Höre, meine Tochter: (V. 8) + Hiermit befehle ich meinen Jungen... (V. 9) - W. »Hörst du nicht, meine Tochter!?,...« + »Habe ich nicht meinen Jungen befohlen...?«, doch rhetorische Fragen werden im Hebräischen auch häufig als Ausrufesätze verwendet (vgl. z.B. Driver 1973). So auch viele Üss, auch Campbell 1975, S. 85f.; Holmstedt 2010, S. 118; Hubbard 1988, S. 154; Köhlmoos 2010, S. 30; Loretz 1963, S. 50; Sasson 1979, S. 49. Eine Übersetzung mit »Lass mich dir einen Rat geben: ...« (so z.B. de Waard/Nida 1992, S. 26; GN, HfA) ist nicht zu empfehlen: Erstens ist der Aufruf zum Zuhören im Hebräischen eine stereotype Formel, um ein Gespräch oder im Verlauf dieses Gesprächs eine Instruktion einzuleiten (s. z.B. Gen 23,6.8.11.15; schön auch 2 Sam 20,17); zweitens trifft dies hier eher nicht den Sinn von Boas Äußerung, die doch wohl kein Verbot ist, auf ein anderes Feld zu gehen, sondern eine Erlaubnis, hierbleiben zu dürfen (s. die Übersetzungsalternativen). Besser: »Hör mal, meine Tochter:...«</w:t>
      </w:r>
    </w:p>
  </w:footnote>
  <w:footnote w:id="236">
    <w:p>
      <w:pPr>
        <w:pStyle w:val="Funote"/>
        <w:rPr/>
      </w:pPr>
      <w:r>
        <w:rPr/>
        <w:footnoteRef/>
        <w:tab/>
        <w:t>Auffallender Stilbruch: Boas sagt hier gleich drei Mal das selbe; ein starker Kontrast zu seinen beiden Zwei/Drei-Wort-Sätzen in Vv. 4.5. Erwähnenswert ist noch ein neuer Interpretationsvorschlag von Müller 2013: »weggehen« steht mit der Negationspartikel ´al, »fortziehen« dagegen mit der Negationspartikel lo´. Weil solche Verneinungen mit ´al häufig entweder für Verbote oder für zeitlose moralische Prinzipien verwendet werden (s. FN ba zu Ob 12-14), folgt Müller Syr und fasst den ersten Satz als ein Sprichwort auf: »Hast du nicht [das Sprichwort] gehört: ‚Man gehet nicht auf eines Andren Felde sammeln‘? - Demnach willst [wohl] auch nicht von hier fortziehen, [oder]? [Na gut,] dann hänge dich hier an meine Mädchen!«Das ist eine schöne Interpretation, aber unnötig: ´al und lo´ werden noch häufiger derart austauschbar nebeneinander verwendet (s. z.B. Ex 23,1; Lev 10,6; 11,43; 1 Kön 20,8; Spr 22,24).</w:t>
      </w:r>
    </w:p>
  </w:footnote>
  <w:footnote w:id="237">
    <w:p>
      <w:pPr>
        <w:pStyle w:val="Funote"/>
        <w:rPr/>
      </w:pPr>
      <w:r>
        <w:rPr/>
        <w:footnoteRef/>
        <w:tab/>
        <w:t>das sie abernten - »sie«: maskulin, also die männlichen Erntearbeiter.</w:t>
      </w:r>
    </w:p>
  </w:footnote>
  <w:footnote w:id="238">
    <w:p>
      <w:pPr>
        <w:pStyle w:val="Funote"/>
        <w:rPr/>
      </w:pPr>
      <w:r>
        <w:rPr/>
        <w:footnoteRef/>
        <w:tab/>
        <w:t>ihnen: feminin. Entweder also die weiblichen Garbenbinderinnen, dann »folge ihnen«, oder die anderen Frauen, die Nachlese halten; dann »gehe an ihrer Seite« (zu ´achar als »(zusammen) mit« s. FN aq zu Rut 1,15). Aber der letzte weibliche Referent sind »meine Mädchen«, daher ist die erste Option doch sehr viel wahrscheinlicher.</w:t>
      </w:r>
    </w:p>
  </w:footnote>
  <w:footnote w:id="239">
    <w:p>
      <w:pPr>
        <w:pStyle w:val="Funote"/>
        <w:rPr/>
      </w:pPr>
      <w:r>
        <w:rPr/>
        <w:footnoteRef/>
        <w:tab/>
        <w:t>warf sie sich auf ihr Gesicht und neigte sich erdenwärts - eine weitere gebräuchliche Doppelverbformel (s. FNn j. t; zu dieser speziell vgl. Polak 1989, S. 451. Zur Wiedergabe mit „sie warf sich auf ihr Gesicht“ statt „sie fiel...“ vgl. Péter-Contesse 2013, S. 25); ebenso gedoppelt z.B. in Jos 5,14; 1 Sam 25,23; 2 Sam 9,6; 14,22; 2 Chr 20,18; ähnlich 1 Sam 20,41; 2 Sam 14,4. Die Bedeutung ist nur: „Sie verneigte sich“; eine Geste, aus der gleichzeitig Demut und überwältigte Dankbarkeit spricht. Den Verneigungsgestus hat man sich in etwa vorzustellen wie die im Islam übliche Gebetshaltung: Man kniete sich nieder und beugte seinen Kopf zur Erde hinab (vgl. de Waard/Nida 1992, S. 31). Richtig daher MSG: „Sie sank auf ihre Knie und beugte ihr Gesicht zur Erde“ (ähnlich EÜ, T4T), doch stiltreuer wäre einfach „Da warf Ruth sich vor ihm nieder“ (ähnlich z.B. GN, HfA, NeÜ, NL). Am besten NLT: „Da warf sich Ruth ihm zu Füßen nieder und dankte ihm herzlich [besser: rief überwältigt:]“.</w:t>
      </w:r>
    </w:p>
  </w:footnote>
  <w:footnote w:id="240">
    <w:p>
      <w:pPr>
        <w:pStyle w:val="Funote"/>
        <w:rPr/>
      </w:pPr>
      <w:r>
        <w:rPr/>
        <w:footnoteRef/>
        <w:tab/>
        <w:t>Gefallen in deinen Augen gefunden ≠ »Wie habe ich das verdient«, sondern »Wie kann das sein, dass du wohlgefällig auf mich blickst - obwohl ich doch Ausländerin bin?«; der letzte Satz ist klar der Gegensatz zu den ersten beiden. Das wird noch zusätzlich betont durch ein unübersetzbares Wortspiel: »... dass du wohlgefällig auf mich blickst und mich beachtest (lähakireni, von nakar »beachten«), obwohl ich doch Ausländerin (nokrijah) bin?«</w:t>
      </w:r>
    </w:p>
  </w:footnote>
  <w:footnote w:id="241">
    <w:p>
      <w:pPr>
        <w:pStyle w:val="Funote"/>
        <w:rPr/>
      </w:pPr>
      <w:r>
        <w:rPr/>
        <w:footnoteRef/>
        <w:tab/>
        <w:t>{und sagte zu} (V. 11) + {indem er sagte} (V. 15) - Doppelte Redeeinleitung finden sich sehr häufig im Hebräischen und sind dort ganz gewöhnlich. Im Deutschen können sie ohne Bedeutungsverlust gestrichen werden.</w:t>
      </w:r>
    </w:p>
  </w:footnote>
  <w:footnote w:id="242">
    <w:p>
      <w:pPr>
        <w:pStyle w:val="Funote"/>
        <w:rPr/>
      </w:pPr>
      <w:r>
        <w:rPr/>
        <w:footnoteRef/>
        <w:tab/>
        <w:t>Berichtet {berichtet} - Ein sog. »tautologischer Infinitiv«: Ein Verb wird doppelt verwendet; einmal im Infinitiv und einmal als finites Verb. Nicht: »Mir wurde genau berichtet« (so viele Üss.); die Funktion dieser Konstruktion ist es, den Modus der gesamten Aussage zu betonen (vgl. Jenni §10.3.1.1); hier soll also betont werden, dass Boas in der Tat von Ruts Handeln berichtet wurde (vgl. IBHS § 35.3.1b), da dieser Bericht von Ruts Handeln für Boas das Gegengewicht zu ihrem Ausländertum darstellt und schwerer wiegt als dieses. Also: »Ich versichere dir: Mir wurde berichtet«, d.h. in idiomatischerem Deutsch: »Weil mir [ja/doch/...] berichtet wurde,...« (ebenso Jos 9,24).</w:t>
      </w:r>
    </w:p>
  </w:footnote>
  <w:footnote w:id="243">
    <w:p>
      <w:pPr>
        <w:pStyle w:val="Funote"/>
        <w:rPr/>
      </w:pPr>
      <w:r>
        <w:rPr/>
        <w:footnoteRef/>
        <w:tab/>
        <w:t>was du für deine Schwiegermutter nach dem Tod deines Mannes getan hast - Ein »Segens-Update«: Noomi wünscht ihren Töchtern den Segen Gottes für alles, was sie ihr und ihren Ehemännern getan haben (Rut 1,8); Boas nun wünscht Rut Gottes Segen für alles, was sie in der Zwischenzeit, nämlich nach dem Tod ihres Mannes für ihre Schwiegermutter getan hat.</w:t>
      </w:r>
    </w:p>
  </w:footnote>
  <w:footnote w:id="244">
    <w:p>
      <w:pPr>
        <w:pStyle w:val="Funote"/>
        <w:rPr/>
      </w:pPr>
      <w:r>
        <w:rPr/>
        <w:footnoteRef/>
        <w:tab/>
        <w:t>vorher (gestern vorgestern) - W. »gestern vorgestern«; ein Idiom für »vorher, früher«.</w:t>
      </w:r>
    </w:p>
  </w:footnote>
  <w:footnote w:id="245">
    <w:p>
      <w:pPr>
        <w:pStyle w:val="Funote"/>
        <w:rPr/>
      </w:pPr>
      <w:r>
        <w:rPr/>
        <w:footnoteRef/>
        <w:tab/>
        <w:t>unter seinen Flügeln Schutz zu suchen (unter seinen Gewandzipfeln zu bergen) - zur Vorstellung des beflügelten JHWH s. noch Ps 17,8; 36,8; 57,2; 61,5; 63,8; 91,4 - eine geläufige Metapher für JHWH als schützende Gottheit; vergleichbar dem Bild der Schutzmantelmadonna. Allerdings ist nicht leicht verständlich, warum Boas diese Metapher verwenden sollte, denn Rut ist ja gar nicht nach Israel gekommen, um bei JHWH Schutz zu suchen. Der Autor legt Boas diese Formel also sehr wahrscheinlich deshalb in den Mund, um über diese Formel später (Rut 3,9) mit JHWH gleichschalten zu können; s. die Anmerkungen zu Kapitel 3.Vielleicht aber auch wirklich so: Ebenfalls geläufig in der Bibel ist die Metapher von JHWH als dem Ehemann des gläubigen Israels, s. Jes 62,4f; Jer 2,2; Jer 16,8; Hos 2, bes. Vv. 2.7.16.19f; so dann auch über Jesus, s. Mk 2,19f; 2 Kor 11,2. Noch häufiger wird der Glaubensabfall metaphorisch als Ehebruch geschildert. Bestandteil dieser Metapher ist die Bekleidung der Braut Israel mit einem Kleidungsstück ihres Ehemanns JHWH (wie ja auch in Rut 3,9 der »Mantel, den Boas über Rut decken soll«, wie im Alten Arabien sehr sicher ein Symbol für die Heirat ist; vgl. bes. Kruger 1984; z.B. auch Bohlen 1992, S. 12f.; Smith 1907, S. 105), s. bes. Ez 16,8; angedeutet wohl auch Jer 2,31f (das Vergessen des Gürtels durch die Braut als Symbol für den »Ehebruch« Israels mit JHWH). Noch häufiger belegt ist das Gegenteil: Die Strafe für diesen »Ehebruch« ist das Entkleiden des Ehebrechers Israel, s. Jes 47,2f (vgl. Vv. 8f); Ez 16,39; Hos 2,5.11; Nah 3,4f. Vielleicht ist also kanap hier besser wie in Rut 3,9 als »Gewandzipfel« und das »Bergen unter diesen Gewandzipfeln« (Plural auch in Jer 2,34; Ez 5,3) wie dort als Symbol für die Ehe - nämlich zwischen JHWH und Rut - aufzufassen, die widerum Metapher für Ruts Bekehrung zum Judentum ist (wie die Stelle tatsächlich schon TgRut aufgefasst hat: »JHWH, der Gott Israels, unter dessen glorreicher Schechina Schatten du gekommen bist, um bekehrt und beschützt zu werden.« (Üs. nach Levine 1973, S. 28)). Ähnlich aber nur Gray 1967, S. 414f.</w:t>
      </w:r>
    </w:p>
  </w:footnote>
  <w:footnote w:id="246">
    <w:p>
      <w:pPr>
        <w:pStyle w:val="Funote"/>
        <w:rPr/>
      </w:pPr>
      <w:r>
        <w:rPr/>
        <w:footnoteRef/>
        <w:tab/>
        <w:t>Möge ich in deinen Augen Gefallen finden - das dritte Vorkommen dieser Formel; wieder in anderer Bedeutung. Nicht: »[weiterhin] Gefallen finden« (so viele Üss.); gut erklärt von Ehrlich 1908, S. 163f: &lt;blockquote&gt;»[...] Als unabhängiger Satz drückt [die Formel] nicht eine Bitte oder einen Wunsch aus, sondern die Versicherung, dass der Redende einen ihm gewordenen gültigen Zuspruch oder eine Wohltat, die ihm der Angeredete bereits erwiesen hat, zu würdigen weiss und in der Zukunft sich Mühe geben will, sich dafür dankbar oder, mehr wörtlich, ihm gegenüber ein gefälliges Wesen zu zeigen, vgl. Gen 47,25; 1 Sam 1,18; 2 Sam 16,4 und besonders Rut 2,13. Letztere Stelle ist von besonderer Beweiskraft, weil dort der Grund der Versicherung ausdrücklich genannt ist. [...] Das ist der eigentliche Sinn des fraglichen Ausdrucks, doch erscheint in sämtlichen oben angeführten Fällen, wie bei allen Höflichkeitsformeln zu geschehen pflegt, der ursprüngliche Begriff abgeschwächt, sodass man damit nur sagen will: ich danke.«;&lt;/blockquote&gt; der Sinn ist also eher: »Für diesen Zuspruch danke ich Ihnen, mein Herr - möge ich mich ihm als würdig erweisen (=Gefallen finden in Ihren Augen).« Als Dankesformel deuten auch HfA, MEN, R-S.</w:t>
      </w:r>
    </w:p>
  </w:footnote>
  <w:footnote w:id="247">
    <w:p>
      <w:pPr>
        <w:pStyle w:val="Funote"/>
        <w:rPr/>
      </w:pPr>
      <w:r>
        <w:rPr/>
        <w:footnoteRef/>
        <w:tab/>
        <w:t>mein Herr + Magd - geläufige Höflichkeitsstrategie: Man spricht von sich und dem Gegenüber nicht als »ich« und »du«, sondern in der 3. Pers. als »Magd« und »Herr« (vgl. z.B. Warren-Rothlin 2007, S. 62f.; z.St. auch de Waard/Nida 1992, S. 34; Gray 1967, S. 415). Der Kontrast ist hier besonders stark, da Boas Rut direkt zuvor als »meine Tochter« angesprochen hat: Rut ist ganz außerordentlich höflich und demütig. Übersetze besser: »Möge ich Gefallen in Ihren Augen finden (dazu s. vorige FN), mein Herr, da Sie mich getröstet und zu meinem Herzen (dazu s. nächste FN) gesprochen haben.«</w:t>
      </w:r>
    </w:p>
  </w:footnote>
  <w:footnote w:id="248">
    <w:p>
      <w:pPr>
        <w:pStyle w:val="Funote"/>
        <w:rPr/>
      </w:pPr>
      <w:r>
        <w:rPr/>
        <w:footnoteRef/>
        <w:tab/>
        <w:t>zum Herzen deiner Magd gesprochen hast - Idiom sowohl für »trösten« (s. noch Gen 50,21; Jes 40,2) als auch für »Mut zusprechen« (s. noch 2 Sam 19,8; 2 Chr 30,22; 32,6). Wahrscheinlich ist hier beides im Blick (so auch Campbell 1975, S. 100).</w:t>
      </w:r>
    </w:p>
  </w:footnote>
  <w:footnote w:id="249">
    <w:p>
      <w:pPr>
        <w:pStyle w:val="Funote"/>
        <w:rPr/>
      </w:pPr>
      <w:r>
        <w:rPr/>
        <w:footnoteRef/>
        <w:tab/>
        <w:t>Bin ich nicht [nur] wie eine deiner Mägde!? - d.h. »dabei bin ich ja nur wie eine deiner Mägde!«; ein weiteres Mal wird eine rhetorische Frage als Ausrufesatz verwendet (=&gt; Yiqtol; in Fragesätzen wird Yiqtol des Öfteren wie Qatal verwendet; vgl. ähnlich Driver 1973, S. 108). LXX und VUL haben das wohl richtig gesehen und als positiven Aussagesatz übersetzt, LXX aber das Yiqtolverb zu wörtlich mit Futur wiedergegeben. Eine Umpunktierung von lo´ (»nicht«) nach lu´ (»wahrlich«, so Houbigant 1777, S. 259; Haller 1940, S. 10) ist unnötig; die Deutung als selbstsichere Einschränkung (»Ich danke dir, dass du zum Herzen deiner Magd gesprochen hast - aber ich werde nicht wie eine deiner Mägde sein!«, so Köhlmoos 2010, S. 30.44; Niccacci 1995, S. 86) macht wenig Sinn.</w:t>
      </w:r>
    </w:p>
  </w:footnote>
  <w:footnote w:id="250">
    <w:p>
      <w:pPr>
        <w:pStyle w:val="Funote"/>
        <w:rPr/>
      </w:pPr>
      <w:r>
        <w:rPr/>
        <w:footnoteRef/>
        <w:tab/>
        <w:t>Boas sagte zu ihr: »Komm zur Essenszeit hierher« - so löst nur Holmstedt 2010 (gegen die Akzentuation der Masoreten) auf - »weil die masoretischen Akzente Prosodie und nicht Syntax markieren« (S. 132). Aber Prosodie geht ja mit Syntax Hand in Hand; nach der masoretischen Akzentuation hat man doch nach der Primärübersetzung zu deuten.</w:t>
      </w:r>
    </w:p>
  </w:footnote>
  <w:footnote w:id="251">
    <w:p>
      <w:pPr>
        <w:pStyle w:val="Funote"/>
        <w:rPr/>
      </w:pPr>
      <w:r>
        <w:rPr/>
        <w:footnoteRef/>
        <w:tab/>
        <w:t>Essig - Weinessig; aus dem rabbinischen Schrifttum geht das deutlich hervor (vgl. Löw 1928, S. 102ff; auch Dalman 1933, S. 18; Dalman 1935, S. 388). Davon, dass Erntearbeiter bei Hitze ihr Brot in Essig tunken, spricht auch LevR 34,8, da dieser »bei Hitze geeignet« sei (Shabbat 113b; zitiert nach Zakovitch 1999, S. 120f).</w:t>
      </w:r>
    </w:p>
  </w:footnote>
  <w:footnote w:id="252">
    <w:p>
      <w:pPr>
        <w:pStyle w:val="Funote"/>
        <w:rPr/>
      </w:pPr>
      <w:r>
        <w:rPr/>
        <w:footnoteRef/>
        <w:tab/>
        <w:t>reichte - Bed. unsicher (-&gt; Hapax legomenon). Offenbar verwandt sind das mischnahebräische Wort für „Henkel“, das akkadische Wort für „festhalten, greifen“ und das ugaritische Wort für „Zange“; vermutlich bezieht sich das Wort also auf den Akt des Greifens und Weiterreichens (vgl. z.B. Zakovitch 1999, S. 121).</w:t>
      </w:r>
    </w:p>
  </w:footnote>
  <w:footnote w:id="253">
    <w:p>
      <w:pPr>
        <w:pStyle w:val="Funote"/>
        <w:rPr/>
      </w:pPr>
      <w:r>
        <w:rPr/>
        <w:footnoteRef/>
        <w:tab/>
        <w:t>Röstkorn - Über dem Feuer geröstete Getreidekörner; ein im Alten Orient (und noch heute) verbreiteter Snack.</w:t>
      </w:r>
    </w:p>
  </w:footnote>
  <w:footnote w:id="254">
    <w:p>
      <w:pPr>
        <w:pStyle w:val="Funote"/>
        <w:rPr/>
      </w:pPr>
      <w:r>
        <w:rPr/>
        <w:footnoteRef/>
        <w:tab/>
        <w:t>stand sie auf, um zu sammeln (begann sie, zu sammeln) + Auch zwischen den Garben darf sie sammeln, und ihr dürft (wenn/auch, [wenn] sie zwischen den Garben sammelt, dürft ihr) - Die meisten Ausleger sehen in diesem Satz eine besondere Bevorzugung Ruts durch Boas: Normalerweise sei es Nachlesern nicht erlaubt, zwischen den Garben zu sammeln; Boas aber erlaubt es ihr nicht nur, sondern verbietet sogar seinen Erntehelfern, sie dafür zu tadeln, deshalb macht Boas Rut auch dieses besondere Zugeständnis, als sie gerade aufsteht und noch in Hörweite ist. Wahrscheinlich ist es aber überhaupt keine besondere Bevorzugung, zwischen den Ähren Nachlese halten zu dürfen (s. Anmerkungen) und die besondere Bevorzugung besteht nur im Verbot des Tadelns. In diesem Falle sollte man nach den beiden alternativen Auflösungen deuten (zur Auflösung von „stand auf, um“ als „begann, zu“ vgl. bes. Dobbs-Allsopp 1995). Zumindest syntaktisch deutet so auch VUL: „Auch, wenn sie zusammen mit euch ernten will, dürft ihr es ihr nicht verbieten“ (auch EÜ; Niccacci 1995, S. 87f), und auch Midrasch Suta sieht im Verbot des Tadels die besondere Bevorzugung: „Schätzt sie nicht gering, da sie eine Königstochter ist, und scheltet nicht mit ihr, noch lasset sie verletzende Worte hören, sondern lasst sie, ohne sie zu beschämen, zwischen den Garben Ähren auflesen!“ (Üs. nach Hartmann 1901, S. 49).</w:t>
      </w:r>
    </w:p>
  </w:footnote>
  <w:footnote w:id="255">
    <w:p>
      <w:pPr>
        <w:pStyle w:val="Funote"/>
        <w:rPr/>
      </w:pPr>
      <w:r>
        <w:rPr/>
        <w:footnoteRef/>
        <w:tab/>
        <w:t>[durchaus] herausziehen {herausziehen} (herunterwerfen {herunterwerfen}) - Schwieriger Ausdruck. Alle neueren deuten so, dass der Ausdruck abzuleiten sei von einem nur hier verwendeten Wort schalal II (»herausziehen« - im Gegensatz zum gebräuchlicheren, gleichlautenden schalal I »plündern«) und dass das Wort in diesem Ausdruck schol-tascholu einmal im Infinitiv und einmal im Yiqtol verwendet wird - ein sog. »tautologischer Infinitiv«, der den Befehlscharakter der Äußerung noch verstärkt (vgl. FN ab zu V. 11, daher [durchaus]).In Ermangelung einer besseren Deutung folgen auch wir dem; allerdings ist diese Deutung recht problematisch: Wenn der Infinitiv schol von diesem schalal abgeleitet wäre, wäre eigentlich schalôl zu erwarten, und selbst wenn hier - wie in Ausnahmefällen möglich - Infinitivus constructus für Infinitivus absolutus verwendet wird, wäre schälol zu erwarten (vgl. JM §123q; s. Jes 10,6; Ez 38,12; 38,13 (bis)). Man muss für diese Deutung also (1) von der Existenz eines Verbs ausgehen, das gleich lautet wie ein verbreiteteres Wort und das nur hier verwendet wird, (2) davon, dass es entweder irregulär konjugiert (so z.B. Olshausen §245i) oder falsch geschrieben ist und das letzte l durch Dittographie ausgefallen ist (so GKC §67o), was (3) auch nur funktioniert, wenn man davon ausgeht, dass hier ausnahmsweise Infinitivus constructus für Infinitivus absolutus verwendet wird, und dies (4), obwohl weder Tg noch LXX noch VUL noch Lekach Tob noch Raschi dieses Wort zu kennen schienen und daher übersetzten, als würde naschol tischlu (»ihr sollt herunterwerfen {herunterwerfen}«, von Heb. naschal) stehen (das sich in den Konsonanten nur durch ein zusätzliches n am Beginn des ersten Wortes vom masoretischen Text unterscheidet); ähnlich auch Ben Eli. Joüon geht deshalb soweit, drei Konsonanten zu ergänzen und statt schl tschlw zu lesen: schblim tschlw (»ihr sollt Ähren herunterwerfen«; Joüon 1913, S. 204). Besser sollte man dann vielleicht doch nach LXX, Tg, VUL und Lekach Tob von einem ursprünglichen naschol tischlu (»ihr sollt herunterwerfen {herunterwerfen}«) ausgehen, obwohl keine einzige heb. Handschrift erhalten ist, in der diese Textvariante sich findet.</w:t>
      </w:r>
    </w:p>
  </w:footnote>
  <w:footnote w:id="256">
    <w:p>
      <w:pPr>
        <w:pStyle w:val="Funote"/>
        <w:rPr/>
      </w:pPr>
      <w:r>
        <w:rPr/>
        <w:footnoteRef/>
        <w:tab/>
        <w:t>Handbündel - Die beim Ernten in der linken Hand gehaltenen Ährenbündel; s. die Anmerkungen und vgl. z.B. Dalman 1933, S. 42; Humbert 1950, S. 206f.; Vogelstein 1894, S. 62.</w:t>
      </w:r>
    </w:p>
  </w:footnote>
  <w:footnote w:id="257">
    <w:p>
      <w:pPr>
        <w:pStyle w:val="Funote"/>
        <w:rPr/>
      </w:pPr>
      <w:r>
        <w:rPr/>
        <w:footnoteRef/>
        <w:tab/>
        <w:t>klopfte aus - dazu s. die Anmerkungen</w:t>
      </w:r>
    </w:p>
  </w:footnote>
  <w:footnote w:id="258">
    <w:p>
      <w:pPr>
        <w:pStyle w:val="Funote"/>
        <w:rPr/>
      </w:pPr>
      <w:r>
        <w:rPr/>
        <w:footnoteRef/>
        <w:tab/>
        <w:t>ungefähr ein Efa (genau ein Efa, ein ganzes Efa) - das k in kä´epha könnte gedeutet werden als approximatives Kaf („ungefähr ein Efa“; so die meisten), als Kaf veritatis („genau ein Efa“; so erwogen von Campbell 1975, S. 104) oder ein emphatisches Kaf („ein ganzes Efa“, so offenbar niemand). Ein „Efa“ ist ein israelitisches Trockenmaß. Wieviel genau es umfasste, ist unsicher. Folgt man dem System von Schmidt 2014, entspricht ein Efa entweder zwischen 10 und 20 Liter (also etwa 6-12 kg) oder zwischen 36 und 39 Liter (also etwa 22-24 kg) Gerste (vgl. z. St. ähnlich Younger 1998, S. 124f). Der Tagesbedarf lag bei etwa 1 l Gerste; minimal hätte also Rut an einem Tag für fünf Tage ihre und Noomis Ernährung sichergestellt, maximal für fast 3 Wochen - in jedem Fall weit mehr, als man für einen Tag Nachlese hätte erwarten dürfen. Für die LF wäre eine Wiedergabe in kg sinnvoll, aber da nicht sicher ist, wie viele kg genau ein Efa sind, ist eine Empfehlung schwierig. Zur Zeit Ruts war wahrscheinlich die kleinere Efa-Variante verbreitet, also 6-12 kg - übersetze daher am Besten „über 5 kg!“Die deutschen Üss., die eine Umrechnung liefern, folgen entweder den Berechnungen von Albright, der das Flüssigmaß „Bath“ auf 22 l berechnet und dann das Trockenmaß Efa mengenmäßig mit dem Bath gleichsetzt (so z.B. GN, HfA, NeÜ, SLT) oder den Berechnungen, die ein Efa mit dem persischen maris gleichsetzen und daher als 40 l bestimmen (so z.B. NL)</w:t>
      </w:r>
    </w:p>
  </w:footnote>
  <w:footnote w:id="259">
    <w:p>
      <w:pPr>
        <w:pStyle w:val="Funote"/>
        <w:rPr/>
      </w:pPr>
      <w:r>
        <w:rPr/>
        <w:footnoteRef/>
        <w:tab/>
        <w:t>hob es auf (wuchtete es hoch) - W. „hob es auf“; vermutlich expliziert, um das Gewicht ihres Ertrags zu betonen; daher besser „wuchtete es hoch“ o.Ä.</w:t>
      </w:r>
    </w:p>
  </w:footnote>
  <w:footnote w:id="260">
    <w:p>
      <w:pPr>
        <w:pStyle w:val="Funote"/>
        <w:rPr/>
      </w:pPr>
      <w:r>
        <w:rPr/>
        <w:footnoteRef/>
        <w:tab/>
        <w:t>Textkritik: zeigte ihrer Schwiegermutter (ihre Schwiegermutter sah) - nach dem (vokallosen) Urtext sind beide Deutungen möglich. MT deutet durch Vokalisation und LXX und Tg durch Übersetzung als „ihre Schwiegermutter sah“, Syr, VUL und Arab durch Übersetzung als „sie zeigte ihrer Schwiegermutter“. BHQ wertet die zweite Lesart nach Barthélemy 1982, S. 133 als „syntaktische Erleichterung“, weil sie auf einen gleichmäßigeren Text ziele; aber ebenso leicht kann man das Zustandekommen der Deutung von MT, LXX und Tg damit erklären, dass sie sich daran orientierten, dass „was sie übriggelassen hatte“ den Objektmarker ´éth hat, „ihre Schwiegermutter“ aber nicht (was aber sehr häufig vorkommt). Es gibt keinen Grund, der Deutung von MT den Vorzug zu geben; vier spätere Handschriften haben sogar einen weiteren Objektmarker vor „ihre Schwiegermutter“ eingefügt, um eine andere Deutung auszuschließen. Dieser Lesart folgen z.B. auch Bertholet 1898, S. 62; Gray 1967, S. 415; Hamann 1871, S. 18f.; Wright 1864, S. 34; Würthwein 1969, S. 13; Zakovitch 1999, S. 125; Zenger 1986, S. 52.</w:t>
      </w:r>
    </w:p>
  </w:footnote>
  <w:footnote w:id="261">
    <w:p>
      <w:pPr>
        <w:pStyle w:val="Funote"/>
        <w:rPr/>
      </w:pPr>
      <w:r>
        <w:rPr/>
        <w:footnoteRef/>
        <w:tab/>
        <w:t>Wo - Das Heb. verwendet in dieser Frage zwei verschiedene Wörter für »wo« - vermutlich deshalb, weil das erste (´ephoh) ähnlich klingt wie »Efa« (´epha; so gut Zakovitch 1999, S. 126) - Ruts großer Ertrag ist es, der Noomis Frage provoziert.</w:t>
      </w:r>
    </w:p>
  </w:footnote>
  <w:footnote w:id="262">
    <w:p>
      <w:pPr>
        <w:pStyle w:val="Funote"/>
        <w:rPr/>
      </w:pPr>
      <w:r>
        <w:rPr/>
        <w:footnoteRef/>
        <w:tab/>
        <w:t>der dich [wohlwollend] angesehen [hat] - d.h., »dein Wohltäter«. Das selbe Verb wie in V. 10.</w:t>
      </w:r>
    </w:p>
  </w:footnote>
  <w:footnote w:id="263">
    <w:p>
      <w:pPr>
        <w:pStyle w:val="Funote"/>
        <w:rPr/>
      </w:pPr>
      <w:r>
        <w:rPr/>
        <w:footnoteRef/>
        <w:tab/>
        <w:t>Gesegnet [sei] jener von JHWH - zur Deutung von l als »von« vgl. z.B. BrSynt §107e. Theoretisch auch möglich: »Gesegnet sei er vor JHWH« oder »anempfohlen sei er dem JHWH«; so oder so ist aber der Sinn der der obigen Übersetzung: Noomi wünscht JHWHs Segen auf Boas herab.</w:t>
      </w:r>
    </w:p>
  </w:footnote>
  <w:footnote w:id="264">
    <w:p>
      <w:pPr>
        <w:pStyle w:val="Funote"/>
        <w:rPr/>
      </w:pPr>
      <w:r>
        <w:rPr/>
        <w:footnoteRef/>
        <w:tab/>
        <w:t>der nicht von seiner Treue zu den Lebenden und den Toten abgelassen hat könnte sich sowohl auf jenen, d.h. Boas, oder auf JHWH beziehen. Wohl bewusst; s. die Anmerkungen zu Kapitel 3.</w:t>
      </w:r>
    </w:p>
  </w:footnote>
  <w:footnote w:id="265">
    <w:p>
      <w:pPr>
        <w:pStyle w:val="Funote"/>
        <w:rPr/>
      </w:pPr>
      <w:r>
        <w:rPr/>
        <w:footnoteRef/>
        <w:tab/>
        <w:t>Und dann sagte - W. „Und sie sagte“, die redundante Redeeinleitung soll hier den Höhepunkt des Dialogs von Noomi und Rut markieren (vgl. Runge 2007, S. 169, FN 226).</w:t>
      </w:r>
    </w:p>
  </w:footnote>
  <w:footnote w:id="266">
    <w:p>
      <w:pPr>
        <w:pStyle w:val="Funote"/>
        <w:rPr/>
      </w:pPr>
      <w:r>
        <w:rPr/>
        <w:footnoteRef/>
        <w:tab/>
        <w:t>das heißt: Er ist unser Löser! - sicher nicht: »er ist einer von unseren Lösern« (so fast alle). Zunächst ist »Löser« hier Singular, so dass es dann übersetzt werden müsste »er ist einer von unser Löser« (was sich noch durch scriptio defectiva erklären ließe), vor allem aber gibt es immer nur einen Löser, so dass der Sinn höchstens sein könnte: »Er gehört zu denjenigen, die potentiell als unsere Löser fungieren könnten [wenn jeweils die, die vor ihnen in der Reihenfolge der Löserpflicht stehen, die Ausübung dieser Löserpflicht verweigern].« (vgl. Brichto 1973, S. 13: »he is a kinsman of ours, in the 'redeemer line'«; Campbell 1975, S. 88: »one of our circle of redeemers«). Dass es auch nach dem Rechtssystem des Rutbuchs nur einen Löser gibt, sieht man deutlich an Rut 4,5 (so auch Meek 1960, S. 332f.; Staples 1937, S. 63f.). Besser ist daher das min (»von«) als min explicativum zu deuten (»das heißt«, vgl. ZLH, S. 446), was dann auch erklärt, warum Rut in Kapitel 3 denkt, Boas wäre in der Tat ihr Löser. Wegen dieser Stelle ist auch der Vorschlag von Gesenius und Meek abzulehnen, der das min als »nächster nach« deuten will (»er ist der Nächste nach unserem Löser«; Gesenius 1840, S. 805; Meek 1960, S. 333).</w:t>
      </w:r>
    </w:p>
  </w:footnote>
  <w:footnote w:id="267">
    <w:p>
      <w:pPr>
        <w:pStyle w:val="Funote"/>
        <w:rPr/>
      </w:pPr>
      <w:r>
        <w:rPr/>
        <w:footnoteRef/>
        <w:tab/>
        <w:t>Dazu [kommt], dass - W. »Zusätzlich [ist (=gilt), dass]«. Gut Bertholet 1898, S. 62: »[... Dies] gibt die lebhafte Rede wieder: auch das noch muss ich beifügen, dass....«</w:t>
      </w:r>
    </w:p>
  </w:footnote>
  <w:footnote w:id="268">
    <w:p>
      <w:pPr>
        <w:pStyle w:val="Funote"/>
        <w:rPr/>
      </w:pPr>
      <w:r>
        <w:rPr/>
        <w:footnoteRef/>
        <w:tab/>
        <w:t>Jungen (V. 21) + Mädchen (V. 22) - Dass Rut hier von »Jungen« spricht, obwohl Boas oben von »Mädchen« gesprochen hat und dass direkt folgend auch noch Noomi wieder von »Mädchen« spricht, hat vielen Kommentatoren Anlass zu Spekulationen gegeben. Fischer 2001, S. 190f z.B. deutet Rut als eine Feministin, die dem androzentrischen Weltbild ihrer Schwiegermutter entgegenkommen will; Köhlmoos 2010 denkt, dass Boas und Noomi die junge Rut vor Belästigungen durch die Männer bewahren wollen und V. 23 dann ausdrücken soll, dass die beiden diese Diskussion »gewonnen« (S. 50) hätten. Und im Midrasch gibt diese Merkwürdigkeit des Textes Rabbi Chanin bar Levi Anlass für eine despektierliche Bemerkung über den Charakter von Moabiterinnen: »[Natürlich] war sie [nur] eine Moabiterin, [denn] er sagte: ‚Halte dich zu meinen Dirnen [...]‘« (Üs. nach Wünsche). Für solche ältere und neuere Midraschim gibt der Text bei weitem nicht genügend Anhaltspunkte; besser wäre in der Tat noch, mit Zakovitch 1999, S. 129 das »Jungen« in V. 21 nach VUL und LXX nach »Mädchen« zu emendieren (da beide Worte sich im Hebräischen sehr ähnlich sehen und leicht miteinander verschrieben werden konnten); noch besser aber, das Maskulin einfach für ein generisches Maskulinum zu halten: Rut spricht allgemein davon, dass sie sich an Boas Erntearbeitern - männlich wie weiblich - halten darf; Boas und Noomi sind präziser und sprechen nur von den Erntearbeiterinnen (so auch de Waard/Nida 1992, S. 42; ähnlich Zenger 1986, S. 53). Dahin weist auch die Rede vom »anderen Feld« in V. 22: Entscheidend ist für Noomi nicht, dass Rut mit den Mädchen statt den Jungen geht, sondern dass sie mit Boas Erntearbeitern statt den Erntearbeitern auf einem anderen Feld arbeitet.</w:t>
      </w:r>
    </w:p>
  </w:footnote>
  <w:footnote w:id="269">
    <w:p>
      <w:pPr>
        <w:pStyle w:val="Funote"/>
        <w:rPr/>
      </w:pPr>
      <w:r>
        <w:rPr/>
        <w:footnoteRef/>
        <w:tab/>
        <w:t>die mir [sind (gehören)]/[ist (gehört)] - die zweimalige Konstruktion mit die mir [ist/sind] ist stilistisch so auffällig, dass z.B. Perles 1922, S. 84 sie als Aramäismen erklären und Rudolph 1962, z.St. die zweite gar als falsche Wiederholung streichen möchte. Der Effekt der Konstruktion ist die explizitere Zuordnung von Jungen und Ernte zu Boas: Entscheidend ist nicht, dass Rut sich nicht an andere Jungen »hängen« oder bei einer anderen Ernte Nachlese halten soll, sondern, dass sie sich nicht an andere Jungen als die des Boas hängen und an einer anderen Ernte als der des Boas beteiligen soll: Rut soll bei Boas bleiben.</w:t>
      </w:r>
    </w:p>
  </w:footnote>
  <w:footnote w:id="270">
    <w:p>
      <w:pPr>
        <w:pStyle w:val="Funote"/>
        <w:rPr/>
      </w:pPr>
      <w:r>
        <w:rPr/>
        <w:footnoteRef/>
        <w:tab/>
        <w:t>JHWH</w:t>
      </w:r>
    </w:p>
  </w:footnote>
  <w:footnote w:id="271">
    <w:p>
      <w:pPr>
        <w:pStyle w:val="Funote"/>
        <w:rPr/>
      </w:pPr>
      <w:r>
        <w:rPr/>
        <w:footnoteRef/>
        <w:tab/>
        <w:t>[Zu dieser vgl. v.a. Novick 2011.]</w:t>
      </w:r>
    </w:p>
  </w:footnote>
  <w:footnote w:id="272">
    <w:p>
      <w:pPr>
        <w:pStyle w:val="Funote"/>
        <w:rPr/>
      </w:pPr>
      <w:r>
        <w:rPr/>
        <w:footnoteRef/>
        <w:tab/>
        <w:t>JHWH</w:t>
      </w:r>
    </w:p>
  </w:footnote>
  <w:footnote w:id="273">
    <w:p>
      <w:pPr>
        <w:pStyle w:val="Funote"/>
        <w:rPr/>
      </w:pPr>
      <w:r>
        <w:rPr/>
        <w:footnoteRef/>
        <w:tab/>
        <w:t>JHWH</w:t>
      </w:r>
    </w:p>
  </w:footnote>
  <w:footnote w:id="274">
    <w:p>
      <w:pPr>
        <w:pStyle w:val="Funote"/>
        <w:rPr/>
      </w:pPr>
      <w:r>
        <w:rPr/>
        <w:footnoteRef/>
        <w:tab/>
        <w:t>[Vgl. Frevel 1992, S. 79]</w:t>
      </w:r>
    </w:p>
  </w:footnote>
  <w:footnote w:id="275">
    <w:p>
      <w:pPr>
        <w:pStyle w:val="Funote"/>
        <w:rPr/>
      </w:pPr>
      <w:r>
        <w:rPr/>
        <w:footnoteRef/>
        <w:tab/>
        <w:t>JHWH</w:t>
      </w:r>
    </w:p>
  </w:footnote>
  <w:footnote w:id="276">
    <w:p>
      <w:pPr>
        <w:pStyle w:val="Funote"/>
        <w:rPr/>
      </w:pPr>
      <w:r>
        <w:rPr/>
        <w:footnoteRef/>
        <w:tab/>
        <w:t>[Vgl. Collins 1993, S. 100; Halton 2012, S. 37; Thompson 1993, S. 210]</w:t>
      </w:r>
    </w:p>
  </w:footnote>
  <w:footnote w:id="277">
    <w:p>
      <w:pPr>
        <w:pStyle w:val="Funote"/>
        <w:rPr/>
      </w:pPr>
      <w:r>
        <w:rPr/>
        <w:footnoteRef/>
        <w:tab/>
        <w:t>JHWH</w:t>
      </w:r>
    </w:p>
  </w:footnote>
  <w:footnote w:id="278">
    <w:p>
      <w:pPr>
        <w:pStyle w:val="Funote"/>
        <w:rPr/>
      </w:pPr>
      <w:r>
        <w:rPr/>
        <w:footnoteRef/>
        <w:tab/>
        <w:t>[Vgl. Gordis 1974, S. 241]</w:t>
      </w:r>
    </w:p>
  </w:footnote>
  <w:footnote w:id="279">
    <w:p>
      <w:pPr>
        <w:pStyle w:val="Funote"/>
        <w:rPr/>
      </w:pPr>
      <w:r>
        <w:rPr/>
        <w:footnoteRef/>
        <w:tab/>
        <w:t>JHWH</w:t>
      </w:r>
    </w:p>
  </w:footnote>
  <w:footnote w:id="280">
    <w:p>
      <w:pPr>
        <w:pStyle w:val="Funote"/>
        <w:rPr/>
      </w:pPr>
      <w:r>
        <w:rPr/>
        <w:footnoteRef/>
        <w:tab/>
        <w:t>[Vgl. z.B. Landy 1994, S. 297]</w:t>
      </w:r>
    </w:p>
  </w:footnote>
  <w:footnote w:id="281">
    <w:p>
      <w:pPr>
        <w:pStyle w:val="Funote"/>
        <w:rPr/>
      </w:pPr>
      <w:r>
        <w:rPr/>
        <w:footnoteRef/>
        <w:tab/>
        <w:t>JHWH</w:t>
      </w:r>
    </w:p>
  </w:footnote>
  <w:footnote w:id="282">
    <w:p>
      <w:pPr>
        <w:pStyle w:val="Funote"/>
        <w:rPr/>
      </w:pPr>
      <w:r>
        <w:rPr/>
        <w:footnoteRef/>
        <w:tab/>
        <w:t>[Vgl. Köhlmoos 2010, S. 63]</w:t>
      </w:r>
    </w:p>
  </w:footnote>
  <w:footnote w:id="283">
    <w:p>
      <w:pPr>
        <w:pStyle w:val="Funote"/>
        <w:rPr/>
      </w:pPr>
      <w:r>
        <w:rPr/>
        <w:footnoteRef/>
        <w:tab/>
        <w:t>JHWH</w:t>
      </w:r>
    </w:p>
  </w:footnote>
  <w:footnote w:id="284">
    <w:p>
      <w:pPr>
        <w:pStyle w:val="Funote"/>
        <w:rPr/>
      </w:pPr>
      <w:r>
        <w:rPr/>
        <w:footnoteRef/>
        <w:tab/>
        <w:t>JHWH</w:t>
      </w:r>
    </w:p>
  </w:footnote>
  <w:footnote w:id="285">
    <w:p>
      <w:pPr>
        <w:pStyle w:val="Funote"/>
        <w:rPr/>
      </w:pPr>
      <w:r>
        <w:rPr/>
        <w:footnoteRef/>
        <w:tab/>
        <w:t>JHWH</w:t>
      </w:r>
    </w:p>
  </w:footnote>
  <w:footnote w:id="286">
    <w:p>
      <w:pPr>
        <w:pStyle w:val="Funote"/>
        <w:rPr/>
      </w:pPr>
      <w:r>
        <w:rPr/>
        <w:footnoteRef/>
        <w:tab/>
        <w:t>JHWH</w:t>
      </w:r>
    </w:p>
  </w:footnote>
  <w:footnote w:id="287">
    <w:p>
      <w:pPr>
        <w:pStyle w:val="Funote"/>
        <w:rPr/>
      </w:pPr>
      <w:r>
        <w:rPr/>
        <w:footnoteRef/>
        <w:tab/>
        <w:t>JHWH</w:t>
      </w:r>
    </w:p>
  </w:footnote>
  <w:footnote w:id="288">
    <w:p>
      <w:pPr>
        <w:pStyle w:val="Funote"/>
        <w:rPr/>
      </w:pPr>
      <w:r>
        <w:rPr/>
        <w:footnoteRef/>
        <w:tab/>
        <w:t>JHWH</w:t>
      </w:r>
    </w:p>
  </w:footnote>
  <w:footnote w:id="289">
    <w:p>
      <w:pPr>
        <w:pStyle w:val="Funote"/>
        <w:rPr/>
      </w:pPr>
      <w:r>
        <w:rPr/>
        <w:footnoteRef/>
        <w:tab/>
        <w:t>JHWH</w:t>
      </w:r>
    </w:p>
  </w:footnote>
  <w:footnote w:id="290">
    <w:p>
      <w:pPr>
        <w:pStyle w:val="Funote"/>
        <w:rPr/>
      </w:pPr>
      <w:r>
        <w:rPr/>
        <w:footnoteRef/>
        <w:tab/>
        <w:t>[Status: Zuverlässig]</w:t>
      </w:r>
    </w:p>
  </w:footnote>
  <w:footnote w:id="291">
    <w:p>
      <w:pPr>
        <w:pStyle w:val="Funote"/>
        <w:rPr/>
      </w:pPr>
      <w:r>
        <w:rPr/>
        <w:footnoteRef/>
        <w:tab/>
        <w:t>Will ich nicht...? (V. 1) + Ist nicht...? (V. 2) + Siehe (V. 2) - Die beiden rhetorischen Fragen dienen hier - wie oft (vgl. bes. Moshavi 2011, S. 99f) - zur Begründung der in Vv. 3f folgenden Aufforderung; die Argumentationsstruktur von Vv. 1-4 ist also etwa diese: 1-2a: Hintergründe der Aufforderung in V. 3 - 2b: Information über einen für die folgende Auffordung relevanten Satzverhalts (wie üblich eingeleitet durch hinneh (»siehe«)) - 3-4: Die Aufforderung selbst.Im Dt. würde man das eher etwa so formulieren: »Liebe Tochter, ich würde dir ja gerne eine Heimstatt verschaffen, und Boas - der, bei dessen Mägden du gearbeitet hast - ist ja unser Verwandter, nicht wahr? Dieser nun wird heute Nacht auf der Tenne worfeln; daher pass auf; du machst nun Folgendes:...«. Sehr gut daher ZÜR 1931: »Liebe Tochter, ich muss dir doch ein Heim suchen ... (ähnlich MEN). Nun ist ja Boas ... ein Verwandter von uns (ähnlich EÜ, TEX). Siehe...«.</w:t>
      </w:r>
    </w:p>
  </w:footnote>
  <w:footnote w:id="292">
    <w:p>
      <w:pPr>
        <w:pStyle w:val="Funote"/>
        <w:rPr/>
      </w:pPr>
      <w:r>
        <w:rPr/>
        <w:footnoteRef/>
        <w:tab/>
        <w:t>Ruhe (eine Heimstatt) - Heb. manoach, ein Synonym von menuchah in Rut 1,9 (s. dazu FN aa): Noomi will Rut ein Heim verschaffen; d.h. hier: sie will sie »unter die Haube bringen«.</w:t>
      </w:r>
    </w:p>
  </w:footnote>
  <w:footnote w:id="293">
    <w:p>
      <w:pPr>
        <w:pStyle w:val="Funote"/>
        <w:rPr/>
      </w:pPr>
      <w:r>
        <w:rPr/>
        <w:footnoteRef/>
        <w:tab/>
        <w:t>damit es dir gut geht - häufige Formulierung in der Bibel, die bes. häufig mit dem Halten von JHWHs Geboten zusammenhängt: Hält man sie, »geht es einem gut« (s. z.B. Dtn 4,40; Dtn 12,28; Jer 7,23; Jer 38,20; Jer 42,6 u.ö.). Für sich genommen wäre das nicht besonders auffällig, aber vgl. noch FN o zu Vers 6: Noomi erlässt hier Gebote (s. die Anmerkungen)</w:t>
      </w:r>
    </w:p>
  </w:footnote>
  <w:footnote w:id="294">
    <w:p>
      <w:pPr>
        <w:pStyle w:val="Funote"/>
        <w:rPr/>
      </w:pPr>
      <w:r>
        <w:rPr/>
        <w:footnoteRef/>
        <w:tab/>
        <w:t>Und weiter - W.: »und nun«; doch wä`attah dient hier wohl nur zur »Markierung eines neuen Gedankens« (Ges18, S. 1030); treffender ist daher obiger Übersetzungsvorschlag.</w:t>
      </w:r>
    </w:p>
  </w:footnote>
  <w:footnote w:id="295">
    <w:p>
      <w:pPr>
        <w:pStyle w:val="Funote"/>
        <w:rPr/>
      </w:pPr>
      <w:r>
        <w:rPr/>
        <w:footnoteRef/>
        <w:tab/>
        <w:t>Verwandter - Bed. unsicher (-&gt; Hapax legomenon). Sehr wahrscheinlich bedeutet es ungefähr das selbe wie das ähnliche Wort »Verwandter« in Rut 2,1 (so fast alle Exegeten). Vom Wortbildungsmuster her scheint das Wort ein Abstraktbegriff zu sein, also eher »Verwandtschaft«; wörtlicher wäre daher vermutlich etwas wie »Gehört nicht Boas zu unserer Verwandtschaft?« (so z.B. MEN). Da aber auch dies nicht sicher ist, folgen wir in der SF der Standardübersetzung »Verwandter«.</w:t>
      </w:r>
    </w:p>
  </w:footnote>
  <w:footnote w:id="296">
    <w:p>
      <w:pPr>
        <w:pStyle w:val="Funote"/>
        <w:rPr/>
      </w:pPr>
      <w:r>
        <w:rPr/>
        <w:footnoteRef/>
        <w:tab/>
        <w:t>er wird Gerste auf der Gerstentenne worfeln - W. »er wird die Gerstentenne worfeln«; die »Gerstentenne« steht hier wohl metonymisch für die Gerste auf dieser Tenne (vgl. z.B. Gray 1967, S. 417; Zakovitch 1999, S. 135). Eine »Tenne« ist der Ort, an dem Getreide gedroschen und geworfelt wird; »Worfeln« bezeichnet den Arbeitsschritt der Trennung der Getreidekörner von Spreu und Spelzen mithilfe des Windes (vgl. näher Dreschen und worfeln (WiBiLex)), weshalb das Worfeln auch nachts geschehen muss: Der rechte Wind kommt in Israel oft erst gegen Abend auf. Vermutlich muss an eine Gemeinschaftstenne gedacht werden, die von mehreren Grundbesitzern gemeinsam verwendet wurde. Etwas merkwürdig ist allerdings das »Gersten-« in »Gerstentenne«, da es wohl nicht verschiedene Tennen für verschiedene Getreidearten gab.</w:t>
      </w:r>
    </w:p>
  </w:footnote>
  <w:footnote w:id="297">
    <w:p>
      <w:pPr>
        <w:pStyle w:val="Funote"/>
        <w:rPr/>
      </w:pPr>
      <w:r>
        <w:rPr/>
        <w:footnoteRef/>
        <w:tab/>
        <w:t>[Daher] - Dass die Aufforderung in Vv. 3f aus Vv. 1f abgeleitet wird, wird im Heb. nur durch die Wortform (Weqatal) markiert (eben daher auch Einsatz durch Weqatal statt Yiqtol).</w:t>
      </w:r>
    </w:p>
  </w:footnote>
  <w:footnote w:id="298">
    <w:p>
      <w:pPr>
        <w:pStyle w:val="Funote"/>
        <w:rPr/>
      </w:pPr>
      <w:r>
        <w:rPr/>
        <w:footnoteRef/>
        <w:tab/>
        <w:t>deine Kleider (dein Kleid) - In der Überlieferung des Textes finden sich beide Versionen: Ketiv und LXX haben Singular, Qere, Syr, VUL und Tg haben Plural. Da Rut am Ende des Kapitels eines ihrer Kleidungsstücke zum Transport der Gerste verwendet und sicher nicht nackt durch Jerusalem läuft, trägt sie sicherlich mehrere Kleidungsstücke; allein schon aus diesem Grund sollte besser mit Plural übersetzt werden. Gemeint sind wohl Ruts »gute« Kleider (TgRut: »Prachtgewänder«; RutR: »Sabbatkleider«; VUL: »elegante Kleider«; dazu passt auch Syr: »schmücke dich mit deinen Gewändern«) - ein weiteres Indiz dafür, dass Noomi und Rut so arm nicht sein können, da schon der Durchschnittsisraelit nicht mehr als zwei Gewänder besaß; die Angehörigen der armen Bevölkerungsschicht häufig nur eines. Gut schlagen de Waard/Nida 1992, S. 48 vor, zu übersetzen mit »get dressed in your best clothes« (so viele Üss; z.B. GN, HfA, NeÜ, NL, OEB, T4T).</w:t>
      </w:r>
    </w:p>
  </w:footnote>
  <w:footnote w:id="299">
    <w:p>
      <w:pPr>
        <w:pStyle w:val="Funote"/>
        <w:rPr/>
      </w:pPr>
      <w:r>
        <w:rPr/>
        <w:footnoteRef/>
        <w:tab/>
        <w:t>wasche dich, bade dich und wirf deine Kleider um dich - Es ist umstritten, ob diese Handlungen wie in Ez 16,9f symbolisch als Hochzeitsvorbereitungen gemeint sind (so z.B. Fischer 2001, S. 201; Zenger 1986, S. 66f) oder ob sie wie in Jdt 10,3 v.a. die Verführung eines Mannes erleichtern sollen (so z.B. Gunkel 1913, S. 75f; Wénin 1998, S. 188). V. 1 legt eher ersteres nahe, V. 4 eher letzteres und vermutlich kann man hier an beides denken, da der Weg zum Ja-Wort ja über die Verführung des Boas läuft (s. die Anmerkungen). Vielleicht kann man hier ohnehin nicht zwischen diesen beiden Optionen entscheiden, da nach Mischna Qidduschin 1,1 die Ehe schon durch den Geschlechtsakt als vollzogen galt - wenn dies schon zu biblischer Zeit der Fall war, wäre mit der erfolgreichen Verführung auch gleich die Ehe geschlossen.</w:t>
      </w:r>
    </w:p>
  </w:footnote>
  <w:footnote w:id="300">
    <w:p>
      <w:pPr>
        <w:pStyle w:val="Funote"/>
        <w:rPr/>
      </w:pPr>
      <w:r>
        <w:rPr/>
        <w:footnoteRef/>
        <w:tab/>
        <w:t>geh hinab (V. 3) + lege dich (V. 4) - Ketiv bietet hier eine Schreibweise, die auf den ersten Blick »ich gehe hinab« und »ich lege mich« statt »gehe hinab« und »lege dich« zu bedeuten scheint. Diese Form für die 2. Person findet sich noch häufiger in der Bibel; entweder handelt es sich dabei um eine veraltete Form (vgl. z.B. HKL I §20.6; Rendsburg 2013, S. 635) oder einen Aramäismus (vgl. z.B. Zakovitch 1999, S. 136). Besonders häufig findet sich diese Form übrigens in Ez 16, das auch über die Abfolge »waschen, salben und ankleiden« (Ez 16,9f + Rut 3,3; s. vorige FN) und über die Rede vom »den Gewandsaum über jemanden breiten« für die Heirat (Ez 16,8 + Rut 3,9) mit unserem Kapitel zusammenhängt. Dass diese Form jeweils nur beim vierten Wort der Vierer-Weqatal-Ketten verwendet wird, macht es sehr wahrscheinlich, dass sie hier nur aus stilistischen Gründen verwendet wird und in der Übersetzung ohne Bedeutungsverlust ignoriert werden kann.</w:t>
      </w:r>
    </w:p>
  </w:footnote>
  <w:footnote w:id="301">
    <w:p>
      <w:pPr>
        <w:pStyle w:val="Funote"/>
        <w:rPr/>
      </w:pPr>
      <w:r>
        <w:rPr/>
        <w:footnoteRef/>
        <w:tab/>
        <w:t>Und es soll sein, wenn er sich legt: (Wenn er sich legt,) - Schwierige Stelle; übersetze nach dem Alternativvorschlag.tFN: (1) Das Verb wihi (»und es soll sein«) scheint hier ähnlich wie sonst wajähi (»und es war«, s. z.B. Rut 1,1 (dazu FN c): »Und es war in den Tagen des Richtens der Richter...«) und wähaja (»und es wird sein«, s. z.B. Rut 3,13: »Und es wird sein am Morgen...«) nicht zur story zu gehören, sondern nur zur Markierung einer Zeitangabe zu dienen (vgl. ähnlich Rubinsteins Deutung von HKL III §193b in Rubinstein 1956, S. 76; so wohl auch Holmstedt 2010, S. 154 (?)). Eine ähnliche Verwendung von wihi findet sich sonst nur in 1 Sam 10,5; 2 Sam 5,24 = 1 Chr 14,15 (und in 1 Kön 14,5, wo aber sicher mit LXX wajähi zu lesen ist) und diese Deutung ist allein schon deshalb schwierig, weil die in 1 Sam 10,5 auf wihi folgenden Sätze sich nicht jussivisch verstehen lassen. (2) Joüon 1993, S. 69 will daher emendieren nach wähaja und erklärt sich unsere Stelle so, dass ein Schreiber fälschlicherweise statt den Konsonanten whjh (=wähaja, »und es wird sein«) wjhj (=wajähi, »und es war«) geschrieben habe, was die Masoreten dann zum »weniger falschen« wihi vokalisiert hätten (so auch Lambert 1946, S. 157).(3) Und Niccacci 1995, S. 92 denkt, wihi habe hier seine »normale Funktion, Finalsätze auszudrücken« (s. z.B. Ex 10,21; Mal 3,10) und übersetzt mit »damit du, wenn er sich legt, dir den Ort merken [kannst]«. Diese »normale Funktion« erkennt hier aber auch sonst niemand; in den entsprechenden Versen wird wihi nie wie hier und den obigen Stellen impersonal (»[Es] soll sein«) verwendet, sondern als Vollverb mit Objekt (Ex 10,21: »Damit Finsternis sei«; Mal 3,10: »Damit Nahrung in meinem Haus sei«) und in 1Sam 10,5 funktioniert auch diese Deutung nicht.Entweder gehen wir also (nur auf der Basis von unserem Vers und 2 Sam 5,24 = 1 Chr 14,15!) davon aus, dass wihi sich in Aufforderungen in der Tat wie wajähi und wähaja zur Markierung einer Zeitangabe verwenden lässt und in 1 Sam 10,5 auch noch emendiert werden muss, oder wir folgen besser an allen Stellen dem Emendationsvorschlag von Joüon und Lambert. Auf jeden Fall ist am sinnvollsten nach der Alternativübersetzung zu übersetzen und findet sich so auch in fast allen dt. Üss.</w:t>
      </w:r>
    </w:p>
  </w:footnote>
  <w:footnote w:id="302">
    <w:p>
      <w:pPr>
        <w:pStyle w:val="Funote"/>
        <w:rPr/>
      </w:pPr>
      <w:r>
        <w:rPr/>
        <w:footnoteRef/>
        <w:tab/>
        <w:t>entblöße seine Beine (seine Scham?, decke den Ort seiner Beine auf? Entblöße dich zu seinen Füßen?) - »seine Beine/Scham/zu seinen Füßen« = seltenes Wort; sonst nur noch in Dan 10,6 verwendet, wo es sicher »Beine« bedeutet; so wohl auch hier (s.u.). Rut, die sich extra aufgehübscht hat, soll im Schutz der Nacht Boas Beine »aufdecken«, sich »legen« - beide Worte werden häufiger als Euphemismen für den Geschlechtsverkehr verwendet - und sich an die entblößten Beine des Boas schmiegen. Das lässt sich sicher nicht nur als unkonventionelle (und sehr erfolglose - Boas erwacht erst gegen Mitternacht) Weckmethode verstehen; die »sexuellen Konnotationen [in diesem Vers sind] nicht zu überhören« (Zenger 1986, S. 67).tFN: Seine Beine (den Ort seiner Beine) - Das Wort margelah wird meist erklärt durch die nominale Wortbildungsform mit der Vorsilbe m- - d.h., ein Nomen wird gebildet, indem die Vorsilbe m- an die Wurzel (hier rgl (»Beine, gehen«)) angefügt wird. Diese Wortbildungsform hat häufig lokative Bedeutung und auch unser Wort wird daher gern lokativ gedeutet (»der Ort seiner Beine«, d.h. »das Fußende [seines Nachtlagers]« (so gut Keita/Dyk 2006, S. 20)). Doch wegen Dan 10,6 liegt das recht fern und die Vorsilbe ist eher als instumentales m- zu erklären (dazu vgl. z.B. BL §61 w</w:t>
      </w:r>
      <w:r>
        <w:rPr>
          <w:lang w:val="el-GR"/>
        </w:rPr>
        <w:t>ε</w:t>
      </w:r>
      <w:r>
        <w:rPr/>
        <w:t>): Die margelot sind »das, womit man geht«, nämlich eben die Beine.Seine Scham - Das mit unserem Wort verwandte regel (»Bein«) ist häufiger ein Euphemismus für die menschliche Scham; einige Exegeten glauben deshalb, dass auch margelah diese Bedeutung haben könne und Noomi also Rut dazu auffordert, Boas Unterleib zu entblößen. Doch ob dies so ist, wissen wir nicht und auch mit der wahrscheinlichen wörtlichen Bedeutung »Beine« ist der Text ja verfänglich genug: »Rut soll sich zum liegenden Boas, nahe an seine aufgedeckten Beine, legen - keuscher ist das Hebräische nicht zu erklären« (Fischer 2001, S. 203).Entblöße dich zu seinen Füßen - theoretisch auch möglich. glh (»entkleiden«) kann ohne Objekt wohl auch »sich entkleiden« bedeuten (s. Jes 57,8); wenn man margelot als Ortsangabe versteht (»zu seinen Füßen«) , könnte man also Noomis Auforderung auch als »entblöße dich« deuten (so bes. Nielsen 1985, S. 205-207; Nielsen 1997, S. 68f; van Wolde 1997, S. 443f.; Wénin 1998, S. 188) - doch da die margelot wie gesagt eher »Beine« als »der Ort der Beine« bedeutet, ist die Primärübersetzung doch sehr viel wahrscheinlicher.</w:t>
      </w:r>
    </w:p>
  </w:footnote>
  <w:footnote w:id="303">
    <w:p>
      <w:pPr>
        <w:pStyle w:val="Funote"/>
        <w:rPr/>
      </w:pPr>
      <w:r>
        <w:rPr/>
        <w:footnoteRef/>
        <w:tab/>
        <w:t>Textkritik: ([mir]) - Die Überlieferung des heb. Textes bietet beide Versionen; Ketiv und viele LXX- und VUL-Mss haben ohne »mir«; Qere, einige LXX- und VUL-Mss, Tg und Syr mit. Eine Entscheidung ist hier nicht möglich.</w:t>
      </w:r>
    </w:p>
  </w:footnote>
  <w:footnote w:id="304">
    <w:p>
      <w:pPr>
        <w:pStyle w:val="Funote"/>
        <w:rPr/>
      </w:pPr>
      <w:r>
        <w:rPr/>
        <w:footnoteRef/>
        <w:tab/>
        <w:t>sagst (je sagen wirst) - das Verb steht im Yiqtol; d.h.: Rut bezieht sich damit nicht (nur) auf Noomis Aufforderungen in Vv. 3f, sondern auf alles, was diese ihr je sagen wird.</w:t>
      </w:r>
    </w:p>
  </w:footnote>
  <w:footnote w:id="305">
    <w:p>
      <w:pPr>
        <w:pStyle w:val="Funote"/>
        <w:rPr/>
      </w:pPr>
      <w:r>
        <w:rPr/>
        <w:footnoteRef/>
        <w:tab/>
        <w:t>befolgte alles - w. „tat gemäß allem“; wohl kein „Kaf veritatis“ („tat alles genau so“; so viele Üss), das es wohl nicht gibt (so schon GKC §188x) und ohnehin nicht vor alles, sondern eher vor wie stehen würde. Der Ausdruck „etwas tun gemäß allem, was...“ findet sich besonders häufig im Zusammenhang mit dem Befolgen von Geboten (s. z.B. Num 9,3.12; Jos 1,7f; 2 Kön 22,13 = 2 Chr 34,21; Jer 42,5) und passt daher besonders gut zu dieser Stelle, wo Rut befolgt, was ihr Noomi „geboten hatte“ und was auch über das „damit es dir gut geht“ mit den Geboten JHWHs parallelisiert wird (s. Anmerkungen und FN c).</w:t>
      </w:r>
    </w:p>
  </w:footnote>
  <w:footnote w:id="306">
    <w:p>
      <w:pPr>
        <w:pStyle w:val="Funote"/>
        <w:rPr/>
      </w:pPr>
      <w:r>
        <w:rPr/>
        <w:footnoteRef/>
        <w:tab/>
        <w:t>sein Herz wurde fröhlich - heb. Idiom, dass sowohl bedeuten kann, dass Boas (vom Weingenuß) „betrunken wurde“ (s. z.B. 1 Sam 25,36) als auch nur, dass er „gut gelaunt“ war (s. z.B. 1 Kön 8,66). Da es hier als direkte Folge des Essens und Trinkens genannt wird und wegen der Bezüge des Kapitels zu Gen 19,30-38 hätte ein hebräischer Leser zunächst sicher an ersteres gedacht, was vom Autor auch sicher so intendiert war. Doch der folgende Text zeigt dann: Selbst, wenn Boas gegen Abend etwas angeheitert gewesen sein sollte - um Mitternacht war er wieder stocknüchtern.</w:t>
      </w:r>
    </w:p>
  </w:footnote>
  <w:footnote w:id="307">
    <w:p>
      <w:pPr>
        <w:pStyle w:val="Funote"/>
        <w:rPr/>
      </w:pPr>
      <w:r>
        <w:rPr/>
        <w:footnoteRef/>
        <w:tab/>
        <w:t>zu entblößte seine Beine s. FN l zu V. 4.</w:t>
      </w:r>
    </w:p>
  </w:footnote>
  <w:footnote w:id="308">
    <w:p>
      <w:pPr>
        <w:pStyle w:val="Funote"/>
        <w:rPr/>
      </w:pPr>
      <w:r>
        <w:rPr/>
        <w:footnoteRef/>
        <w:tab/>
        <w:t>zitterte - Der Grund für dieses Zittern wird nicht genannt und hat daher zu einigen Spekulationen geführt. Durchaus die wahrscheinlichste Erklärung ist, dass Boas ob seiner aufgedeckten Beine vor Kälte erzittert und daher aufwacht (so auch die meisten). Frevel 1992, S. 98f., Sasson 1979, S. 75-78 und Zenger 1986, S. 70f dagegen glauben aus unerfindlichen Gründen, Boas sei davon überzeugt, die Dämonin Lilith habe sich an seine Beine geschmiegt (richtig Landy 1994, S. 290f: Selbst, wenn es für diese Dämonentheorie Indizien gäbe - warum denn ausgerechnet Lilith, die in der Bibel nur einmal möglicherweise erwähnt wird?).</w:t>
      </w:r>
    </w:p>
  </w:footnote>
  <w:footnote w:id="309">
    <w:p>
      <w:pPr>
        <w:pStyle w:val="Funote"/>
        <w:rPr/>
      </w:pPr>
      <w:r>
        <w:rPr/>
        <w:footnoteRef/>
        <w:tab/>
        <w:t>tastete [um sich] (sah sich um) - Heb. lpt; Bed. umstritten; am wahrscheinlichsten: „sich abtasten“.tFN: Seltenes Wort (sonst nur noch in Ri 16,29 und Ijob 6,18). Abzuleiten ist es entweder vom arabischen talaffata („das Gesicht nach jemands Seite drehen“) und hat die Bedeutung „sich wenden“, „sich umblicken“ (so z.B. Gray 1967, S. 418; Sasson 1979, S. 78-80; Zakovitch 1999, S. 141) oder vom akkadischen lapâtu („(an)fassen, greifen, schlagen“) und heißt dann hier: „sich betasten“ (so z.B. Campbell 1975, S. 122; Halton 2012, S. 32; Loretz 1964). Tg, Syr und VUL helfen wenig, da ihr „und er sah“ wohl nur eine freie Wiedergabe von „und siehe“ ist; RutR aber deutet sehr wahrscheinlich als „tasten“: „Und er jlpt d.i. Ruth umschlang ihn wie eine Hautflechte. Er fing an das Haar zu betassten. Geister, sprach er bei sich, haben keine Haare.“ (Üs. nach Wünsche 1883, S. 47), daher ist dies hier etwas wahrscheinlicher, bleibt aber sehr unsicher.</w:t>
      </w:r>
    </w:p>
  </w:footnote>
  <w:footnote w:id="310">
    <w:p>
      <w:pPr>
        <w:pStyle w:val="Funote"/>
        <w:rPr/>
      </w:pPr>
      <w:r>
        <w:rPr/>
        <w:footnoteRef/>
        <w:tab/>
        <w:t>deine Magd - Heb. ´amah, ein Synonym von schipchah (»Magd«) in Rut 2,13. Wie dort als Höflichkeitsstrategie verwendet (à la »Verehrter Herr: ich bin Rut« und entsprechend »daher breiten Sie doch bitte Ihren Gewandzipfel über mich«; s. FN ag); hier statt diesem verwendet, da ´amah im Unterschied zu schipchah auch für Ehefrauen verwendet werden kann (vgl. z.B. Fischer 2001, S. 210; Younger 1998, S. 127).</w:t>
      </w:r>
    </w:p>
  </w:footnote>
  <w:footnote w:id="311">
    <w:p>
      <w:pPr>
        <w:pStyle w:val="Funote"/>
        <w:rPr/>
      </w:pPr>
      <w:r>
        <w:rPr/>
        <w:footnoteRef/>
        <w:tab/>
        <w:t>deinen Gewandzipfel (deine Decke, deine Flügel) - zur Bed. der »Gewandzipfel« und zur Alternative »Decke« s. die nächste FN.Textkritik: Flügel - Ketiv, LXX, Syr, Tg, VUL haben den Singular »Gewandzipfel«; Qere und einige Mss aber haben das selbe Wort im Dual/Plural (»deine (beiden) Flügel«) - wohl nur eine nachträgliche Änderung, um »jegliche sexuelle Konnotation der Szene auszuschließen« (Zenger 1986, S. 68) oder eine nachträgliche Angleichung an Rut 2,12 (so z.B. Holmstedt 2010, S. 162).</w:t>
      </w:r>
    </w:p>
  </w:footnote>
  <w:footnote w:id="312">
    <w:p>
      <w:pPr>
        <w:pStyle w:val="Funote"/>
        <w:rPr/>
      </w:pPr>
      <w:r>
        <w:rPr/>
        <w:footnoteRef/>
        <w:tab/>
        <w:t>daher breite deinen Gewandzipfel (deine Decke, deine Flügel) über deine Magd, denn du bist Goel! - Der zentrale Satz in Rut 3. Entsprechend umstritten ist seine Bedeutung. Die verbreitetste und wahrscheinlichste Deutung ist diese: »Breite deinen Gewandzipfel über deine Magd« verweist auf den Brauch, als Symbol für die Ehe seinen Mantel über die Braut zu breiten (s. FN ae zu Rut 2,12); Rut macht also Boas einen Heiratsantrag. So deutet auch deutlich TgRut: »Mach, dass dein Name über deine Magd genannt werde, indem du mich zur Frau nimmst« (Üs. nach Levine 1973, S. 89). Als Verbtempus verwendet sie Weqatal (»Daher breite«) statt Yiqtol (»Breite«), um diesen Heiratsantrag logisch davon abhängig zu machen, dass sie Rut ist (vgl. Holmstedt 2010, S. 161f); und warum der Heiratsantrag logisch davon abhängen kann, dass sie Rut ist, wird im Nachsatz erläutert: »denn du bist Goel« - d.h. hier: »mein nächster Verwandter, der damit Goel-Rechte hat«. Vom Sinn her also: »Ich bin Rut - und weil das heißt, dass Sie mein Goel sind, bitte ich Sie hiermit um Ihre Hand.« Sehr gut übersetzen daher de Waard/Nida 1992, S. 52: »‚It's Ruth, sir‘, she answered. ‚[...] You are a close relative, [...] so please marry me.‘«. Für den zweiten Satz in der LF wohl besser nach HfA: »Breite dein Gewand über mich als Zeichen dafür, dass du mich heiraten wirst.« (ähnlich T4T)Zur Rechtsinstitution Goel s. die Anmerkungen zu Kap. 4; hier nur so viel: Eigentlich hat diese Institution nichts mit Heirat zu tun, daher ist nicht leicht verständlich, warum Rut erstens ihren Heiratsantrag davon abhängig machen kann, dass sie Rut ist, und zweitens damit begründen kann, dass Boas Goel ist. Eine Lösung dieser Schwierigkeit wird in den Anmerkungen zu Kapitel 4 angeboten werden, für einen alternativen Vorschlag s. Beattie 1978, S. 42f.</w:t>
      </w:r>
    </w:p>
  </w:footnote>
  <w:footnote w:id="313">
    <w:p>
      <w:pPr>
        <w:pStyle w:val="Funote"/>
        <w:rPr/>
      </w:pPr>
      <w:r>
        <w:rPr/>
        <w:footnoteRef/>
        <w:tab/>
        <w:t>Zu gesegnet [seist] du von JHWH vgl. FN aw zu Rut 2,20.</w:t>
      </w:r>
    </w:p>
  </w:footnote>
  <w:footnote w:id="314">
    <w:p>
      <w:pPr>
        <w:pStyle w:val="Funote"/>
        <w:rPr/>
      </w:pPr>
      <w:r>
        <w:rPr/>
        <w:footnoteRef/>
        <w:tab/>
        <w:t>nachlaufen hier wohl wie das deutsche »jmdn nachsteigen« i.S.v. »huren wollen«, s. Jer 2,25 (vgl. V. 24); Hos 2,7.15. TgRut macht das explizit: »Deine letzte gute Tat ist größer als die erste [...], indem du nicht jungen Männern hinterhergehurt hast; seien sie arm oder reich.« (Üs. nach Levine 1973, S. 90).</w:t>
      </w:r>
    </w:p>
  </w:footnote>
  <w:footnote w:id="315">
    <w:p>
      <w:pPr>
        <w:pStyle w:val="Funote"/>
        <w:rPr/>
      </w:pPr>
      <w:r>
        <w:rPr/>
        <w:footnoteRef/>
        <w:tab/>
        <w:t>Schwieriger Vers, weil er nicht explizit zu machen scheint, worin die »spätere« und worin die »vorige Güte« besteht, und man daher anscheinend aus dem Text erschließen muss, worauf sie sich beziehen. Die häufigste Deutung ist diese: Die »spätere Güte« ist Ruts Heiratsantrag, den sie trotz Boas Alter und unabhängig davon, ob er vermögend ist oder nicht, geäußert hat - sondern nur deshalb, weil sie ihn für ihren Goel hält. Und die »vorige Güte« ist dann wahrscheinlich, dass Rut nicht nach Moab zurückgekehrt, sondern mit Noomi nach Jerusalem gekommen ist - immerhin hat Boas sie dafür schon einmal gelobt (Rut 2,11; vgl. z.B. gut de Waard/Nida 1992, S. 53; Zakovitch 1999, S. 142).Wahrscheinlich aber besser so: »Nicht den jungen Männern nachgestiegen zu sein« spezifiziert nicht das »deine spätere Güte hast du besser getan«, sondern das direkt davor stehende »die vorige«: »[Rut hält um die Hand des Boas an] - [Diese] deine spätere gute Tat (=dass du um meine Hand angehalten hast) ist noch besser als die vorige gute Tat, [die darin besteht], dass du nicht den jungen Männern nachgestiegen bist.« Diese Interpretation passt besser zum Text des Verses, entbindet von der Notwendigkeit, über die Referenz der »vorigen Güte« spekulieren zu müssen und passt gut in den Kontext des gesamten Kapitels (s. Anmerkungen, Abschnitt 3).</w:t>
      </w:r>
    </w:p>
  </w:footnote>
  <w:footnote w:id="316">
    <w:p>
      <w:pPr>
        <w:pStyle w:val="Funote"/>
        <w:rPr/>
      </w:pPr>
      <w:r>
        <w:rPr/>
        <w:footnoteRef/>
        <w:tab/>
        <w:t>Zum Tor als Ausdruck für »Volk«, »öffentliche Ansicht« vgl. bes. Speiser 1956, S. 21). So auch die LXX, VL, Syr (»mein Stamm«); VUL (»das ganze Volk...«). Viele Üss. daher gut: »Jeder in der Stadt«.</w:t>
      </w:r>
    </w:p>
  </w:footnote>
  <w:footnote w:id="317">
    <w:p>
      <w:pPr>
        <w:pStyle w:val="Funote"/>
        <w:rPr/>
      </w:pPr>
      <w:r>
        <w:rPr/>
        <w:footnoteRef/>
        <w:tab/>
        <w:t>fähige Frau - das selbe Wort wie in Rut 2,1 (»mächtiger, fähiger Mann«). Der Ausdruck »fähige Frau« findet sich sonst nur noch in Spr 12,4 und in Spr 31,10-31, wo ein Tugendkatalog der idealen Frau aufgelistet wird - ein weiteres Indiz dafür, dass »mächtiger, fähiger Man« in Rut 2,1 nur soviel wie »mächtig starker Typ« und entsprechend hier »fähige Frau« soviel wie »tolle Frau« bedeuten (s. FN b zu 2,1). Rut und Boas sind damit nicht nur jeweils »ideale Menschen«, sondern auch das »ideale Paar« (Zenger 1986, S. 73).&lt;!--Üss: de Waard/Nida, S. 54: fine;</w:t>
      </w:r>
    </w:p>
  </w:footnote>
  <w:footnote w:id="318">
    <w:p>
      <w:pPr>
        <w:pStyle w:val="Funote"/>
        <w:rPr/>
      </w:pPr>
      <w:r>
        <w:rPr/>
        <w:footnoteRef/>
        <w:tab/>
        <w:t>tFN: Nun denn... - Ach, [wäre das] wahr! Ach, wenn ich doch Löser [wäre]! Jedoch - Meist übersetzt à la »In der Tat ist es wahr, dass ich Löser bin, aber zusätzlich...«. Aber erstens galt im Alten Israel nur der nächste Verwandte als Löser - es machte hier also keinen Sinn, wenn Boas sagte, er sei Löser, obwohl es »zusätzlich einen [weiteren] Löser« gibt -, zweitens ist man für diese Übersetzung gezwungen, Worte aus dem Text zu streichen (s.u.)(1)Besser daher: Die beiden ki sind emphatisch (»Ach!«; vgl. z.B. Sasson 1978, S. 57), das omnam ist ein verbloser Wunschsatz (»[wäre das] wahr!«) und das ´im hat hier die Bedeutung »wenn doch...!« (vgl. Ges18, S. 70). Diese Deutung als aufgewühlter Ausruf würde dann auch die Wortfülle erklären (Campbell 1975, S. 125: »Das Hebräische ist schwierig, es gibt einfach zu viele einleitende Wörter.«), die z.B. Landy 1994, S. 308f dazu gebracht hat, den Satz als das »rhetorische Äquivalent eines Räusperns« zu deuten: »Nun ja... Ja... - das stimmt schon... Jaja, ich bin Löser...«. Das einleitende wä`attah (»Nun denn«) muss dann wohl so gedeutet werden, dass Boas nun der Rut gemäß der Vorhersage Noomis in V. 4 mitteilen will, wie weiter vorzugehen ist, als ihm plötzlich das Hindernis einfällt: Er ist gar nicht der Löser, denn es gibt da einen, der Rut und Noomi noch näher verwandt ist (Zakovitch 1999, S. 144: »Im Nachdenken kommen Boas Zweifel, ob er Ruts Bitte überhaupt erfüllen kann, denn nun besinnt er sich auf die rechtliche Problematik [...].)«!(2)Ähnlich argumentieren auch Staples 1937, S. 64f. und Meek 1960, S. 332-334, die stattdessen dass ´im als verneinendes ´im auffassen, was sprachlich möglich, aber nicht sehr naheliegend wäre: »[Es ist] tatsächlich wahr, dass ich nicht Löser bin, sondern...«(3) Streicht man ´im (so z.B. Holmstedt 2010, S. 166; so auch schon die Masoreten), könnte man auch übersetzen: »[Es ist] tatsächlich wahr, dass ich Löser bin, aber zusätzlich...«(4) Und streicht man dann auch noch das ki (so z.B. BHQ), wäre auch möglich: »In der Tat [ist das] wahr, [doch] obwohl ich Löser bin, gibt es zusätzlich...«</w:t>
      </w:r>
    </w:p>
  </w:footnote>
  <w:footnote w:id="319">
    <w:p>
      <w:pPr>
        <w:pStyle w:val="Funote"/>
        <w:rPr/>
      </w:pPr>
      <w:r>
        <w:rPr/>
        <w:footnoteRef/>
        <w:tab/>
        <w:t>Zu den Gründen gegen es gibt einen näheren Löser als mich s. die vorige FN.</w:t>
      </w:r>
    </w:p>
  </w:footnote>
  <w:footnote w:id="320">
    <w:p>
      <w:pPr>
        <w:pStyle w:val="Funote"/>
        <w:rPr/>
      </w:pPr>
      <w:r>
        <w:rPr/>
        <w:footnoteRef/>
        <w:tab/>
        <w:t>wenn er dich am Morgen lösen wird - W.: »Und es wird sein am Morgen: Wenn er dich lösen wird...«: wähajah (»und es wird sein«) hier wie oft nur zur Markierung einer Zeitangabe.</w:t>
      </w:r>
    </w:p>
  </w:footnote>
  <w:footnote w:id="321">
    <w:p>
      <w:pPr>
        <w:pStyle w:val="Funote"/>
        <w:rPr/>
      </w:pPr>
      <w:r>
        <w:rPr/>
        <w:footnoteRef/>
        <w:tab/>
        <w:t>[so wahr] JHWH lebt - Häufige Schwurformel. Entspr. im Dt. eher »das schwöre ich bei Gott«.</w:t>
      </w:r>
    </w:p>
  </w:footnote>
  <w:footnote w:id="322">
    <w:p>
      <w:pPr>
        <w:pStyle w:val="Funote"/>
        <w:rPr/>
      </w:pPr>
      <w:r>
        <w:rPr/>
        <w:footnoteRef/>
        <w:tab/>
        <w:t>Textkritik: [an] seinem Bein - so Ketiv, doch das macht keinen Sinn und ist sicher ein Schreibfehler.</w:t>
      </w:r>
    </w:p>
  </w:footnote>
  <w:footnote w:id="323">
    <w:p>
      <w:pPr>
        <w:pStyle w:val="Funote"/>
        <w:rPr/>
      </w:pPr>
      <w:r>
        <w:rPr/>
        <w:footnoteRef/>
        <w:tab/>
        <w:t>bevor ein Mann seinen Nächsten (bevor man einander, bevor einer den andern) - Begriffe wie ´isch („Mann“) und re`a („Nächster“) werden im Heb. häufig nicht in ihrem wörtl. Sinn verwendet, sondern wie unbestimmte Pronomen. „Ein Mann tut seinem Nächsten X“ ist daher eine typische heb. Konstruktion, um unbestimmte reziproke Handlungen auszudrücken: „Man tut einander X“ (vgl. bes. Bar-Asher 2014, S. 352f). Richtig daher z.B. GN: „bevor ein Mensch den andern erkennen konnte“; H-R: „...man einander...“; NeÜ: „...einer den andern...“ (so viele Üss).</w:t>
      </w:r>
    </w:p>
  </w:footnote>
  <w:footnote w:id="324">
    <w:p>
      <w:pPr>
        <w:pStyle w:val="Funote"/>
        <w:rPr/>
      </w:pPr>
      <w:r>
        <w:rPr/>
        <w:footnoteRef/>
        <w:tab/>
        <w:t>Er sagte [sich] (V. 14) + [Daher] (V. 15) - Nicht: „[denn] er sagte sich“: Das Verb steht im Wayyiqtol und kann daher keinen unmarkierten Kausalsatz regieren. Boas´ besorgte Gedanken werden hier also offenbar nicht als Grund für das frühe Erwachen genannt, sondern als Motivation der folgenden Getreidespende. Gut Köhlmoos 2010, S. 67: „Im Kontext der vorigen Sätze muss diese Gabe dazu dienen, Ruth weiterhin unerkannt zu lassen. Mit einem Sack von 40 kg auf dem Rücken könnte ein zufällig Vorüberkommender Ruth für eine Arbeiterin (oder einen Arbeiter) halten, die abtransportiert, was Boas geworfelt hat.“ Daher auch besser Einfügung eines „daher“ zu Beginn v. V. 15.</w:t>
      </w:r>
    </w:p>
  </w:footnote>
  <w:footnote w:id="325">
    <w:p>
      <w:pPr>
        <w:pStyle w:val="Funote"/>
        <w:rPr/>
      </w:pPr>
      <w:r>
        <w:rPr/>
        <w:footnoteRef/>
        <w:tab/>
        <w:t>halte ihn [gut fest] + sie hielt ihn [fest] + er lud ihn ihr auf soll wohl v.a. ausdrücklich machen, wie schwer der Mantel nach seiner Befüllung mit Gerste ist. Sehr gut daher Campbell 1975, S. 116: »Get a good hold on it!« + »She held it firmly.«</w:t>
      </w:r>
    </w:p>
  </w:footnote>
  <w:footnote w:id="326">
    <w:p>
      <w:pPr>
        <w:pStyle w:val="Funote"/>
        <w:rPr/>
      </w:pPr>
      <w:r>
        <w:rPr/>
        <w:footnoteRef/>
        <w:tab/>
        <w:t>sechs der Gerste - hier fehlt eine Maßangabe, was bes. auffällig ist, da extra das Verb „abmessen“ verwendet wird. Durch Ausschlussverfahren (geht man beim Efa - wie in Rut 2,17, s. FN ar - vom Gewicht von 6-12 kg aus, ergäben sechs Efa 36-70 kg, was Rut zwar tragen, aber sicher nicht in einem Kleidungsstück transportieren können hätte. Auch das Omer scheidet aus, da „Omer“ maskulin, hier „sechs“ aber feminin ist) ist das Sea wahrscheinlich: Ein Sea entspricht dem Drittel eines Efas, also 2-4 kg - mal sechs ergäbe 12-24 kg (so auch wieder Schmidt 2014, S. 15, so schon TgRut). Übersetze daher am Besten entspr. Rut 2,17: „über 10 kg“.</w:t>
      </w:r>
    </w:p>
  </w:footnote>
  <w:footnote w:id="327">
    <w:p>
      <w:pPr>
        <w:pStyle w:val="Funote"/>
        <w:rPr/>
      </w:pPr>
      <w:r>
        <w:rPr/>
        <w:footnoteRef/>
        <w:tab/>
        <w:t>Textkritik: er kam zur Stadt (sie kam zur Stadt) - in der Überlieferung finden sich beide Versionen. Die besseren hebräischen Mss, die meisten LXX-Mss, TgRut und RutR haben Boas als Subjekt, einige hebräische und griechische Mss, Syr, VUL dagegen Rut. Die ursprüngliche Variante ist daher nicht mehr sicher zu erschließen; da zweimaliges, direkt aufeinander folgendes „sie kam“ mit dem selben Subjekt aber unnatürlich wäre, sollte man sich doch für die Boas-Variante entscheiden (vgl. z.B. Barthélemy 1982, S. 133; BHQ).</w:t>
      </w:r>
    </w:p>
  </w:footnote>
  <w:footnote w:id="328">
    <w:p>
      <w:pPr>
        <w:pStyle w:val="Funote"/>
        <w:rPr/>
      </w:pPr>
      <w:r>
        <w:rPr/>
        <w:footnoteRef/>
        <w:tab/>
        <w:t xml:space="preserve">Wie ist es gelaufen, meine Tochter? (Als was/Wie/Was [bist] du, meine Tochter?, Wer bist du - meine Tochter?) - Merkwürdige Frage: W. übersetzt scheint es heißen zu müssen: „Wer bist du, meine Tochter?“ - was keinen Sinn macht, da das „meine Tochter“ dann ja zeigt, dass Noomi durchaus weiß, mit wem sie da redet. In der Regel wird die Schwierigkeit damit behoben, indem man (1) entweder das „Wer“ als Akkusativ des Zustands deutet („Als wer bist du, meine Tochter?“, so z.B. Rudolph 1962, S. 57), (2) dem Wort nach dem Ugaritischen die Bedeutung „Wie“ („Wie [bist] du, meine Tochter?“, so z.B. Gray 1967, S. 120) oder (3) die Bedeutung „Was“ zuspricht („Was bist du, meine Tochter?“, so z.B. Zakovitch 1999, S. 148). (1)-(3) soll dann jeweils bedeuten: „Wie stehen die Dinge?“Anm. d. Üs. (S.W.): Ich bin sehr skeptisch. Vgl. zunächst Gen 27,18: „Wer bist du, mein Sohn?“ - Die Frage ist klar eine nach der Identität des Befragten, da Jakob anwortet: „Ich bin Esau, dein Erstgeborener“. So ist die Frage auch an allen anderen Stellen zu verstehen (s. Jos 9,8; 1 Sam 26,14; 2 Sam 1,8; 2 Kön 10,13; Jes 51,12; Sach 4,7; Rut 3,9 (!)). Schon rein statistisch scheint es mir also unwahrscheinlich, dass sie hier eine andere als diese Bedeutung haben sollte. Dazu kommt, dass die i.d.R. angeführten Belegstellen alles andere als eindeutig sind: Zu Ri 13,17 („Wer ist dein Name“) s. Esra 5,4 und vgl. Joüon 1920, S. 365; IBHS §18.2d u.ö.: Der „Name“ steht hier - wie oft - für die Person selbst und wird daher mit „Wer“ konstruiert: „Wer ist dein Name?“ = „Wer bist du?“. Mi 1,5 fragt klar nach einem „Wem“, wie aus den antwortenden rhetorischen Fragen ersichtlich ist: „Wer ist der Frevel Jakobs? - Ist das nicht Samarien? Und wer sind die Höhen Judas? - Ist das nicht Jerusalem?“ Am 7,2.5 schließlich ist die Textüberlieferung unsicher: „Wer [d.h. - angeblich: Wie] kann Jakob bestehen - ist es doch so klein!?“ Aber dort wie hier hat keine einzige Version diese angebliche Bedeutung von mi („wer“) erkannt: LXX, Syr, VUL und auch einige heb. Mss setzen statt </w:t>
      </w:r>
      <w:r>
        <w:rPr>
          <w:rtl w:val="true"/>
          <w:lang w:bidi="he-IL"/>
        </w:rPr>
        <w:t>מי יקום</w:t>
      </w:r>
      <w:r>
        <w:rPr/>
        <w:t xml:space="preserve"> </w:t>
      </w:r>
      <w:r>
        <w:rPr/>
        <w:t xml:space="preserve">(mi jaqum, „wer kann bestehen“) den Text </w:t>
      </w:r>
      <w:r>
        <w:rPr>
          <w:rtl w:val="true"/>
          <w:lang w:bidi="he-IL"/>
        </w:rPr>
        <w:t>מי יקים</w:t>
      </w:r>
      <w:r>
        <w:rPr/>
        <w:t xml:space="preserve"> </w:t>
      </w:r>
      <w:r>
        <w:rPr/>
        <w:t>(mi jaqim, „wer könnte aufrichten“) voraus: „Wer könnte Jakob [wieder] aufrichten - ist es doch so klein!?“ (und impliziert ist natürlich: „Wer könnte Jakob aufrichten, wenn nicht du, Gott“ - worauf Gott sich jeweils Jakobs erbarmt, s. Vv. 3.6). Ähnlich ist hier die textkritische Lage: Syr übersetzt wie üblich: „Wer bist du?“ und ergänzt sogar eine Antwort: „Ich bin Rut“. Einige LXX-Mss streichen einfach die Frage. Andere LXX-Mss haben ebenfalls „Wer bist du“; wieder andere und dann VL haben „Was bist du“, was aber wohl weniger mit einer sonst unbelegten Bedeutung des heb. mi erklärt werden sollte, sondern mit einer alternativen Texttradition, die sich auch im Qumrantext 2Q 16,2 findet: mah attah („Was [bist] du?“) und wohin z.B. Ehrlich 1914, S. 27 schon MT emendieren wollte. (Zu mah attah hier, in Ri 18,8 und im ugaritschen KRT A, i.38 vgl. Ginsberg 1946, S. 35: „Was ist mit dir?, Wie steht es mit dir?“). Wohl hiervon ausgehend VUL: „Was tust du?“. Bei dieser textkritischen Lage aus Am 7,2.5 und unserer Stelle eine sonst ungebräuchliche Verwendung von mi abzuleiten, ist meines Erachtens nicht zulässig; akzeptabler als die obigen drei Erklärungen scheinen mir daher die folgenden Auflösungen zu sein: Gen 27,18: „Wer bist du? Mein Sohn?“ - worauf Jakob antwortet: „Ich bin Esau, dein Erstgeborener“, d.h.: „Ja, ich bin dein erstgeborener Sohn Esau“ (vgl. FN i zu Rut 2,2). Und hier: „Wer bist du? Meine Tochter?“ (so auch CJB), d.h. „Bist du noch meine Tochter [oder hatte mein Plan Erfolg und du bist nunmehr nicht mehr Machlons Frau, sondern die des Boas, und damit nicht mehr Teil meiner Familie]?“ Ähnlich schon RutR: „Kannte denn Noomi die Ruth nicht schon? Gewiss, allein sie wollte durch ihre Frage andeuten: Bist du noch ledig oder das Weib eines Mannes?“ (Üs. nach Wünsche 1883, S. 52).</w:t>
      </w:r>
    </w:p>
  </w:footnote>
  <w:footnote w:id="329">
    <w:p>
      <w:pPr>
        <w:pStyle w:val="Funote"/>
        <w:rPr/>
      </w:pPr>
      <w:r>
        <w:rPr/>
        <w:footnoteRef/>
        <w:tab/>
        <w:t>Dass eine derartige Aussage des Boas im Vorfeld nicht berichtet wurde, ist unproblematisch - es entspricht dem hebräischem Erzählstil, wiederzugebende Äußerungen erst bei der Wiedergabe explizit zu machen. S. nur das Jonabuch, wo erst im dritten Kapitel offenbar wird, welche Prophezeiung Gott dem Jona eigentlich aufgetragen hat.</w:t>
      </w:r>
    </w:p>
  </w:footnote>
  <w:footnote w:id="330">
    <w:p>
      <w:pPr>
        <w:pStyle w:val="Funote"/>
        <w:rPr/>
      </w:pPr>
      <w:r>
        <w:rPr/>
        <w:footnoteRef/>
        <w:tab/>
        <w:t>[Wie etwa im hethitischen Recht, wo die die Abfolge der Schwagerehen-berechtigten ist: Bruder =&gt; Vater =&gt; Onkel (s. Hethitisches Gesetz §193).]</w:t>
      </w:r>
    </w:p>
  </w:footnote>
  <w:footnote w:id="331">
    <w:p>
      <w:pPr>
        <w:pStyle w:val="Funote"/>
        <w:rPr/>
      </w:pPr>
      <w:r>
        <w:rPr/>
        <w:footnoteRef/>
        <w:tab/>
        <w:t>[Status: Zuverlässig]</w:t>
      </w:r>
    </w:p>
  </w:footnote>
  <w:footnote w:id="332">
    <w:p>
      <w:pPr>
        <w:pStyle w:val="Funote"/>
        <w:rPr/>
      </w:pPr>
      <w:r>
        <w:rPr/>
        <w:footnoteRef/>
        <w:tab/>
        <w:t>ins Tor - Mit dem „Tor“ ist in biblischen Texten nicht nur die Tür gemeint, die das Innere einer Stadt vom Äußeren einer Stadt abgrenzt, sondern ein größerer Platz, der im Alten Israel die selbe Funktion hatte wie z.B. die griechische Agora: Ein Versammlungsplatz, auf dem Handel getrieben wurde, auf dem die städtische Selbstverwaltung „tagte“ und wo - bes. wichtig für unsere Stelle - v.a. auch Recht gesprochen wurde. Das kleine Dorf Betlehem hatte wahrscheinlich überhaupt keine Tore; dass „Boas zum Tor geht“, ist wohl eine Anspielung auf Dtn 25,7.</w:t>
      </w:r>
    </w:p>
  </w:footnote>
  <w:footnote w:id="333">
    <w:p>
      <w:pPr>
        <w:pStyle w:val="Funote"/>
        <w:rPr/>
      </w:pPr>
      <w:r>
        <w:rPr/>
        <w:footnoteRef/>
        <w:tab/>
        <w:t>siehe da! - Wie in Rut 2,4 (s. FN m) drückt auch hier das „siehe da!“ aus, dass überraschenderweise genau das richtige passiert. Gut daher OEB: „Just then the [Löser] came along“; „Und zufällig kam just in diesem Moment auch der Löser vorbei...“</w:t>
      </w:r>
    </w:p>
  </w:footnote>
  <w:footnote w:id="334">
    <w:p>
      <w:pPr>
        <w:pStyle w:val="Funote"/>
        <w:rPr/>
      </w:pPr>
      <w:r>
        <w:rPr/>
        <w:footnoteRef/>
        <w:tab/>
        <w:t>Löser - Zum „Löser“ s. die Anmerkungen.</w:t>
      </w:r>
    </w:p>
  </w:footnote>
  <w:footnote w:id="335">
    <w:p>
      <w:pPr>
        <w:pStyle w:val="Funote"/>
        <w:rPr/>
      </w:pPr>
      <w:r>
        <w:rPr/>
        <w:footnoteRef/>
        <w:tab/>
        <w:t>Bieg ab - nämlich auf die Seite zu den auf dem Torplatz stehenden Bänken. Die meisten Üss. übersetzen sinnvoll: »Komm her!«; am besten EÜ, HfA, NL: »Komm herüber!«</w:t>
      </w:r>
    </w:p>
  </w:footnote>
  <w:footnote w:id="336">
    <w:p>
      <w:pPr>
        <w:pStyle w:val="Funote"/>
        <w:rPr/>
      </w:pPr>
      <w:r>
        <w:rPr/>
        <w:footnoteRef/>
        <w:tab/>
        <w:t>irgendwo hin (hier hin, Soundso) - Umstrittener Ausdruck. In der LF sollte er am Besten mit HfA, NL u.a. Üss. ausgespart werden, da er sich nicht wirklich erklären lässt.W. etwa „bestimmt stumm“. Der Ausdruck findet sich sonst nur noch zweimal in der Bibel und steht dort für einen nicht näher spezifizierten Ort (s. 1 Sam 21,3; 2 Kön 6,8). Vergleichbar ist eine Passage im ägyptischen Archivdokument 17.2, wo in einem Streitgespräch zweier Schreiber der erste den zweiten mit „du leerer, sinnloser Name!“ beschimpft und der zweite Schreiber den ersten mit „Du Wer-ist-es“ beleidigt. Schon LXX, und VL verstanden entsprechend auch hier das peloni almoni („irgendwo / Soundso“) als Bezeichnung des Lösers und übersetzen ho deina („der So-und-So“, so einige LXX-Mss), kruphie („du Verborgener“, so andere LXX-Mss) oder quicumque es („wer auch immer du bist“, VL). Dem folgend wird dann auch hier in allen modernen Kommentaren und Übersetzungen das peloni almoni so verstanden, dass damit der Löser bezeichnet, sein Name aber aus irgendeinem Grund verschwiegen werden solle: „Der und der“, „So-und-so“; „Herr Dingsbums“ (Hajek 1962, S. 77), „mein Lieber“ (diese häufige Übersetzung soll eine freie Übersetzung dieses „So-und-so“ sein, die schwerlich zu rechtfertigen ist). Der Grund dafür ist dann ganz rätselhaft; warum er den Löser gleich zur Eröffnung des Gesprächs beleidigen sollte, ist nicht einzusehen. Man hat also nach anderen Erklärungen zu suchen.Knight/Levine 2011, S. 115 und Sasson 2012, S. 255f. haben daher kürzlich geleitet von 1 Sam 21,3; 2 Kön 6,8 vorgeschlagen, dass man auch hier den Ausdruck besser als Ortsbezeichnung verstehen und daher besser mit „hier irgendwo“ übersetzen solle; in Ermangelung eines anderen Vorschlags haben wir dies als Primärübersetzung angegeben.</w:t>
      </w:r>
    </w:p>
  </w:footnote>
  <w:footnote w:id="337">
    <w:p>
      <w:pPr>
        <w:pStyle w:val="Funote"/>
        <w:rPr/>
      </w:pPr>
      <w:r>
        <w:rPr/>
        <w:footnoteRef/>
        <w:tab/>
        <w:t>zehn Männer von den Ältesten der Stadt - gemeint sind nicht die ältesten Bürger der Stadt, sondern Familienoberhäupter, die im Alten Israel in derartigen Fällen als eine Art Schöffen fungierten. „Die Zehnzahl ist symbolisch zu verstehen, zumindest gibt es keine Bestimmungen in den Gesetzen des AT, die vorschreiben würden, daß ein Gericht mit genau 10 Ältesten besetzt sein muß. Die Zehnzahl unterstreicht vielmehr die Vollständigkeit des Gerichts am Tor. Boas Vorgehen ist ‚lupenrein‘ und ohne ‚Verfahrensfehler‘ [...].“ (Frevel 1992, S. 129).</w:t>
      </w:r>
    </w:p>
  </w:footnote>
  <w:footnote w:id="338">
    <w:p>
      <w:pPr>
        <w:pStyle w:val="Funote"/>
        <w:rPr/>
      </w:pPr>
      <w:r>
        <w:rPr/>
        <w:footnoteRef/>
        <w:tab/>
        <w:t>Feldstück - s. zum Begriff FN e zu Rut 2,2.</w:t>
      </w:r>
    </w:p>
  </w:footnote>
  <w:footnote w:id="339">
    <w:p>
      <w:pPr>
        <w:pStyle w:val="Funote"/>
        <w:rPr/>
      </w:pPr>
      <w:r>
        <w:rPr/>
        <w:footnoteRef/>
        <w:tab/>
        <w:t>Bruder - Hier im Sinne von »Verwandter«; dass gerade »Bruder« verwendet wird, ist wahrscheinlich eine Anspielung auf Dtn 25,5 (vgl. z.B. Fischer 2001, S. 158; Zakovitch 1999 S. 154).</w:t>
      </w:r>
    </w:p>
  </w:footnote>
  <w:footnote w:id="340">
    <w:p>
      <w:pPr>
        <w:pStyle w:val="Funote"/>
        <w:rPr/>
      </w:pPr>
      <w:r>
        <w:rPr/>
        <w:footnoteRef/>
        <w:tab/>
        <w:t>verkauft - »Verkaufen« trifft die Rechtslage nicht gut, denn Land war im Alten Israel eigentlich nur für eine begrenzte Zeit »verkäuflich« und würde dann wieder an die Familie zurückfallen, die es verkauft hat (vgl. z.B. Lipiński 1976, S. 126; ThWAT IV, S. 871). Strenggenommen müsste man hier mit »verpfänden« o.Ä. übersetzen, doch würde das die LF wohl nur unnötig verkomplizieren; auch fast alle neueren Üss. übersetzen daher mit »verkaufen«.</w:t>
      </w:r>
    </w:p>
  </w:footnote>
  <w:footnote w:id="341">
    <w:p>
      <w:pPr>
        <w:pStyle w:val="Funote"/>
        <w:rPr/>
      </w:pPr>
      <w:r>
        <w:rPr/>
        <w:footnoteRef/>
        <w:tab/>
        <w:t>{dem Gebiet von} (dem Feld von) - Zum Ausdruck s. FN e zu Rut 1,1.</w:t>
      </w:r>
    </w:p>
  </w:footnote>
  <w:footnote w:id="342">
    <w:p>
      <w:pPr>
        <w:pStyle w:val="Funote"/>
        <w:rPr/>
      </w:pPr>
      <w:r>
        <w:rPr/>
        <w:footnoteRef/>
        <w:tab/>
        <w:t>gesagt ([mir] gedacht) - Meist übersetzt als »Ich habe mir gedacht«; naheliegender aber: Frauen wurden im Alten Israel vor Gericht in der Regel durch Männer vertreten; Boas - der ja ganz offensichtlich im Namen von Noomi handelt - gibt also wohl hier kund, dass er ihr diese Rechtsvertretung zugesichert habe: »Ich habe ihr versprochen, dir folgendes zu Gehör zu bringen: ...«</w:t>
      </w:r>
    </w:p>
  </w:footnote>
  <w:footnote w:id="343">
    <w:p>
      <w:pPr>
        <w:pStyle w:val="Funote"/>
        <w:rPr/>
      </w:pPr>
      <w:r>
        <w:rPr/>
        <w:footnoteRef/>
        <w:tab/>
        <w:t>zu Gehör bringen - Heb. Idiom, s. z.B. 1 Sam 20,2.12f. Außer in Ijob 36,10.15 steht es stets für Privatmitteilungen: Was Boas hier verkünden will, ist speziell für die Ohren des Löser bestimmt, da eben dieser und kein anderer der Löser ist (s. Anmerkungen).</w:t>
      </w:r>
    </w:p>
  </w:footnote>
  <w:footnote w:id="344">
    <w:p>
      <w:pPr>
        <w:pStyle w:val="Funote"/>
        <w:rPr/>
      </w:pPr>
      <w:r>
        <w:rPr/>
        <w:footnoteRef/>
        <w:tab/>
        <w:t>der Sitzenden und der Ältesten meines Volkes - Wahrscheinlich entspr. der Interpretation von SLT zu verstehen: »In Gegenwart der hier sitzenden Bürger (die sich inzwischen neugierig am Verhandlungsort niedergelassen haben) und der Ältesten meines Volkes«.Genauer: Nach V. 2 müsste sich schon »die Sitzenden« auf die Ältesten beziehen; hier scheinen aber mit den »Sitzenden« und den »Ältesten« zwei us. Gruppen gemeint zu sein. Zakovitch 1999, S. 156 denkt daher, das »und« sei hier als ein sog. Waw explicativum zu verstehen und man müsste übersetzen: »in Gegenart der [hier] Sitzenden, nämlich in Gegenwart der Ältesten meines Volkes«, und Campbell 1975, S. 145 denkt, die »Sitzenden« meine die zehn Ältesten, die Boas sich in V. 2 »genommen« hat, die »Ältesten« dagegen sämtliche Älteste Bethlehems, die hier durch die zehn ausgewählten Ältesten repräsentiert seien. Diese sämtlichen Ältesten sind hier aber eben nicht anwesend und daher nicht gut mit dem »in Gegenart von« vereinbar und die Deutung als Waw explicativum ist wegen der Wiederholung des neged (»in Gegenwart von«) nicht gut möglich, daher meint »die Sitzenden« wohl das übrige Volk, das sich mittlerweile im Tor niedergelassen hat und das später noch in Aktion treten wird.</w:t>
      </w:r>
    </w:p>
  </w:footnote>
  <w:footnote w:id="345">
    <w:p>
      <w:pPr>
        <w:pStyle w:val="Funote"/>
        <w:rPr/>
      </w:pPr>
      <w:r>
        <w:rPr/>
        <w:footnoteRef/>
        <w:tab/>
        <w:t>wenn du lösen willst, dann löse - Der Nachsatz hat offenbar die Funktion, den »Kauf« des Lösers speziell als »Lösung« zu bestimmen, nämlich als pflichtgemäße Inanspruchnahme des Vorverkaufsrechts (s. die Anmerkungen). Einfacher also z.B. nach NL: »Wenn du das Land auslösen willst, dann kaufe es jetzt in der Gegenwart ... . Wenn du es jedoch nicht auslösen willst ...«</w:t>
      </w:r>
    </w:p>
  </w:footnote>
  <w:footnote w:id="346">
    <w:p>
      <w:pPr>
        <w:pStyle w:val="Funote"/>
        <w:rPr/>
      </w:pPr>
      <w:r>
        <w:rPr/>
        <w:footnoteRef/>
        <w:tab/>
        <w:t>Textkritik: Wenn aber niemand lösen will (wenn du aber nicht lösen willst) - Die besten Handschriften haben hier das Verb in der 3. Pers. Sg.: »Wenn er nicht lösen will«. Viele heb. Handschriften, LXX, VUL und Tg korrigieren daher zu 2. Pers. Sg. und dem folgen alle modernen Üss. und Kommentare: »Wenn du nicht lösen willst«. Wie aber die 3.-Pers.-Version als Schreibfehler entstanden sein sollte, ist nicht erklärlich und daher wahrscheinlich doch die ursprüngliche Version; BHQ belässt daher auch diese Version, die dann mit Niccacci 1995, S. 97 und schon Ibn Ezra als impersonale Konstruktion erklärt werden muss: »Wenn er nicht lösen will« = »Wenn niemand lösen will«.Diese Deutung ist sogar effektvoller: Die Lösung wird fast völlig in die Verantwortung des Lösers gestellt, »es gibt niemand außer ihm, der lösen könnte« (4b); die Alternative dazu, dass der Löser löst, ist also, dass »niemand löst« (4a). Die Formulierung schlägt offenbar in die selbe Kerbe, in die auch der Ausdruck »zu Gehör bringen« schlägt (s.o.): Es ist speziell der Löser, der hier in Verantwortung steht. Und erst ganz am Ende seiner langen Rede zeigt Boas eine weitere Alternative auf, die im heb. Text nur aus zwei Worten besteht: »Und-ich nach-dir«. Boas will den Löser anscheinend durch diese Formulierung geradezu zur Zusage »verführen«.</w:t>
      </w:r>
    </w:p>
  </w:footnote>
  <w:footnote w:id="347">
    <w:p>
      <w:pPr>
        <w:pStyle w:val="Funote"/>
        <w:rPr/>
      </w:pPr>
      <w:r>
        <w:rPr/>
        <w:footnoteRef/>
        <w:tab/>
        <w:t>kaufst - Dass nach der Primärübersetzung Rut anscheinend das Objekt eines »Kaufs« ist, ist unproblematisch; es ist dies ein bloß stilistisches Phänomen: Weil auch zuvor von »kaufen« die Rede ist, wird hier das »normalerweise« verwendete Verb (z.B.: »heiraten«) an das vorige Verb angeglichen (vgl. bes. Weiss 1964, S. 247f.; z.B. auch Campbell 1975, S. 147; Levine 1983, S. 101f.). Im Deutschen ist eine wörtliche Übersetzung nicht möglich. Am besten wohl wieder HfA: »Wenn du von Noomi das Grundstück erwirbst, musst du auch die Moabiterin Ruth heiraten.«</w:t>
      </w:r>
    </w:p>
  </w:footnote>
  <w:footnote w:id="348">
    <w:p>
      <w:pPr>
        <w:pStyle w:val="Funote"/>
        <w:rPr/>
      </w:pPr>
      <w:r>
        <w:rPr/>
        <w:footnoteRef/>
        <w:tab/>
        <w:t>kaufst du auch die (kaufe ich die, kaufst du es auch von der, kaufe ich es von der) Moabiterin Rut - Die schwierigste und umstrittenste Stelle im Rutbuch. Wahrscheinlich ist sie so zu verstehen: Aus irgendeinem Grund ist die »Lösung« von Elimelechs Feld rechtlich gekoppelt an die »Schwagerehe« des Lösenden mit Rut (zu beidem s. die Anmerkungen). Und unter diesen Umständen - s. den nächsten Vers - ist der Löser nicht mehr zur Lösung bereit.Genauer: Der heb. Text liegt in zwei Versionen vor: (1) »kaufe ich es von der Moabiterin Rut«, (2) »kaufst du es auch von der Moabiterin Rut«. Da beide Versionen mit »von« nicht viel Sinn zu machen scheinen, wird meist der Text ume´et (»(und) von«) geändert (=&gt; Textkritik) zu we´et oder gam et (»(auch) die«). U.U. ist für diese Deutung auch gar keine Textänderung nötig, vgl. z.B. Bush 1996, S. 217; Campbell 1975, S. 146; Korpel 2011, S. 2. Weitere mögliche Übersetzungen sind dann daher (3) »kaufe ich/habe ich die Moabiterin Rut gekauft« und (4) »kaufst du auch die Moabiterin Rut«. Das ergibt vier mögliche Übersetzungen; einen fünften Vorschlag hat Holmstedt 2010 gemacht: # »An dem Tag, an dem du das Feld von Noomi kaufst, kaufe ich es von der Moabiterin Rut, der Frau des Toten« # »An dem Tag, an dem du das Feld von Noomi kaufst, kaufst du es auch von der Moabiterin Rut, der Frau des Toten« # »An dem Tag, an dem du das Feld von Noomi kaufst, kaufe ich/habe ich gekauft die Moabiterin Rut, die Frau des Toten« # »An dem Tag, an dem du das Feld von Noomi kaufst, kaufst du auch die Moabiterin Rut, die Frau des Toten« # »An dem Tag, an dem du das Feld von Noomi und von der Moabiterin Rut kaufst, kaufe ich die Frau des Toten« (1) und (2) ergeben nicht viel Sinn, weshalb ja auch in der Regel der Text geändert wird. Holmstedt 2010 muss für Deutung (5) die Akzente des heb. Textes sowie die Tatsache, dass zwei unterschiedliche Präpositionen vor »Noomi« und »Rut« verwendet werden, ignorieren. Bleiben daher als ernstzunehmende Alternativen (3) und (4).Die rechtlichen Zusammenhänge erschließen sich uns nicht mehr vollständig (s. Anmerkungen), daher muss eine Argumentation zunächst einmal unabhängig von diesen Hintergründen laufen. Für (4) sprechen dann zwei Dinge: Erstens ist nur nach dieser Deutung die in Rut 3,13 erwähnte Option, der Löser könne Rut »lösen«, eine reale Option, die auch in Rut 4 eine Rolle spielt (so richtig Zenger 1986, S. 83). Und zweitens und wichtiger: In Rut 4 wird mehrfach deutlich die Textstelle Dtn 25,5-10 zitiert (s. FNn a.h.p), in der von der Verweigerung der Schwagerehe die Rede ist (dazu s. die Anmerkungen). Wenn hier aber der Löser gar nicht die Option hätte, die Schwagerehe mit Rut einzugehen, weil Boas Rut für sich beansprucht oder die Schwagerehe gar schon vollzogen hat, macht diese Zitation keinen Sinn. Der Text ist also sehr wahrscheinlich wie oben gesagt zu verstehen und es ist dies ohnehin die häufigste Übersetzung des Verses.</w:t>
      </w:r>
    </w:p>
  </w:footnote>
  <w:footnote w:id="349">
    <w:p>
      <w:pPr>
        <w:pStyle w:val="Funote"/>
        <w:rPr/>
      </w:pPr>
      <w:r>
        <w:rPr/>
        <w:footnoteRef/>
        <w:tab/>
        <w:t>um den Namen des Toten auf seinem Erbbesitz aufzurichten - Ein Zitat von Dtn 25,7; zu den Hintergründen s. die Anmerkungen. Eine sinngemäße Übersetzung wäre etwas wie „damit der Erbbesitz des Verstorbenen in seiner Familie bleibt“ (ähnlich HfA).</w:t>
      </w:r>
    </w:p>
  </w:footnote>
  <w:footnote w:id="350">
    <w:p>
      <w:pPr>
        <w:pStyle w:val="Funote"/>
        <w:rPr/>
      </w:pPr>
      <w:r>
        <w:rPr/>
        <w:footnoteRef/>
        <w:tab/>
        <w:t>tFN: {für mich} + {für dich} - Sog. Dativi ethici; in einer dt. Üs. zu ignorieren.</w:t>
      </w:r>
    </w:p>
  </w:footnote>
  <w:footnote w:id="351">
    <w:p>
      <w:pPr>
        <w:pStyle w:val="Funote"/>
        <w:rPr/>
      </w:pPr>
      <w:r>
        <w:rPr/>
        <w:footnoteRef/>
        <w:tab/>
        <w:t>Lösung und Tauschgeschäft - Oder zu verstehen als Hendiadyoin: „bezüglich des Tauschs von Löserechten“ (so Berlin 2010, S. 11; Brichto 1973, S. 18; Bush 1996, S. 234).</w:t>
      </w:r>
    </w:p>
  </w:footnote>
  <w:footnote w:id="352">
    <w:p>
      <w:pPr>
        <w:pStyle w:val="Funote"/>
        <w:rPr/>
      </w:pPr>
      <w:r>
        <w:rPr/>
        <w:footnoteRef/>
        <w:tab/>
        <w:t>irgendetwas - W. „jede Sache“.</w:t>
      </w:r>
    </w:p>
  </w:footnote>
  <w:footnote w:id="353">
    <w:p>
      <w:pPr>
        <w:pStyle w:val="Funote"/>
        <w:rPr/>
      </w:pPr>
      <w:r>
        <w:rPr/>
        <w:footnoteRef/>
        <w:tab/>
        <w:t>Eine Abwandlung des in Dtn 25,9 geschilderten Schuhritus. Dieser ist im Judentum noch heute in der Variante von Dtn gebräuchlich und also offensichtlich nicht in Vergessenheit geraten. Außerdem findet er sich gerade an der Dtn-Stelle, die in den ersten Versen dieses Kapitels sehr oft und deutlich zitiert werden; er ist also dem idealen Leser des Rutbuches definitiv bekannt. Dass er hier dennoch erklärt werden muss, heißt dann wohl, dass er hier irregulär angewandt wird, dass diese irreguläre Anwendung als reguläre Anwendung ausgegeben wird und deshalb erklärt wird (so z.B. Berlin 2010, S. 11; Fischer 2001, S. 241) - ein weiteres Indiz dafür, dass offenbar irgend etwas hier nicht mit rechten Dingen zugeht (s. Anmerkungen). In die selbe Richtung weist die alternativer Auslegung von Speiser 1940, der Schuhritus diene regulär speziell dazu, eigentlich illegale Abmachungen legal zu machen.</w:t>
      </w:r>
    </w:p>
  </w:footnote>
  <w:footnote w:id="354">
    <w:p>
      <w:pPr>
        <w:pStyle w:val="Funote"/>
        <w:rPr/>
      </w:pPr>
      <w:r>
        <w:rPr/>
        <w:footnoteRef/>
        <w:tab/>
        <w:t>und zog (und dieser zog) - Wer Subjekt des Schuh-Ausziehens ist, ist nicht ganz klar. Dafür, dass es der Löser ist, spricht aber, dass der Hintergrund des Schuhritus wohl der war, dass der Schuh ein Symbol für Besitz war und das Ausziehen des Schuhs damit ein Symbol für Besitzverzicht (vgl. z.B. gut Thompson/Thompson 1968, S. 92f.).</w:t>
      </w:r>
    </w:p>
  </w:footnote>
  <w:footnote w:id="355">
    <w:p>
      <w:pPr>
        <w:pStyle w:val="Funote"/>
        <w:rPr/>
      </w:pPr>
      <w:r>
        <w:rPr/>
        <w:footnoteRef/>
        <w:tab/>
        <w:t>gekauft - Zu »kaufen« s. FN o.</w:t>
      </w:r>
    </w:p>
  </w:footnote>
  <w:footnote w:id="356">
    <w:p>
      <w:pPr>
        <w:pStyle w:val="Funote"/>
        <w:rPr/>
      </w:pPr>
      <w:r>
        <w:rPr/>
        <w:footnoteRef/>
        <w:tab/>
        <w:t>um [wieder] aufzurichten den Namen des Toten auf seinem Erbbesitz, so dass nicht ausgerottet werde der Name des Toten - s. hierzu wieder FN r und die Anmerkungen: Weil JHWH es war, der den Israeliten ihr Land gegeben hat, sollte der Status quo der Grundbesitzverhältnisse nach Möglichkeit auf ewig weiterbestehen, das heißt: Familien durften nicht aussterben und ihr Erbbesitz sollte immer in ihrem Besitz bleiben. Dies zu gewährleisten war Aufgabe von Löserinstitution und Schwagerehe, und von beidem ist hier die Rede: Boas kauft (1) das Land von Noomi, damit dieses Land in der Familie bleibt - er fungiert als »Löser« - und »kauft« (2) Rut, um mit ihr durch eine »Schwagerehe« einen Nachkommen Machlons zu zeugen, damit »der Name des Verstorbenen auf seinem Erbbesitz wieder aufgerichtet werde und der Name des Toten nicht ausgerottet wird«, d.h., damit überhaupt Nachkommen Elimelechs und Machlons existieren, die als Erben ihres Familienbesitzes fungieren können.</w:t>
      </w:r>
    </w:p>
  </w:footnote>
  <w:footnote w:id="357">
    <w:p>
      <w:pPr>
        <w:pStyle w:val="Funote"/>
        <w:rPr/>
      </w:pPr>
      <w:r>
        <w:rPr/>
        <w:footnoteRef/>
        <w:tab/>
        <w:t>Tor seines Ortes - d.h. von innerhalb seiner Stadttore. Die ersten beiden Begriffe haben eine soziale, die zweiten beiden eine lokale Ausrichtung: Machlons Familie soll nicht ausgerottet werden »aus seinem Volk und aus seinem Ort«. Recht gut daher EÜ: »damit sein Name unter seinen Verwandten und innerhalb der Mauern seiner Stadt nicht erlischt.«; NeÜ: »So wird der Name des Verstorbenen in seiner Sippe und in seinem Heimatort nicht vergessen werden.« (obwohl »vergessen werden« eher unglücklich ist)</w:t>
      </w:r>
    </w:p>
  </w:footnote>
  <w:footnote w:id="358">
    <w:p>
      <w:pPr>
        <w:pStyle w:val="Funote"/>
        <w:rPr/>
      </w:pPr>
      <w:r>
        <w:rPr/>
        <w:footnoteRef/>
        <w:tab/>
        <w:t>das ganze Volk, das im Tor [war], antwortete, und die Ältesten - eine sog. „gespaltene Koordination“; sinngemäß wäre die Üs. „Das ganze Volk, das im Tor war, und die Ältesten antworteten:...“ Der Erzähler greift deshalb hier zu dieser Konstruktion, um zu betonen, dass tatsächlich das ganze Volk, das sich dort aufhielt, die vorigen Vorgänge für rechtmäßig erklärten.</w:t>
      </w:r>
    </w:p>
  </w:footnote>
  <w:footnote w:id="359">
    <w:p>
      <w:pPr>
        <w:pStyle w:val="Funote"/>
        <w:rPr/>
      </w:pPr>
      <w:r>
        <w:rPr/>
        <w:footnoteRef/>
        <w:tab/>
        <w:t>Rahel, Lea und Tamar sind drei der »Erzmütter«, die nach biblischer Vorstellung Vorfahrinnen des ganzen Volkes Israel waren - Tamar übrigens ebenso wie Rut infolge einer Schwagerehe. Spätestens in diesem Segensspruch wird also Rut endgültig vom »ganzen Volk« in die »Gemeinde des Herrn« aufgenommen (s. die Anmerkungen zu Kap. 1).</w:t>
      </w:r>
    </w:p>
  </w:footnote>
  <w:footnote w:id="360">
    <w:p>
      <w:pPr>
        <w:pStyle w:val="Funote"/>
        <w:rPr/>
      </w:pPr>
      <w:r>
        <w:rPr/>
        <w:footnoteRef/>
        <w:tab/>
        <w:t>tFN: beide - Eine seltene Dualform, wie sie sich häufiger auch im 1. Kapitel fand (s. dort FN w).</w:t>
      </w:r>
    </w:p>
  </w:footnote>
  <w:footnote w:id="361">
    <w:p>
      <w:pPr>
        <w:pStyle w:val="Funote"/>
        <w:rPr/>
      </w:pPr>
      <w:r>
        <w:rPr/>
        <w:footnoteRef/>
        <w:tab/>
        <w:t>das Haus Israel Israel erbauten - D.h., auf deren Nachkommen sich nach bib. Vorstellung ganz Israel zurückführt. Sinngemäß gut daher HfA: »von denen alle Israeliten abstammen«; NeÜ: »von denen das Volk Israel abstammt«; NL: »aus denen das ganze Volk Israel hervorgegangen ist«</w:t>
      </w:r>
    </w:p>
  </w:footnote>
  <w:footnote w:id="362">
    <w:p>
      <w:pPr>
        <w:pStyle w:val="Funote"/>
        <w:rPr/>
      </w:pPr>
      <w:r>
        <w:rPr/>
        <w:footnoteRef/>
        <w:tab/>
        <w:t>Vollbringe Tüchtiges - Eigentlich ein Idiom für »siegen, mächtig werden« oder »Reichtum erlangen«; beides wird auch hier oft als Übersetzung gewählt. Besser aber: (1) Das verwendete Substantiv ist chajil, das in Rut 2,1 den Boas und in 3,11 die Rut näher charakterisierte. Rut und Boas sollen hier also etwas »erzeugen«, was so ist, wie sie sind. (2) Dass direkt davor und direkt danach vom Nachwuchs, der Rut und Boas gewünscht wird, die Rede ist, macht es wahrscheinlich, dass auch hier das chajil ein Ausdruck für Nachwuchs sein soll. Wahrscheinlich also zu verstehen als abstractum pro concreto: »Erzeuge Tüchtiges« = »Erzeuge tüchtige Nachkommen« (vgl. ähnlich Holmstedt 2010, S. 203; sinngemäß auch Köhlmoos 2010, S. 78). In die selbe Richtung geht der Deutungsvorschlag von Campbell 1975, S. 152; Labuschagne 1967, S. 365f. und Parker 1976, S. 23f., chajil habe hier die Bedeutung »Fortpflanzungskraft«: »Vollbringe Fortpflanzungskraft« = »Pflanze dich kräftig fort«.</w:t>
      </w:r>
    </w:p>
  </w:footnote>
  <w:footnote w:id="363">
    <w:p>
      <w:pPr>
        <w:pStyle w:val="Funote"/>
        <w:rPr/>
      </w:pPr>
      <w:r>
        <w:rPr/>
        <w:footnoteRef/>
        <w:tab/>
        <w:t>rufe [einen] Namen - sonst ungebräuchlicher Ausdruck im Heb.; demgemäß umstritten ist die Bed. Früher wurde häufig der Text korrigiert, z.B. bei Rudolph 1962, S. 60: »Dein Name werde gerufen« (=»Mögest du gefeiert werden«); offenbar noch heute Köhlmoos 2010, S. 69. Aus den selben Gründen wie in der vorigen Zeile geht es aber wohl hier um Nachwuchs (so z.B. auch Parker 1976, S. 24, FN 3; Zakovitch 1999, S. 165); daher besser: »Rufe Namen« = »Werde Namens-geber«, d.h. »Zeuge viel Nachwuchs, denen du dann Namen geben kannst« (so Campbell 1975, S. 153f.; Labuschagne 1967, S. 366). Die alternative Erklärung, »Name« habe hier die Bedeutung »Nachwuchs«, taugt nicht viel, da Boas ja dann dennoch aufgefordert würde, seinen Nachwuchs zu »rufen« - und was das bedeuten soll, ist nur schwer verständlich.</w:t>
      </w:r>
    </w:p>
  </w:footnote>
  <w:footnote w:id="364">
    <w:p>
      <w:pPr>
        <w:pStyle w:val="Funote"/>
        <w:rPr/>
      </w:pPr>
      <w:r>
        <w:rPr/>
        <w:footnoteRef/>
        <w:tab/>
        <w:t>Es sei dein Haus wie das Haus des Perez - bajit (»Haus«) hat hier wie häufig die Bedeutung »Familie«; sinngemäß daher »mögest du so viele Nachkommen haben, wie Perez sie hatte.« Richtig z.B. wieder NeÜ: »Durch die Nachkommen, die Jahwe dir von dieser jungen Frau geben wird, soll deine Familie so werden wie die des Perez...«</w:t>
      </w:r>
    </w:p>
  </w:footnote>
  <w:footnote w:id="365">
    <w:p>
      <w:pPr>
        <w:pStyle w:val="Funote"/>
        <w:rPr/>
      </w:pPr>
      <w:r>
        <w:rPr/>
        <w:footnoteRef/>
        <w:tab/>
        <w:t>Den JHWH dir gebe - Eine sog. »Inclusio«; der Segensspruch wird eröffnet und geschlossen durch die selbe Formulierung: »JHWH gebe« - ein schöner Kontrapunkt zu Rut 1,21, wo Noomi JHWH beschuldigt hatte, dass er sie ihrer Kinder beraubt habe.</w:t>
      </w:r>
    </w:p>
  </w:footnote>
  <w:footnote w:id="366">
    <w:p>
      <w:pPr>
        <w:pStyle w:val="Funote"/>
        <w:rPr/>
      </w:pPr>
      <w:r>
        <w:rPr/>
        <w:footnoteRef/>
        <w:tab/>
        <w:t>Boas nahm Rut - d.h., er heiratete sie.</w:t>
      </w:r>
    </w:p>
  </w:footnote>
  <w:footnote w:id="367">
    <w:p>
      <w:pPr>
        <w:pStyle w:val="Funote"/>
        <w:rPr/>
      </w:pPr>
      <w:r>
        <w:rPr/>
        <w:footnoteRef/>
        <w:tab/>
        <w:t>Boas nahm Rut, sie wurde seine Frau - Doppelausdruck, der wohl (wie auch in Gen 24,67) einfach nur bedeutet: Boas heiratete sie (daher lassen etwa einige LXX-Handschriften und Äth den zweiten Satz ganz weg und einige Syr-Handschriften ziehen zusammen zu „Boas nahm Rut zur Frau“). Hier statt einer kürzeren Alternative verwendet, um den Staccato-Eindruck dieses Verses noch zu steigern: Was geschieht, kommt Schlag auf Schlag, und ohnehin lassen sich die Ereignisse hier schnell übergehen, denn der Hauptfokus dieses Abschnitts liegt klar auf den beiden Äußerungen des Frauenchors.</w:t>
      </w:r>
    </w:p>
  </w:footnote>
  <w:footnote w:id="368">
    <w:p>
      <w:pPr>
        <w:pStyle w:val="Funote"/>
        <w:rPr/>
      </w:pPr>
      <w:r>
        <w:rPr/>
        <w:footnoteRef/>
        <w:tab/>
        <w:t>ging zu ihr - heb. Idiom für Geschlechtsverkehr, vgl. z.B. Schorch 2000, S. 96.</w:t>
      </w:r>
    </w:p>
  </w:footnote>
  <w:footnote w:id="369">
    <w:p>
      <w:pPr>
        <w:pStyle w:val="Funote"/>
        <w:rPr/>
      </w:pPr>
      <w:r>
        <w:rPr/>
        <w:footnoteRef/>
        <w:tab/>
        <w:t>Gepriesen sei JHWH, der ist eine Formel für »Gott sei dafür gedankt, dass...« (vgl. Lande 1949, S. 106f.).</w:t>
      </w:r>
    </w:p>
  </w:footnote>
  <w:footnote w:id="370">
    <w:p>
      <w:pPr>
        <w:pStyle w:val="Funote"/>
        <w:rPr/>
      </w:pPr>
      <w:r>
        <w:rPr/>
        <w:footnoteRef/>
        <w:tab/>
        <w:t>Sein Name werde gerufen - D.h. »er werde verehrt«: »Name« ist hier wie oft (bes. wenn von Gott »im Menschenmund« die Rede ist) Wechselbegriff für den Namensträger selbst.</w:t>
      </w:r>
    </w:p>
  </w:footnote>
  <w:footnote w:id="371">
    <w:p>
      <w:pPr>
        <w:pStyle w:val="Funote"/>
        <w:rPr/>
      </w:pPr>
      <w:r>
        <w:rPr/>
        <w:footnoteRef/>
        <w:tab/>
        <w:t>Lebenskraft zurückkehren lässt - heb. Idiom für Wiederbelebung, Lebensrettung und am-Leben-Erhaltung; sicher ist hier Letzteres gemeint, s. nächste Zeile. Fast stets ist JHWH das Subjekt dieses Ausdrucks (1 Kön 17,21f; Ijob 33,30; Ps 23,3; 35,17; Klg 1,19). Wir haben also eine ähnliche Ambivalenz wie in Rut 2,20 (s. FN ax und die Anmerkungen zu Kap. 3) vor uns: Wegen V. 14 und diesem Ausdruck sollte man meinen, dass hier und in der nächsten Zeile noch von JHWH die Rede ist und erst in der vorletzten Zeile wird klar, dass tatsächlich von Ruts Kind die Rede ist.</w:t>
      </w:r>
    </w:p>
  </w:footnote>
  <w:footnote w:id="372">
    <w:p>
      <w:pPr>
        <w:pStyle w:val="Funote"/>
        <w:rPr/>
      </w:pPr>
      <w:r>
        <w:rPr/>
        <w:footnoteRef/>
        <w:tab/>
        <w:t>Ja!, (denn) - Ein sog. »exklamatives ki«, das hier wie öfter den Abschluss eines Preises einleitet (wie z.B. auch in Ps 100,5, so aber offenbar nur Brichto 1973, S. 21). Im Dt. am besten auszusparen.Der Minihymnus des Frauenchors schließt mit einem durch das ki und durch die Verslänge hervorgehobenen Lobpreis auf die (Moabiterin!) Rut, die »besser ist als sieben Söhne«.</w:t>
      </w:r>
    </w:p>
  </w:footnote>
  <w:footnote w:id="373">
    <w:p>
      <w:pPr>
        <w:pStyle w:val="Funote"/>
        <w:rPr/>
      </w:pPr>
      <w:r>
        <w:rPr/>
        <w:footnoteRef/>
        <w:tab/>
        <w:t>hob ihn an ihre Brust - sicher nicht im Sinn von „säugte ihn“, sd. i.S.v. „nahm ihn auf den Arm (wie eine liebende Großmutter das nun mal so tut)“, s. 1 Kön 3,20 (wo das Kind ja wohl nicht von einer Schlafenden gestillt wird) und 17,19 (wo doch wohl die Mutter nicht vor den Augen des Elija ihr Kind stillt); auch Frauen, Männer, Brüder, Neffen, Nichten und sogar Schafe können „an jemandes - auch eines Mannes - Brust“ sein, s. Gen 16,5; Dtn 13,7; 28,54.56; 2 Sam 12,3.8; 1 Kön 1,2; Est 2,7; Jes 40,11). Einige denken wg. V. 17, dass es sich hier um einen Adoptionsgestus handelt, aber das wäre eine überwörtliche Interpretation des Folgeverses und würde doch sehr viel in diese Geste hineinlesen (so auch Rudolph 1962, S. 71; Zakovitch 1999, S. 170; Zenger 1986, S. 97).</w:t>
      </w:r>
    </w:p>
  </w:footnote>
  <w:footnote w:id="374">
    <w:p>
      <w:pPr>
        <w:pStyle w:val="Funote"/>
        <w:rPr/>
      </w:pPr>
      <w:r>
        <w:rPr/>
        <w:footnoteRef/>
        <w:tab/>
        <w:t>Ein weiterer umstrittener Vers. Dass offenbar die Bürgerinnen das Kind benennen, ist gar nicht so problematisch, s. Lk 1,58. Alternativ, aber weniger wahrscheinlich, könnte man dies mit Bush 1996b, S. 12 auch einfach so verstehen, dass die Bürgerinnen mit ihrem Ausruf Anlass für den Namen des Kindes waren und ihm in diesem Sinne „einen Namen gaben“.Schwierig ist aber, dass es zunächst so scheint, als wäre der Name des Kindes „Ein Sohn ist der Noomi geboren!“. Entweder ist mit Würthwein 1969, S. 20 das erste „Name“ zu streichen, so dass der Text lauten würde „Und die Bürgerinnen riefen über ihn: ‚Ein Sohn ist der Noomi geboren!‘, und sie nannten...“ oder das „wie folgt (indem sie sagten)“ wird so verstanden, dass es gar nicht den Namen einleitet, sondern die „Begleitumstände“ der Namensgabe, so dass man übersetzen müsste: „Und die Bürgerinnen gaben ihm einen Namen, indem sie sagten: ‚Ein Sohn ist der Noomi geboren!‘ - und der Name, den sie ihm gaben, war ‚Obed‘“ (so viele Üss., daher in der LF vorzuziehen). Gut dann z.B. NL: „Die Nachbarinnen sagten: ‚Jetzt hat Noomi endlich wieder einen Sohn!‘ Und sie nannten ihn Obed.“Der Zusammenhang zwischen dem Ausruf der Bürgerinnen und dem Namen „Obed“, also „Diener“, ist wohl der, dass Noomi nun mit ihrem Enkel eine „Altersvorsorge“ hat (s. die Anmerkungen), Obeds Geburt also der Noomi „dienlich“ ist (vgl. Bush 1996b, S. 13).</w:t>
      </w:r>
    </w:p>
  </w:footnote>
  <w:footnote w:id="375">
    <w:p>
      <w:pPr>
        <w:pStyle w:val="Funote"/>
        <w:rPr/>
      </w:pPr>
      <w:r>
        <w:rPr/>
        <w:footnoteRef/>
        <w:tab/>
        <w:t>dies sind die Zeugungen von Perez - Übliche Einleitung für einen Stammbaum; gut z.B. GN, T4T: „Dies ist die Liste der Nachkommen von Perez“.</w:t>
      </w:r>
    </w:p>
  </w:footnote>
  <w:footnote w:id="376">
    <w:p>
      <w:pPr>
        <w:pStyle w:val="Funote"/>
        <w:rPr/>
      </w:pPr>
      <w:r>
        <w:rPr/>
        <w:footnoteRef/>
        <w:tab/>
        <w:t>De Waard/Nida 1992, S. 78 haben einen sehr guten Vorschlag für eine zeitgemäße Übersetzung gemacht: „Dies [also] ist die Abstammungslinie von Perez bis zu David: Perez, Hezron, Ram, Amminadab, Nachschon, Salmon, Boaz, Obed, Jesse, David.“</w:t>
      </w:r>
    </w:p>
  </w:footnote>
  <w:footnote w:id="377">
    <w:p>
      <w:pPr>
        <w:pStyle w:val="Funote"/>
        <w:rPr/>
      </w:pPr>
      <w:r>
        <w:rPr/>
        <w:footnoteRef/>
        <w:tab/>
        <w:t>[Status: Sehr gut]</w:t>
      </w:r>
    </w:p>
  </w:footnote>
  <w:footnote w:id="378">
    <w:p>
      <w:pPr>
        <w:pStyle w:val="Funote"/>
        <w:rPr/>
      </w:pPr>
      <w:r>
        <w:rPr/>
        <w:footnoteRef/>
        <w:tab/>
        <w:t xml:space="preserve">Das hier verwendete Wort </w:t>
      </w:r>
      <w:r>
        <w:rPr>
          <w:rtl w:val="true"/>
          <w:lang w:bidi="he-IL"/>
        </w:rPr>
        <w:t>אַשְׁרֵי־</w:t>
      </w:r>
      <w:r>
        <w:rPr/>
        <w:t xml:space="preserve"> </w:t>
      </w:r>
      <w:r>
        <w:rPr/>
        <w:t>drückt nicht einen konkreten Segen, sondern erstrebenswertes, gesegnetes Glück in einer Beziehung mit Gott durch Bundesgehorsam aus (Waltke 2010, 133). Ähnlich auch die Seligpreisungen (Mt 5,1-12). Psalm 1 kann als Definition dafür gelten, welche Art von Mensch sich auf diese Weise glücklich nennen darf (vgl. Kraus 41972, 3): der „Gerechte“ (</w:t>
      </w:r>
      <w:r>
        <w:rPr>
          <w:rtl w:val="true"/>
          <w:lang w:bidi="he-IL"/>
        </w:rPr>
        <w:t>צַדִּיק</w:t>
      </w:r>
      <w:r>
        <w:rPr/>
        <w:t>), der falsche Wege meidet (1) und sich stattdessen der Torah, der Weisung Gottes zuwendet (2)(Kraus 41972, 9).</w:t>
      </w:r>
    </w:p>
  </w:footnote>
  <w:footnote w:id="379">
    <w:p>
      <w:pPr>
        <w:pStyle w:val="Funote"/>
        <w:rPr/>
      </w:pPr>
      <w:r>
        <w:rPr/>
        <w:footnoteRef/>
        <w:tab/>
        <w:t>Die männliche Form steht hier stellvertretend für jeden Menschen, auf den das Beschriebene zutrifft (Generisches Maskulinum; vgl. Waltke 2010, 128).</w:t>
      </w:r>
    </w:p>
  </w:footnote>
  <w:footnote w:id="380">
    <w:p>
      <w:pPr>
        <w:pStyle w:val="Funote"/>
        <w:rPr/>
      </w:pPr>
      <w:r>
        <w:rPr/>
        <w:footnoteRef/>
        <w:tab/>
        <w:t>Das Wort kann sich auch auf die Pläne und Ziele einer Person beziehen, umfasst also mehr als einen einmaligen Ratschlag.</w:t>
      </w:r>
    </w:p>
  </w:footnote>
  <w:footnote w:id="381">
    <w:p>
      <w:pPr>
        <w:pStyle w:val="Funote"/>
        <w:rPr/>
      </w:pPr>
      <w:r>
        <w:rPr/>
        <w:footnoteRef/>
        <w:tab/>
        <w:t>„</w:t>
      </w:r>
      <w:r>
        <w:rPr/>
        <w:t>Gottlose“ (</w:t>
      </w:r>
      <w:r>
        <w:rPr>
          <w:rtl w:val="true"/>
          <w:lang w:bidi="he-IL"/>
        </w:rPr>
        <w:t>רְשָׁעִים</w:t>
      </w:r>
      <w:r>
        <w:rPr/>
        <w:t>) sind solche, die vor dem Gesetz Gottes schuldig sind und sich Gott bewusst widersetzen (Kraus 41972, 4). Der Gottlose ist das genaue Gegenstück zum Gerechten (Waltke 2010, 133).</w:t>
      </w:r>
    </w:p>
  </w:footnote>
  <w:footnote w:id="382">
    <w:p>
      <w:pPr>
        <w:pStyle w:val="Funote"/>
        <w:rPr/>
      </w:pPr>
      <w:r>
        <w:rPr/>
        <w:footnoteRef/>
        <w:tab/>
        <w:t>Wörtlich: „im Rat der Gottlosen geht/gegangen ist“; Übs. vgl. NGÜ, REB, NET.</w:t>
      </w:r>
    </w:p>
  </w:footnote>
  <w:footnote w:id="383">
    <w:p>
      <w:pPr>
        <w:pStyle w:val="Funote"/>
        <w:rPr/>
      </w:pPr>
      <w:r>
        <w:rPr/>
        <w:footnoteRef/>
        <w:tab/>
        <w:t>im Kreis So EÜ. Gemeint ist mit dem „Sitz der Spötter“ ihr Versammlungsort (TWOT 922d), wo die Spötter (</w:t>
      </w:r>
      <w:r>
        <w:rPr>
          <w:rtl w:val="true"/>
          <w:lang w:bidi="he-IL"/>
        </w:rPr>
        <w:t>לֵצִים</w:t>
      </w:r>
      <w:r>
        <w:rPr/>
        <w:t>) sich gegenseitig zum Spott über Gott herausfordern (Kraus 41972, 4).</w:t>
      </w:r>
    </w:p>
  </w:footnote>
  <w:footnote w:id="384">
    <w:p>
      <w:pPr>
        <w:pStyle w:val="Funote"/>
        <w:rPr/>
      </w:pPr>
      <w:r>
        <w:rPr/>
        <w:footnoteRef/>
        <w:tab/>
        <w:t>V. 1 ließe sich auf zwei Weisen lesen: Entweder handelt es sich bei „dem Rat der Gottlosen folgen“, „auf dem Weg Weg der Sünder stehen“ und „am Ort der Spötter sitzen“ um eine Synonymreihung, die sämtlich für das „sich-Vergehen“ stehen, oder es wird hier durch die Entwicklung von „folgen“-„stehen“-„sitzen“ eine Entwicklung von dynamisch zu statisch ausgedrückt: Der betreffende Mensch verdirbt immer mehr, indem er sich immer mehr an den Kreis der Sünder annähert, bis er sich schließlich ganz bei ihnen niederlässt. Vgl. hierzu die Diskussionsseite.</w:t>
      </w:r>
    </w:p>
  </w:footnote>
  <w:footnote w:id="385">
    <w:p>
      <w:pPr>
        <w:pStyle w:val="Funote"/>
        <w:rPr/>
      </w:pPr>
      <w:r>
        <w:rPr/>
        <w:footnoteRef/>
        <w:tab/>
        <w:t>Freude und Andacht gegenüber dem Gesetz sind Metonymien der Ursache für ein Leben, das sich an der Schrift orientiert. Da Psalm 1 den gesamten Psalter einleitet, nennt er mit dieser Aussage eine Schlüsselqualifikation für das richtige Verständnis der Psalmen (Waltke 2010, 139).</w:t>
      </w:r>
    </w:p>
  </w:footnote>
  <w:footnote w:id="386">
    <w:p>
      <w:pPr>
        <w:pStyle w:val="Funote"/>
        <w:rPr/>
      </w:pPr>
      <w:r>
        <w:rPr/>
        <w:footnoteRef/>
        <w:tab/>
        <w:t>Gemeint sind künstliche Bewässerungskanäle.</w:t>
      </w:r>
    </w:p>
  </w:footnote>
  <w:footnote w:id="387">
    <w:p>
      <w:pPr>
        <w:pStyle w:val="Funote"/>
        <w:rPr/>
      </w:pPr>
      <w:r>
        <w:rPr/>
        <w:footnoteRef/>
        <w:tab/>
        <w:t>Also: regelmäßig, wegen der steten Wasserversorgung, die ohne solche Bewässerungskanäle nicht möglich wäre (Kraus 41972, 6). Dieser Vergleich beschreibt zusammen mit dem Aspekt der nicht verwelkenden Blätter das ewige Leben, das der Gottesfürchtige als „Frucht“ bekommen wird (Waltke 2010, 140).</w:t>
      </w:r>
    </w:p>
  </w:footnote>
  <w:footnote w:id="388">
    <w:p>
      <w:pPr>
        <w:pStyle w:val="Funote"/>
        <w:rPr/>
      </w:pPr>
      <w:r>
        <w:rPr/>
        <w:footnoteRef/>
        <w:tab/>
        <w:t>Auch möglich: „Und er bringt alles, was er tut, zum Gedeihen“ („two-place“ Hiphil nach Waltke 2010, 128).</w:t>
      </w:r>
    </w:p>
  </w:footnote>
  <w:footnote w:id="389">
    <w:p>
      <w:pPr>
        <w:pStyle w:val="Funote"/>
        <w:rPr/>
      </w:pPr>
      <w:r>
        <w:rPr/>
        <w:footnoteRef/>
        <w:tab/>
        <w:t>Ps 1 enthält als Torah- bzw. Weisheitspsalm ein typisches Motiv der Weisheitsliteratur, den „Tun-Ergehen-Zusammenhang“: Wie man handelt, so ergeht es einem. Gutes Handeln - das Beschreiten des „gerechten Weges“ - zieht in der Regel positive Folgen für den Handelnden nach sich, der Weg des Gottlosen dagegen führt ins Verderben (vgl. z.B. Oeming 2000, S. 50 f.). Der Gerechte speist sich hier aus den von Gott verfügbar gemachten Bewässerungskanälen der Tora. Soweit er der Tora folgt, wird ihm alles gelingen, er wird zu seiner Zeit Frucht bringen.</w:t>
      </w:r>
    </w:p>
  </w:footnote>
  <w:footnote w:id="390">
    <w:p>
      <w:pPr>
        <w:pStyle w:val="Funote"/>
        <w:rPr/>
      </w:pPr>
      <w:r>
        <w:rPr/>
        <w:footnoteRef/>
        <w:tab/>
        <w:t>Spreu sind die Schalen von Getreidekörnern, die früher durch Dreschen von diesen gelöst und dann durch Worfeln von ihnen getrennt wurden. Dabei warf man beide Teile in den Wind, der die leichten Spelzen wegblies, während die Körner wieder auf den Boden fielen (Douglas, Chaff, in: NBD 1996). Die nutzlose Spreu steht im Gegensatz zu dem lebendigen, fruchtbaren Baum (3) (Waltke 2010, 141). Gottlose und Spreu teilen für den Psalmisten dasselbe Schicksal: Sie sind wertlos und bestehen nicht, sie werden im entscheidenden Moment vergehen (vgl. den Beginn von V. 5: „deshalb“</w:t>
      </w:r>
    </w:p>
  </w:footnote>
  <w:footnote w:id="391">
    <w:p>
      <w:pPr>
        <w:pStyle w:val="Funote"/>
        <w:rPr/>
      </w:pPr>
      <w:r>
        <w:rPr/>
        <w:footnoteRef/>
        <w:tab/>
        <w:t>Unklar ist, ob das Endgericht oder ein irdisches Gericht gemeint ist. Möglichkeiten: Gericht, Gerichtsverhandlung (Gesenius18, ~ 5), Gerichtshof (DCH, ~ §1d), gesamtes Gerichtsverfahren (TWAT, ~ II.2.a; NIDOTTE, ~ 2), Zeitpunkt des (End-?)Gerichts (TWOT, ~ 6), Urteilsvollzug (im Endgericht?) (DCH, ~ §1e, in 1d in Betracht gezogen)? Kraus 41972, 8 glaubt in Anlehnung an Ps 24,3, es wäre hier stattdessen vom Betreten der heiligen Stätte die Rede. Gut möglich, dass ganz einfach eine allgemeine Wahrheit ausgedrückt werden soll: die Gottlosen bestehen ganz grundsätzlich vor keinem Gericht bzw. in keinem Verfahren. Die parallele Entsprechung „Versammlung der Gerechten“ in 5b ist dann vielleicht die Instanz, die das Urteil fällt (Waltke 2010, 142).</w:t>
      </w:r>
    </w:p>
  </w:footnote>
  <w:footnote w:id="392">
    <w:p>
      <w:pPr>
        <w:pStyle w:val="Funote"/>
        <w:rPr/>
      </w:pPr>
      <w:r>
        <w:rPr/>
        <w:footnoteRef/>
        <w:tab/>
        <w:t>Zum Gebrauch des Begriffs „Gerechter“ s. die Fußnote in V. 1.</w:t>
      </w:r>
    </w:p>
  </w:footnote>
  <w:footnote w:id="393">
    <w:p>
      <w:pPr>
        <w:pStyle w:val="Funote"/>
        <w:rPr/>
      </w:pPr>
      <w:r>
        <w:rPr/>
        <w:footnoteRef/>
        <w:tab/>
        <w:t xml:space="preserve">führt ins Verderben (vgl. SLT, NGÜ, NLB) übersetzt das Verb </w:t>
      </w:r>
      <w:r>
        <w:rPr>
          <w:rtl w:val="true"/>
          <w:lang w:bidi="he-IL"/>
        </w:rPr>
        <w:t>אָבַד</w:t>
      </w:r>
      <w:r>
        <w:rPr/>
        <w:t>, das häufig etwas altertümlich als „zugrunde gehen, umkommen“ übersetzt wird.</w:t>
      </w:r>
    </w:p>
  </w:footnote>
  <w:footnote w:id="394">
    <w:p>
      <w:pPr>
        <w:pStyle w:val="Funote"/>
        <w:rPr/>
      </w:pPr>
      <w:r>
        <w:rPr/>
        <w:footnoteRef/>
        <w:tab/>
        <w:t>[Status: Sehr gut]</w:t>
      </w:r>
    </w:p>
  </w:footnote>
  <w:footnote w:id="395">
    <w:p>
      <w:pPr>
        <w:pStyle w:val="Funote"/>
        <w:rPr/>
      </w:pPr>
      <w:r>
        <w:rPr/>
        <w:footnoteRef/>
        <w:tab/>
        <w:t>Dieses Verb ist ein nur selten erkannter Aramaismus (in 9.12 sind weitere). In Dan 6,7.12.16 hat das aramäische Verb jeweils die Bedeutung „gemeinsam/als Gruppe [an einen Ort] gehen“, wobei immer eine heimliche/intrigante Absprache Teil der Konnotation ist (DBL Aramaic). Die konkrete Übersetzung „verschwören“ ergibt sich aus dem Kontext (vgl. Waltke 2010, S. 157): Das parallele Verb aus der zweiten Vershälfte bedeutet etwa, „Pläne zu schmieden“ (vgl. Fußnote dort); ein ähnliches Bedeutungsfeld ergeben die Verben in 2, der mit 1 (und 3) eine klimaktische Sinneinheit bildet. Dennoch findet sich in deutschen Übersetzungen i.d.R. eine Übersetzung nach dem Sinn von „sich in Unruhe befinden“ (vgl. aber NET, Waltke 2010, Hunter 1999).</w:t>
      </w:r>
    </w:p>
  </w:footnote>
  <w:footnote w:id="396">
    <w:p>
      <w:pPr>
        <w:pStyle w:val="Funote"/>
        <w:rPr/>
      </w:pPr>
      <w:r>
        <w:rPr/>
        <w:footnoteRef/>
        <w:tab/>
        <w:t>Die Verbformen in V. 1 sind auffällig: Qatal (1a) - X-Yiqtol (1b) - Yiqtol (2a) - X-Qatal (2b). Auf den ersten Blick wirken sie so, als müsste man übersetzen: # „Warum haben die Nationen gewütet? / Und die Völker - warum schmieden sie vergebliche Pläne? / Die Könige der Erde setzen sich zusammen, / und die Herrscher haben sich bereits beraten“ (so z.B. Carrier 1900, S. 58) # Viele Exegeten gehen aber davon aus, dass in der biblischen Lyrik die hebräischen Verbformen mehr oder weniger nach Belieben gesetzt werden können und übersetzen daher alle vier Verben präsentisch: „Warum wüten die Nationen, / warum schmieden die Völker vergebliche Pläne? / Die Könige der Erde setzen sich zusammen / und die Herrscher beraten sich.“ (so z.B. Buth 1992, S. 103; unsere Lösung, da Mehrheitsmeinung). # Vielleicht sinnvoller: Der Wechsel von Qatal nach Yiqtol und von Yiqtol nach Qatal wird verstanden als (bedeutungsloser) T-Shift; der Wechsel von VERB-X nach X-VERB drückt jeweils nur die Gegenüberstellung der jeweiligen Subjekte aus („Nationen“ und „Völker“ einerseits, „Könige der Erde“ und „Herrscher“ andererseits): „Warum wüten die Nationen / warum schmieden die Völker vergebliche Pläne? / [Warum] wollen die Könige der Erde sich zusammensetzen / und die Herrscher sich beraten?“ # Niccacci 2006, S. 9 interpretiert (1b) und (2b) als Umstandssätze: „Warum haben sich die Nationen verschworen / während die Völker vergeblich Pläne schmiedeten? / [Warum] stellten die Könige der Erde sich zum Kampf / während die Herrscher sich gegen JHWH und seinen Gesalbten verbündeten?“</w:t>
      </w:r>
    </w:p>
  </w:footnote>
  <w:footnote w:id="397">
    <w:p>
      <w:pPr>
        <w:pStyle w:val="Funote"/>
        <w:rPr/>
      </w:pPr>
      <w:r>
        <w:rPr/>
        <w:footnoteRef/>
        <w:tab/>
        <w:t>„</w:t>
      </w:r>
      <w:r>
        <w:rPr/>
        <w:t xml:space="preserve">Pläne schmieden“ ist hier Übersetzung lediglich des Verbs (vgl. GNB). </w:t>
      </w:r>
      <w:r>
        <w:rPr>
          <w:rtl w:val="true"/>
          <w:lang w:bidi="he-IL"/>
        </w:rPr>
        <w:t>רִיק</w:t>
      </w:r>
      <w:r>
        <w:rPr/>
        <w:t xml:space="preserve"> </w:t>
      </w:r>
      <w:r>
        <w:rPr/>
        <w:t>(vergeblich) ist meist ein Substantiv, bei vielen Wörtern im AT ist der Übergang zum Adjektiv aber fließend. Die Übersetzung könnte also sowohl „Vergebliches“ (Substantiv) als auch „vergeblich“ lauten. Allerdings ist das Verb „Pläne schmieden“ (</w:t>
      </w:r>
      <w:r>
        <w:rPr>
          <w:rtl w:val="true"/>
          <w:lang w:bidi="he-IL"/>
        </w:rPr>
        <w:t>הָגָה</w:t>
      </w:r>
      <w:r>
        <w:rPr/>
        <w:t xml:space="preserve">) intransitiv (Clines, Dictionary of Classical Hebrew), deshalb ist </w:t>
      </w:r>
      <w:r>
        <w:rPr>
          <w:rtl w:val="true"/>
          <w:lang w:bidi="he-IL"/>
        </w:rPr>
        <w:t>רִיק</w:t>
      </w:r>
      <w:r>
        <w:rPr/>
        <w:t xml:space="preserve"> </w:t>
      </w:r>
      <w:r>
        <w:rPr/>
        <w:t>hier als Adverb zu verstehen.</w:t>
      </w:r>
    </w:p>
  </w:footnote>
  <w:footnote w:id="398">
    <w:p>
      <w:pPr>
        <w:pStyle w:val="Funote"/>
        <w:rPr/>
      </w:pPr>
      <w:r>
        <w:rPr/>
        <w:footnoteRef/>
        <w:tab/>
        <w:t>Wahrscheinlich double duty-Präposition aus V. 1a; so z.B. Niccacci 2006, S. 8; auch schon Carrier 1900, S. 58.</w:t>
      </w:r>
    </w:p>
  </w:footnote>
  <w:footnote w:id="399">
    <w:p>
      <w:pPr>
        <w:pStyle w:val="Funote"/>
        <w:rPr/>
      </w:pPr>
      <w:r>
        <w:rPr/>
        <w:footnoteRef/>
        <w:tab/>
        <w:t>Der Genitiv „der Erde“ kann auch als „des Landes“ (lokal begrenzt) oder als adjektivischer Genitiv („irdische Könige“) verstanden werden. Stärker signalisiert wird hier nicht der Gegensatz zwischen den anderen Ländern und Israel, sondern der zwischen den irdischen Herrschern einerseits und JHWH und seinem gesalbten König andererseits. Jener „ist 'göttlicher König' und deswegen auch Weltherrscher.“ (Kraus 1960, S. 15)</w:t>
      </w:r>
    </w:p>
  </w:footnote>
  <w:footnote w:id="400">
    <w:p>
      <w:pPr>
        <w:pStyle w:val="Funote"/>
        <w:rPr/>
      </w:pPr>
      <w:r>
        <w:rPr/>
        <w:footnoteRef/>
        <w:tab/>
        <w:t>Vgl. Kraus 1960, S. 11.</w:t>
      </w:r>
    </w:p>
  </w:footnote>
  <w:footnote w:id="401">
    <w:p>
      <w:pPr>
        <w:pStyle w:val="Funote"/>
        <w:rPr/>
      </w:pPr>
      <w:r>
        <w:rPr/>
        <w:footnoteRef/>
        <w:tab/>
        <w:t>Die Grundbedeutung ist, „sich unverrückbar [gg. jmdn.] zu positionieren“ (BDB, TWOT), die Denotation ergibt sich daraus. Das Verb heißt im Qal „gründen, grundlegen“ und kommt im Nifal sonst nur in Ps 31,14 vor. HALAT sieht dagegen zwei unabhängige Wurzeln. Kraus (1960, S. 11): „schließen sich zusammen“.</w:t>
      </w:r>
    </w:p>
  </w:footnote>
  <w:footnote w:id="402">
    <w:p>
      <w:pPr>
        <w:pStyle w:val="Funote"/>
        <w:rPr/>
      </w:pPr>
      <w:r>
        <w:rPr/>
        <w:footnoteRef/>
        <w:tab/>
        <w:t>Der Gesalbte bezeichnet hier wie meist im AT den von Gott eingesetzten König (TWOT, NBD u.a.; vgl. V. 6). In Prophetien wird auch der angekündigte Retter Israels so genannt, was im NT dann auf Jesus bezogen wird. Die ungewöhnliche Wiederholung der Präposition sorgt für eine klare Unterscheidung zwischen JHWH und König (Waltke 2010, S. 158).</w:t>
      </w:r>
    </w:p>
  </w:footnote>
  <w:footnote w:id="403">
    <w:p>
      <w:pPr>
        <w:pStyle w:val="Funote"/>
        <w:rPr/>
      </w:pPr>
      <w:r>
        <w:rPr/>
        <w:footnoteRef/>
        <w:tab/>
        <w:t>Hier sprechen die erwähnten Könige (V. 2).</w:t>
      </w:r>
    </w:p>
  </w:footnote>
  <w:footnote w:id="404">
    <w:p>
      <w:pPr>
        <w:pStyle w:val="Funote"/>
        <w:rPr/>
      </w:pPr>
      <w:r>
        <w:rPr/>
        <w:footnoteRef/>
        <w:tab/>
        <w:t xml:space="preserve">Subst., nicht adv./präd. Ptz., wie aus dem Parallelismus (entspricht „Herr“ in Teil 4b) deutlich wird. Vernachlässigt man diesen, könnte die Übersetzung auch lauten: „im Himmel wohnend, lacht er, Adonai...“ Die Hauptbedeutung von </w:t>
      </w:r>
      <w:r>
        <w:rPr>
          <w:rtl w:val="true"/>
          <w:lang w:bidi="he-IL"/>
        </w:rPr>
        <w:t>יָשַׁה</w:t>
      </w:r>
      <w:r>
        <w:rPr/>
        <w:t xml:space="preserve"> </w:t>
      </w:r>
      <w:r>
        <w:rPr/>
        <w:t>ist „sitzen“, auf JHWH bezogen „thronen“ (vgl. REB, SLT).</w:t>
      </w:r>
    </w:p>
  </w:footnote>
  <w:footnote w:id="405">
    <w:p>
      <w:pPr>
        <w:pStyle w:val="Funote"/>
        <w:rPr/>
      </w:pPr>
      <w:r>
        <w:rPr/>
        <w:footnoteRef/>
        <w:tab/>
        <w:t>Das Objekt am Satzende bezieht sich auf beide Verben (vgl. Luther).</w:t>
      </w:r>
    </w:p>
  </w:footnote>
  <w:footnote w:id="406">
    <w:p>
      <w:pPr>
        <w:pStyle w:val="Funote"/>
        <w:rPr/>
      </w:pPr>
      <w:r>
        <w:rPr/>
        <w:footnoteRef/>
        <w:tab/>
        <w:t>Von einer allgemeinen, zu jeder Zeit vorstellbaren Beschreibung wechselt der Psalmist nun zu einer konkreten Beschreibung von JHWHs Handeln („dann“). Die Handlung entfaltet sich vor den Augen des Erzählers (Waltke 2010, S. 158; NET Ps 2,4, Fußnote 15). Im Gegensatz dazu interpretiert Kraus 1960 das Folgende als zukünftige Rede (S. 12; Übers. „Einst redet er sie an...“), die folgenden Verse sind dann dem nachgeschobene Erklärung.</w:t>
      </w:r>
    </w:p>
  </w:footnote>
  <w:footnote w:id="407">
    <w:p>
      <w:pPr>
        <w:pStyle w:val="Funote"/>
        <w:rPr/>
      </w:pPr>
      <w:r>
        <w:rPr/>
        <w:footnoteRef/>
        <w:tab/>
        <w:t>Dieses Wort kommt gewöhnlich in Verbindung mit dem vorhergehenden Wort „Zorn“ (</w:t>
      </w:r>
      <w:r>
        <w:rPr>
          <w:rtl w:val="true"/>
          <w:lang w:bidi="he-IL"/>
        </w:rPr>
        <w:t>אַף</w:t>
      </w:r>
      <w:r>
        <w:rPr/>
        <w:t>) vor und bezeichnet dann „das Brennen/die Heftigkeit seines Zornes“. Hier wird diese gewohnte Verbindung durch den Parallelismus (als Stilmittel) bewusst aufgebrochen (Waltke 2010, S. 158). Die beiden Begriffe sind hier referenzidentisch.</w:t>
      </w:r>
    </w:p>
  </w:footnote>
  <w:footnote w:id="408">
    <w:p>
      <w:pPr>
        <w:pStyle w:val="Funote"/>
        <w:rPr/>
      </w:pPr>
      <w:r>
        <w:rPr/>
        <w:footnoteRef/>
        <w:tab/>
        <w:t>Das Waw markiert hier die lose Anknüpfung der direkten Rede an vorher (nicht) Gesagtes und bleibt unübersetzt (Gesenius-Kautzsch §154b) - so ähnlich, wie man auch im Deutschen in Erregung einen Satz mit »und« beginnt. Alternativ ist es adversativ zu verstehen; dann »aber« (Davidson, Hebrew Syntax, §155); es ist aber kein wirklicher Gegensatz vorhanden.</w:t>
      </w:r>
    </w:p>
  </w:footnote>
  <w:footnote w:id="409">
    <w:p>
      <w:pPr>
        <w:pStyle w:val="Funote"/>
        <w:rPr/>
      </w:pPr>
      <w:r>
        <w:rPr/>
        <w:footnoteRef/>
        <w:tab/>
        <w:t>Zion ist ein poetischer Name für Jerusalem, den Sitz des Königs. Wörtlich »dem Berg meiner Heiligkeit«. Der Genitiv beschreibt eine Eigenschaft; aufgrund dessen wird die Constructus-Verbindung zu einer einzigen grammatischen Einheit zusammengezogen. Das Pronominal-Suffix rutscht nur aufgrund dieser Tatsache an ihr Ende zu »Heiligkeit«, gehört semantisch aber zu »Berg« (Gesenius/Kautzsch, §135n, 128o; Davidson, Hebrew Syntax, §24.2).</w:t>
      </w:r>
    </w:p>
  </w:footnote>
  <w:footnote w:id="410">
    <w:p>
      <w:pPr>
        <w:pStyle w:val="Funote"/>
        <w:rPr/>
      </w:pPr>
      <w:r>
        <w:rPr/>
        <w:footnoteRef/>
        <w:tab/>
        <w:t>LXX: »ich wurde von ihm ... eingesetzt«, das begradigt den unmarkierten Wechsel der sprechenden Person in 6-7. Waltke (2010, S. 158) interpretiert als Vollzugsperfekt: »Hiermit setze ich ein«</w:t>
      </w:r>
    </w:p>
  </w:footnote>
  <w:footnote w:id="411">
    <w:p>
      <w:pPr>
        <w:pStyle w:val="Funote"/>
        <w:rPr/>
      </w:pPr>
      <w:r>
        <w:rPr/>
        <w:footnoteRef/>
        <w:tab/>
        <w:t>Jetzt (7-9) spricht der Gesalbte JHWHs (V. 2).</w:t>
      </w:r>
    </w:p>
  </w:footnote>
  <w:footnote w:id="412">
    <w:p>
      <w:pPr>
        <w:pStyle w:val="Funote"/>
        <w:rPr/>
      </w:pPr>
      <w:r>
        <w:rPr/>
        <w:footnoteRef/>
        <w:tab/>
        <w:t>Die Deutung dieser ungewöhnlich verwendeten Präposition ist schwierig. Die meisten Übersetzungen lassen sie wie die LXX weg (mit Bezug auf die Valenz des Verbs?). Sie drückt besondere Förmlichkeitbezieht aus (Waltke 2010, S. 170) und bezeichnet entweder die Wiedergabe gemäß der Quelle oder ein Teilzitat. Andere Verständnismöglichkeiten: „berichten über, bekannt machen bezüglich, erzählen von“.</w:t>
      </w:r>
    </w:p>
  </w:footnote>
  <w:footnote w:id="413">
    <w:p>
      <w:pPr>
        <w:pStyle w:val="Funote"/>
        <w:rPr/>
      </w:pPr>
      <w:r>
        <w:rPr/>
        <w:footnoteRef/>
        <w:tab/>
        <w:t>Der Begriff entstammt dem sakralen Königsrecht (Kraus 1960, S. 18) und bezieht sich hier auf einen bestimmten Abschnitt des Davidbundes, nämlich Gottes Zusage, Vater des davidischen Königs zu sein und ihn als Sohn zu betrachten (2. Sam 7,14). Das wird in 7b klar. Vielleicht zitiert der König dabei ein daran angelehntes Krönungsprotokoll (Kraus 1960, S. 18, Wallace 2009, S. 17).</w:t>
      </w:r>
    </w:p>
  </w:footnote>
  <w:footnote w:id="414">
    <w:p>
      <w:pPr>
        <w:pStyle w:val="Funote"/>
        <w:rPr/>
      </w:pPr>
      <w:r>
        <w:rPr/>
        <w:footnoteRef/>
        <w:tab/>
        <w:t>Nach den masoretischen Kantillationszeichen, die keine Constructus-Verbindung zwischen „Anordnung“ und „JHWH“ sehen: „...Anordnung berichten. JHWH hat...“ (vgl. Waltke 2010, S. 159; NET Ps 2,7, Fußnote 23)</w:t>
      </w:r>
    </w:p>
  </w:footnote>
  <w:footnote w:id="415">
    <w:p>
      <w:pPr>
        <w:pStyle w:val="Funote"/>
        <w:rPr/>
      </w:pPr>
      <w:r>
        <w:rPr/>
        <w:footnoteRef/>
        <w:tab/>
        <w:t>Das ist zu verstehen i.S.v. »ich bin dein Vater geworden«. Der König wurde gemäß Gottes Zusage (2. Sam 7,14) als Teil des Davidbundes von ihm formal als Sohn angenommen. Der Brauch spiegelt sich in altvorderorientalischen Sitten wieder, wonach Herren einen treuen Untertanen formal adoptieren und so auf die Stufe eines leiblichen Kindes erheben konnten (NET Ps 2,7, Fußnote 23). Auch andere Könige wurden als Gottessöhne betrachtet, etwa der ägyptische (der den Göttern aber gleichwertig war) oder der assyrische (der eher göttlich bestellter und bevollmächtigter Diener war; Kraus 1960, S. 18f.). Doch der dort vorhandene Zeugungsmythos entspricht hier lediglich der Adoption (Terrien 2003, S. 85; Kraus 1960, S. 19f.). S.a. Biberger, Sohn/Tochter (AT), 4.2.3 Ps 2,7 (Wibilex). Waltke 2010 Waltke (2010, S. 159) interpretiert als präsentisch zu übersetzendes Vollzugsperfekt.</w:t>
      </w:r>
    </w:p>
  </w:footnote>
  <w:footnote w:id="416">
    <w:p>
      <w:pPr>
        <w:pStyle w:val="Funote"/>
        <w:rPr/>
      </w:pPr>
      <w:r>
        <w:rPr/>
        <w:footnoteRef/>
        <w:tab/>
        <w:t>Eine Bitte passt besser in das dargestellte vertrauensvolle Verhältnis als eine Forderung.</w:t>
      </w:r>
    </w:p>
  </w:footnote>
  <w:footnote w:id="417">
    <w:p>
      <w:pPr>
        <w:pStyle w:val="Funote"/>
        <w:rPr/>
      </w:pPr>
      <w:r>
        <w:rPr/>
        <w:footnoteRef/>
        <w:tab/>
        <w:t xml:space="preserve">D.h. Permanenter, erblicher Besitz (TWOT 1342a </w:t>
      </w:r>
      <w:r>
        <w:rPr>
          <w:rtl w:val="true"/>
          <w:lang w:bidi="he-IL"/>
        </w:rPr>
        <w:t>נַחֲלָה</w:t>
      </w:r>
      <w:r>
        <w:rPr/>
        <w:t>).</w:t>
      </w:r>
    </w:p>
  </w:footnote>
  <w:footnote w:id="418">
    <w:p>
      <w:pPr>
        <w:pStyle w:val="Funote"/>
        <w:rPr/>
      </w:pPr>
      <w:r>
        <w:rPr/>
        <w:footnoteRef/>
        <w:tab/>
        <w:t>Es bleibt hier unklar, ob es sich um eine Prophezeiung oder um die Vollmacht zur Kriegführung handelt (Vgl. Wallace 2009, S. 18).</w:t>
      </w:r>
    </w:p>
  </w:footnote>
  <w:footnote w:id="419">
    <w:p>
      <w:pPr>
        <w:pStyle w:val="Funote"/>
        <w:rPr/>
      </w:pPr>
      <w:r>
        <w:rPr/>
        <w:footnoteRef/>
        <w:tab/>
        <w:t>Kann auch einen Hirtenstab bezeichnen. Der Genitiv beschreibt eine Eigenschaft; wörtlich »Stab des Eisens«. Vgl. Fußnote V. 6.</w:t>
      </w:r>
    </w:p>
  </w:footnote>
  <w:footnote w:id="420">
    <w:p>
      <w:pPr>
        <w:pStyle w:val="Funote"/>
        <w:rPr/>
      </w:pPr>
      <w:r>
        <w:rPr/>
        <w:footnoteRef/>
        <w:tab/>
        <w:t>So die LXX (vgl. NIV84), die durchaus die ursprüngliche Lesart bezeugen könnte (Vgl. Wilhelmi, Der Hirt mit dem eisernen Szepter, VT 27.2, 1977). Gründe für den Vorzug des MT bei Waltke 2010, S. 173.</w:t>
      </w:r>
    </w:p>
  </w:footnote>
  <w:footnote w:id="421">
    <w:p>
      <w:pPr>
        <w:pStyle w:val="Funote"/>
        <w:rPr/>
      </w:pPr>
      <w:r>
        <w:rPr/>
        <w:footnoteRef/>
        <w:tab/>
        <w:t>Wörtlich: »Gefäß(e) eines Töpfers«</w:t>
      </w:r>
    </w:p>
  </w:footnote>
  <w:footnote w:id="422">
    <w:p>
      <w:pPr>
        <w:pStyle w:val="Funote"/>
        <w:rPr/>
      </w:pPr>
      <w:r>
        <w:rPr/>
        <w:footnoteRef/>
        <w:tab/>
        <w:t xml:space="preserve">Die Crux interpretum in 11b.12a scheint auf den ersten Blick zu bedeuten: „Jauchzt mit Zittern / Küsst den Sohn“, was offensichtlich keinen Sinn ergibt. Daher sind verschiedene Lösungsvorschläge gemacht worden: * 11b.12a: Häufig wird der Text nach einem Vorschlag von Bertholet 1908 von </w:t>
      </w:r>
      <w:r>
        <w:rPr>
          <w:rtl w:val="true"/>
          <w:lang w:bidi="he-IL"/>
        </w:rPr>
        <w:t>וגילו ברעדה נשקו בר</w:t>
      </w:r>
      <w:r>
        <w:rPr/>
        <w:t xml:space="preserve"> </w:t>
      </w:r>
      <w:r>
        <w:rPr/>
        <w:t xml:space="preserve">Jauchzt mit Zittern / Küsst den Sohn nach </w:t>
      </w:r>
      <w:r>
        <w:rPr>
          <w:rtl w:val="true"/>
          <w:lang w:bidi="he-IL"/>
        </w:rPr>
        <w:t>ונשקו ברגליו ברעדה</w:t>
      </w:r>
      <w:r>
        <w:rPr/>
        <w:t xml:space="preserve"> </w:t>
      </w:r>
      <w:r>
        <w:rPr/>
        <w:t xml:space="preserve">Küsst seine Füße mit Zittern emendiert. Solche Emendierungen sind aber nur Notlösungen, vorzuziehen ist daher: * 11b: </w:t>
      </w:r>
      <w:r>
        <w:rPr>
          <w:rtl w:val="true"/>
          <w:lang w:bidi="he-IL"/>
        </w:rPr>
        <w:t>גיל</w:t>
      </w:r>
      <w:r>
        <w:rPr/>
        <w:t xml:space="preserve"> </w:t>
      </w:r>
      <w:r>
        <w:rPr/>
        <w:t xml:space="preserve">jauchzen wird abweichend verstanden, nämlich als ** „heulen, sich fürchten“: </w:t>
      </w:r>
      <w:r>
        <w:rPr>
          <w:rtl w:val="true"/>
          <w:lang w:bidi="he-IL"/>
        </w:rPr>
        <w:t>גיל</w:t>
      </w:r>
      <w:r>
        <w:rPr/>
        <w:t xml:space="preserve"> </w:t>
      </w:r>
      <w:r>
        <w:rPr/>
        <w:t xml:space="preserve">dient nicht nur als Ausdruck der Euphorie, sondern auch im Gegenteil als Ausdruck des Entsetzens (vgl. KBL3 zu Hos 10,5: „kreischen, heulen“; DCH zu Hos 10,5 und unserer Stelle: „sich fürchten“). Ebenso schon Saadja („Fürchtet ihn mit Zittern!“ (Üs. nach Margulies 1884, S. 4)) und Ben Eli (vgl. Eissler 2002, S. 103); so auch wir. ** „umkehren“: Von der Bedeutung in KBL3 geht auch die NET aus: Sie deutet das Wort als „klagt“ und biegt von dort die Wortbedeutung weiter um zum wesentlich kontextgemäßeren „kehrt um“. Dieser Umweg über „klagt“ ist aber wohl gar nicht nötig: Unter anderem hängt </w:t>
      </w:r>
      <w:r>
        <w:rPr>
          <w:rtl w:val="true"/>
          <w:lang w:bidi="he-IL"/>
        </w:rPr>
        <w:t>גיל</w:t>
      </w:r>
      <w:r>
        <w:rPr/>
        <w:t xml:space="preserve"> </w:t>
      </w:r>
      <w:r>
        <w:rPr/>
        <w:t xml:space="preserve">zusammen mit dem arabischen &amp;#x11F;wl „sich drehen“, was daher z.B. Kön und Ges18 als Grundbedeutung des Wortes annehmen; vgl. ad loc. auch Levesque 1900, S. 89. Daraus ließe sich ein „umkehren“ durchaus ableiten. ** „Zittern“: Außerdem hängt </w:t>
      </w:r>
      <w:r>
        <w:rPr>
          <w:rtl w:val="true"/>
          <w:lang w:bidi="he-IL"/>
        </w:rPr>
        <w:t>גיל</w:t>
      </w:r>
      <w:r>
        <w:rPr/>
        <w:t xml:space="preserve"> </w:t>
      </w:r>
      <w:r>
        <w:rPr/>
        <w:t xml:space="preserve">zusammen mit dem ugaritischen gwl / gjl, das auch für das „Zittern“ z.B. der Zähne (also für Zähneklappern) stehen kann; vgl. Halayka 2008, S. 140. Mit „zittern“ übertragen denn auch in Hos 10,5 SLT2000, MEN, H-R, TAF, LUT1912, TEXT, FREE, van Ess u.a; BDB schlägt es zudem für unsere Stelle vor. * 12a: Für V. 12 hat kürzlich Sabottka 2006, S. 98 eine simple Lösung ohne Emendierungen vorgelegt: Er versteht das Wort </w:t>
      </w:r>
      <w:r>
        <w:rPr>
          <w:rtl w:val="true"/>
          <w:lang w:bidi="he-IL"/>
        </w:rPr>
        <w:t>נַשְקוּ</w:t>
      </w:r>
      <w:r>
        <w:rPr/>
        <w:t xml:space="preserve"> </w:t>
      </w:r>
      <w:r>
        <w:rPr/>
        <w:t xml:space="preserve">nach der Bedeutung </w:t>
      </w:r>
      <w:r>
        <w:rPr>
          <w:rtl w:val="true"/>
          <w:lang w:bidi="he-IL"/>
        </w:rPr>
        <w:t>נשק</w:t>
      </w:r>
      <w:r>
        <w:rPr/>
        <w:t xml:space="preserve"> </w:t>
      </w:r>
      <w:r>
        <w:rPr/>
        <w:t xml:space="preserve">II „sich wappnen“ (vgl. KBL3, S. 690); interpretiert das Piel als privatives Piel und übersetzt: „Rüstet ab!“. Weiterhin </w:t>
      </w:r>
      <w:r>
        <w:rPr>
          <w:rtl w:val="true"/>
          <w:lang w:bidi="he-IL"/>
        </w:rPr>
        <w:t>בַר</w:t>
      </w:r>
      <w:r>
        <w:rPr/>
        <w:t xml:space="preserve"> </w:t>
      </w:r>
      <w:r>
        <w:rPr/>
        <w:t xml:space="preserve">interpretiert er nach der Bedeutung </w:t>
      </w:r>
      <w:r>
        <w:rPr>
          <w:rtl w:val="true"/>
          <w:lang w:bidi="he-IL"/>
        </w:rPr>
        <w:t>בַר</w:t>
      </w:r>
      <w:r>
        <w:rPr/>
        <w:t xml:space="preserve"> </w:t>
      </w:r>
      <w:r>
        <w:rPr/>
        <w:t>II „rein, lauter“ (vgl. KBL3, S. 146; so auch Hieronymus, Iuxta Hebraicum; Davidson 1888, S. 158; B-R) - was ohnehin naheliegt, da hier in V. 12 ein anderes Wort für „Sohn“ verwendet würde als in V. 7 - und kommt so zu der sehr sinnvollen Übersetzung „Rüstet lauter ab!“. Fast ebenso schon Raschi („Rüstet euch mit Reinheit“) und Saadja („Waffnet euch mit Reinheit“ (Üs. nach Margulies 1884, S. 4)).</w:t>
      </w:r>
    </w:p>
  </w:footnote>
  <w:footnote w:id="423">
    <w:p>
      <w:pPr>
        <w:pStyle w:val="Funote"/>
        <w:rPr/>
      </w:pPr>
      <w:r>
        <w:rPr/>
        <w:footnoteRef/>
        <w:tab/>
        <w:t>Gemeint ist keine Straße, sondern der im übertragenen Sinn eingeschlagene Weg, JHWH zu gehorchen – oder auch nicht (vgl. NET Ps 2,12, Fußnote 36; Anm. zu Ps 67,3).</w:t>
      </w:r>
    </w:p>
  </w:footnote>
  <w:footnote w:id="424">
    <w:p>
      <w:pPr>
        <w:pStyle w:val="Funote"/>
        <w:rPr/>
      </w:pPr>
      <w:r>
        <w:rPr/>
        <w:footnoteRef/>
        <w:tab/>
        <w:t>[Status: Zuverlässig]</w:t>
      </w:r>
    </w:p>
  </w:footnote>
  <w:footnote w:id="425">
    <w:p>
      <w:pPr>
        <w:pStyle w:val="Funote"/>
        <w:rPr/>
      </w:pPr>
      <w:r>
        <w:rPr/>
        <w:footnoteRef/>
        <w:tab/>
        <w:t>Während er floh vor Absalom, seinem Sohn - Die Begebenheit, auf die hier angespielt wird, wird berichtet in 2 Sam 16.</w:t>
      </w:r>
    </w:p>
  </w:footnote>
  <w:footnote w:id="426">
    <w:p>
      <w:pPr>
        <w:pStyle w:val="Funote"/>
        <w:rPr/>
      </w:pPr>
      <w:r>
        <w:rPr/>
        <w:footnoteRef/>
        <w:tab/>
        <w:t>tFN: [Wie] - Brachylogie aus V. 2a (so z.B. Craigie 1983; Dahood 1965, S. 15; Ehrlich 1905, S. 5; Kissane 1953, S. 10; Kselman 1987, S. 574; auch GRAIL; MÜN).</w:t>
      </w:r>
    </w:p>
  </w:footnote>
  <w:footnote w:id="427">
    <w:p>
      <w:pPr>
        <w:pStyle w:val="Funote"/>
        <w:rPr/>
      </w:pPr>
      <w:r>
        <w:rPr/>
        <w:footnoteRef/>
        <w:tab/>
        <w:t>meine Gegner (die, die sich gegen mich erheben) - Der verwendete Begriff ist ein stehender Ausdruck für „Gegner“ (vgl. KBL3, S. 1016 und s. Ex 15,7; Dtn 28,7; 2 Sam 18,31; Ps 44,6). W. bedeutet er „die sich gegen mich erhebenden“, so deshalb wohl etwas zu wörtlich viele Üss.</w:t>
      </w:r>
    </w:p>
  </w:footnote>
  <w:footnote w:id="428">
    <w:p>
      <w:pPr>
        <w:pStyle w:val="Funote"/>
        <w:rPr/>
      </w:pPr>
      <w:r>
        <w:rPr/>
        <w:footnoteRef/>
        <w:tab/>
        <w:t>über meine Seele (über mich) - Heb. nephesch. Die häufige Übersetzung „Seele“ ist fast nie zu empfehlen, weil es im heb. Menschenbild einen Gegensatz von Körper und Seele so nicht gab; nephesch meint hier wie meist den ganzen Menschen und wird daher hier wie häufig als Wechselbegriff für „Ich“ verwendet.</w:t>
      </w:r>
    </w:p>
  </w:footnote>
  <w:footnote w:id="429">
    <w:p>
      <w:pPr>
        <w:pStyle w:val="Funote"/>
        <w:rPr/>
      </w:pPr>
      <w:r>
        <w:rPr/>
        <w:footnoteRef/>
        <w:tab/>
        <w:t>Rettung (Hilfe, Sieg) - I.d.R. übersetzt mit dem etwas blassen »Hilfe«. Der Psalm stellt aber den Beter ganz deutlich als von Feinden bedrängt dar; kontextuell angemessener ist daher »Rettung«. So gut auch Alter 2007, MÜN u.a. Die ebenfalls häufiger Übersetzung mit »Heil« oder gar »Erlösung« ist kontextuell unpassend.</w:t>
      </w:r>
    </w:p>
  </w:footnote>
  <w:footnote w:id="430">
    <w:p>
      <w:pPr>
        <w:pStyle w:val="Funote"/>
        <w:rPr/>
      </w:pPr>
      <w:r>
        <w:rPr/>
        <w:footnoteRef/>
        <w:tab/>
        <w:t xml:space="preserve">tFN: Das Suffix </w:t>
      </w:r>
      <w:r>
        <w:rPr>
          <w:rtl w:val="true"/>
          <w:lang w:bidi="he-IL"/>
        </w:rPr>
        <w:t>תְה</w:t>
      </w:r>
      <w:r>
        <w:rPr/>
        <w:t>- ist in der hebr. Poesie häufig bedeutungslos und dient nur der »poetischen Emphase«; vgl. GKC §90g; ad loc. auch Schmidt 1934, S. 6; Kraus 1961, S. 23.</w:t>
      </w:r>
    </w:p>
  </w:footnote>
  <w:footnote w:id="431">
    <w:p>
      <w:pPr>
        <w:pStyle w:val="Funote"/>
        <w:rPr/>
      </w:pPr>
      <w:r>
        <w:rPr/>
        <w:footnoteRef/>
        <w:tab/>
        <w:t xml:space="preserve">{Sela} - Die Bedeutung von „Sela“ ist unklar; vgl. Lexikon/Lemma </w:t>
      </w:r>
      <w:r>
        <w:rPr>
          <w:rtl w:val="true"/>
          <w:lang w:bidi="he-IL"/>
        </w:rPr>
        <w:t>סֶלַה</w:t>
      </w:r>
      <w:r>
        <w:rPr/>
        <w:t>. In der Lesefassung sollte es daher besser gestrichen werden, da es sonst nur ein unverständlicher Fremdkörper im dt. Text wäre.</w:t>
      </w:r>
    </w:p>
  </w:footnote>
  <w:footnote w:id="432">
    <w:p>
      <w:pPr>
        <w:pStyle w:val="Funote"/>
        <w:rPr/>
      </w:pPr>
      <w:r>
        <w:rPr/>
        <w:footnoteRef/>
        <w:tab/>
        <w:t>ein Schild um mich (bist Schutz für mich, schützt mich) - W. ein Schild um mich. Weil ein Schild aber ja nicht rundherum schützt (vgl. z.B. Gunkel 1968, S. 14: „Ein gewöhnlicher Schild deckt nur von einer, Jahve aber von allen Seiten.“), besser so: Schild wird in der heb. Poesie des Öfteren auch rein metaphorisch für „Schutz“ verwendet (vgl. z.B. Creach 1996, S. 29f.; KBL3, S. 517) und das Heb. ba`ad (meist: „um...herum“) kann auch nur die Relation des Schutz-für-jmdn-Seins angeben (vgl. z.B. KBL3, S. 135): „JHWH ist ein Schild um mich“ = „JHWH ist Schutz für mich“. Der Sinn der beiden Teilverse ist daher: Viele sagen, es gäbe keine Rettung für den Beter von Gott - aber Gott schützt ihn eben doch.</w:t>
      </w:r>
    </w:p>
  </w:footnote>
  <w:footnote w:id="433">
    <w:p>
      <w:pPr>
        <w:pStyle w:val="Funote"/>
        <w:rPr/>
      </w:pPr>
      <w:r>
        <w:rPr/>
        <w:footnoteRef/>
        <w:tab/>
        <w:t xml:space="preserve">mein Mächtiger (mein Herrlicher, mein Ansehen, meine Herrlichkeit) - W. auf den ersten Blick „meine Herrlichkeit“. Das macht aber nicht viel Sinn (=&gt; *Max ist Moritz' Herrlichkeit). Sinnvoller daher folgende Deutung: (1) kabod („Herrlichkeit“) ist hier wie öfter eine Bezeichnung für Gott, den „Herrlichen“, so dass alle drei aufeinanderfolgenden Aussagen Bezeichnungen für Gott enthalten: „mein Schild/Schutz“, „mein Herrlicher“, „der, der meinen Kopf erhebt“ (so z.B. Christensen 2005.3, S. 1; Dahood 1965, S. 15; Krašovec 1984, S. 60). (2) Brettler weist darauf hin, dass dies kabod im Heb. auch häufig eine Qualität eines Kriegers bezeichne - „Thus, </w:t>
      </w:r>
      <w:r>
        <w:rPr>
          <w:rtl w:val="true"/>
          <w:lang w:bidi="he-IL"/>
        </w:rPr>
        <w:t>כבוד</w:t>
      </w:r>
      <w:r>
        <w:rPr/>
        <w:t xml:space="preserve"> </w:t>
      </w:r>
      <w:r>
        <w:rPr/>
        <w:t>should probably be translated with a word from the semantic field of strength, possible as »power«.“ (Brettler 1993, S. 140). Beide Aspekte kombiniert ergibt „mein Mächtiger“.</w:t>
      </w:r>
    </w:p>
  </w:footnote>
  <w:footnote w:id="434">
    <w:p>
      <w:pPr>
        <w:pStyle w:val="Funote"/>
        <w:rPr/>
      </w:pPr>
      <w:r>
        <w:rPr/>
        <w:footnoteRef/>
        <w:tab/>
        <w:t>meinen Kopf (mich) erhebt (erhöht) - W.: „Der, der meinen Kopf erhöht“. „Mein Kopf“ ist im Heb. (ähnlich wie die „Seele“ in V. 3) ein Wechselbegriff für „Ich“ (vgl. z.B. Ryken 1998, S. 185.359f.; Schroer/Stäubli 2001, S. 83); „jmds Kopf erhöhen“ heißt daher hier „jemanden erhöhen“, „jemanden auszeichnen“ (vgl. KBL3, S. 1124).</w:t>
      </w:r>
    </w:p>
  </w:footnote>
  <w:footnote w:id="435">
    <w:p>
      <w:pPr>
        <w:pStyle w:val="Funote"/>
        <w:rPr/>
      </w:pPr>
      <w:r>
        <w:rPr/>
        <w:footnoteRef/>
        <w:tab/>
        <w:t>tFN: ich [mit] meiner Stimme - Oft analysiert als adverbialer Akkusativ der Art und Weise (vgl. z.B. Ex 24,3); was dann aber zwingen würde, entweder „laut“ zu ergänzen oder gar „Mit meiner Stimme“ als Ausdruck für „laut“ zu lesen; beides ist recht gezwungen. Andere Analysen: Innerer Akkusativ (Houston/Waltke 2010, S. 192: „Ich rufe meine Stimme“) oder doppeltes Subjekt (Baethgen 1892, S. 8; Duhm 1899, S. 12; Gunkel 1968, S. 14: „Meine Stimme [und] ich rufe[n]“); was aber ebenso gezwungen ist. Guten Sinn macht die Analyse als Accusativus instumenti (Ehrlich 1905, S. 5; Kraus 1961, S. 27: „Mit meiner Stimme rufe ich“); dies allerdings ergäbe eine merkwürdig redundante Konstruktion. Man wird sich wohl für die letzte Möglichkeit entscheiden müssen; letztendlich bleibt die Stelle aber etwas rätselhaft.</w:t>
      </w:r>
    </w:p>
  </w:footnote>
  <w:footnote w:id="436">
    <w:p>
      <w:pPr>
        <w:pStyle w:val="Funote"/>
        <w:rPr/>
      </w:pPr>
      <w:r>
        <w:rPr/>
        <w:footnoteRef/>
        <w:tab/>
        <w:t>antwortet - Das auf einen Flehruf folgende „Antworten“ Gottes steht in der Bibel fast ausnahmslos für eine Gebetserhörung; so auch hier.</w:t>
      </w:r>
    </w:p>
  </w:footnote>
  <w:footnote w:id="437">
    <w:p>
      <w:pPr>
        <w:pStyle w:val="Funote"/>
        <w:rPr/>
      </w:pPr>
      <w:r>
        <w:rPr/>
        <w:footnoteRef/>
        <w:tab/>
        <w:t xml:space="preserve">tFN: Die folgenden Verbtempora sind schwierig zu deuten: V. 5: Ich rufe (Yiqtol) - er antwortet (Wayyiqtol) - V. 6: Ich lege mich nieder (Qatal) - ich schlafe (ein) (Wayyiqtol) - Ich erwache (Qatal) - er hilft mir (Yiqtol). Von der Verbfolge Yiqtol - Wayyiqtol in V. 5 heißt es gelegentlich, dass in diesem Kontext Wayyiqtol auch die regelmäßige Folge eines regelmäßigen Geschehens angeben könne (vgl. z.B. GKC §111.4; zur Stelle z.B. auch Beyerlin 1970, S. 79; Kissane 1953, S. 11). Das ist wohl nicht so, deswegen sollte das Wayyiqtol </w:t>
      </w:r>
      <w:r>
        <w:rPr>
          <w:rtl w:val="true"/>
          <w:lang w:bidi="he-IL"/>
        </w:rPr>
        <w:t>וַיַּנֵנִי</w:t>
      </w:r>
      <w:r>
        <w:rPr/>
        <w:t xml:space="preserve"> </w:t>
      </w:r>
      <w:r>
        <w:rPr/>
        <w:t xml:space="preserve">besser mit Craigie, Gunkel, Kraus, Kselman, Zuber u.a. umpunktiert werden zum WeYiqtol </w:t>
      </w:r>
      <w:r>
        <w:rPr>
          <w:rtl w:val="true"/>
          <w:lang w:bidi="he-IL"/>
        </w:rPr>
        <w:t>וְיַּנֵנִי</w:t>
      </w:r>
      <w:r>
        <w:rPr/>
        <w:t xml:space="preserve"> </w:t>
      </w:r>
      <w:r>
        <w:rPr/>
        <w:t>(=&gt; Textkritik). V. 5 ist dann ein unmarkierter temporaler Nebensatz (=&gt;unmarkierter Nebensatz) mit zwei durch Waw apodoseos verknüpften iterativen Yiqtol-Verben: „Wann immer ich rufe antwortet er mir.“ V. 6 wird gerne gedeutet als Bericht über ein einmaliges vergangenes Geschehen: „Ich legte mich hin und schlief / ich erwachte wieder, denn JHWH hilft mir.“ Das wäre theoretisch möglich, aber dann wäre eigentlich zu erwarten, dass auch „erwachen“ im Wayyiqtol steht. Daher ist V. 6 besser zu deuten als unmarkierter Konditionalsatz (=&gt; unmarkierter Nebensatz): „Wenn ich mich hinlege und schlafe / erwache ich wieder: JHWH schützt mich (habituelles Yiqtol)“. Ein Weiteres: Im Hebräischen kann eine Handlung auch nach dem Muster von hinlegen und schlafen durch zwei Verben ausgedrückt werden, was häufig ausdrückt, dass mit einer Handlung begonnen wird. Zum Beispiel kann ein Mensch im Hebräischen „aufstehen und gehen“=„losgehen“; „anheben und sprechen“=„das Wort ergreifen“ etc. Entsprechend könnte man hier „sich hinlegen und schlafen“ auch nur als „einschlafen“ übersetzen.</w:t>
      </w:r>
    </w:p>
  </w:footnote>
  <w:footnote w:id="438">
    <w:p>
      <w:pPr>
        <w:pStyle w:val="Funote"/>
        <w:rPr/>
      </w:pPr>
      <w:r>
        <w:rPr/>
        <w:footnoteRef/>
        <w:tab/>
        <w:t>Mit dem heiligen Berg (dem Berg seiner Heiligkeit) ist der Jerusalemer Berg Zion gemeint, auf dem der Tempel Gottes erbaut war. Nach altheb. Vorstellung wohnte Gott (zumindest „teilweise“) in seinem Tempel auf dem Zion (s. näher z.B. Zion / Zionstheologie (WiBiLex)); ein Gebet musste daher zuerst zum Tempel in Zion dringen (s. z.B. Jon 2,8), um dann vom Tempel in Zion aus erhört werden zu können.</w:t>
      </w:r>
    </w:p>
  </w:footnote>
  <w:footnote w:id="439">
    <w:p>
      <w:pPr>
        <w:pStyle w:val="Funote"/>
        <w:rPr/>
      </w:pPr>
      <w:r>
        <w:rPr/>
        <w:footnoteRef/>
        <w:tab/>
        <w:t>tFN: [den] - Auch ohne Artikel determiniert durch Relativsatz.</w:t>
      </w:r>
    </w:p>
  </w:footnote>
  <w:footnote w:id="440">
    <w:p>
      <w:pPr>
        <w:pStyle w:val="Funote"/>
        <w:rPr/>
      </w:pPr>
      <w:r>
        <w:rPr/>
        <w:footnoteRef/>
        <w:tab/>
        <w:t xml:space="preserve">tFN: {Ja!,} - Emphatisches </w:t>
      </w:r>
      <w:r>
        <w:rPr>
          <w:rtl w:val="true"/>
          <w:lang w:bidi="he-IL"/>
        </w:rPr>
        <w:t>כִּי</w:t>
      </w:r>
      <w:r>
        <w:rPr/>
        <w:t>; in der LF besser auszusparen.</w:t>
      </w:r>
    </w:p>
  </w:footnote>
  <w:footnote w:id="441">
    <w:p>
      <w:pPr>
        <w:pStyle w:val="Funote"/>
        <w:rPr/>
      </w:pPr>
      <w:r>
        <w:rPr/>
        <w:footnoteRef/>
        <w:tab/>
        <w:t>tFN: Zerschlage - W. auf den ersten Blick „du zerschlägst/hast zerschlagen“, was aber dazu zwingen würde, zwischen der Äußerung von Vv. 8ab (der Bitte) und 8c (Der Erfüllung der Bitte) eine ganze Kriegshandlung vergehen lassen zu müssen (so aber dennoch z.B. Beyerlin 1970; Kraus 1961). Besser: Prekatives Qatal; das Qatal wird aus poetischen Gründen wie ein Imperativ verwendet (so z.B. Buttenwieser 1938, S. 397; Dahood 1965, S. 20; Houston/Waltke 2010, S. 193; Kselman 1987, S. 578).</w:t>
      </w:r>
    </w:p>
  </w:footnote>
  <w:footnote w:id="442">
    <w:p>
      <w:pPr>
        <w:pStyle w:val="Funote"/>
        <w:rPr/>
      </w:pPr>
      <w:r>
        <w:rPr/>
        <w:footnoteRef/>
        <w:tab/>
        <w:t>Zerschlage (Schlage auf) - Die Parallelität von 8c zu 8d zeigt, dass wir hier durchaus nicht an Backpfeifen und Ohrfeigen zu denken haben, wie das die Mehrzahl der Exegeten und Üss. will. Daher nicht: „Schlage meinen Feinden auf die Backe“, sondern „Zerschlage meinen Feinden den Kiefer“. Unter Umständen spielt der Psalmist mit diesem Ausdruck auf eine alte Rechtspraxis an: Im Alten Orient war v.a. für Vertragsbruch die Strafe verbreitet, dem Übeltäter die Zähne zu zerbrechen (vgl. Hackett/Huehnergard 1984).</w:t>
      </w:r>
    </w:p>
  </w:footnote>
  <w:footnote w:id="443">
    <w:p>
      <w:pPr>
        <w:pStyle w:val="Funote"/>
        <w:rPr/>
      </w:pPr>
      <w:r>
        <w:rPr/>
        <w:footnoteRef/>
        <w:tab/>
        <w:t>Bei JHWH ist Rettung - d.h.: „JHWH ist es, der rettet“ (ein sog. „Lamed der Zuständigkeit“: „Für die Rettung ist JHWH zuständig“).</w:t>
      </w:r>
    </w:p>
  </w:footnote>
  <w:footnote w:id="444">
    <w:p>
      <w:pPr>
        <w:pStyle w:val="Funote"/>
        <w:rPr/>
      </w:pPr>
      <w:r>
        <w:rPr/>
        <w:footnoteRef/>
        <w:tab/>
        <w:t>[Status: Zuverlässig]</w:t>
      </w:r>
    </w:p>
  </w:footnote>
  <w:footnote w:id="445">
    <w:p>
      <w:pPr>
        <w:pStyle w:val="Funote"/>
        <w:rPr/>
      </w:pPr>
      <w:r>
        <w:rPr/>
        <w:footnoteRef/>
        <w:tab/>
        <w:t>Chorleiter (Dirigenten, Singenden, Musizierenden) - Genaue Bedeutung unklar. Die gewählte Übersetzung ist mehr oder weniger Konvention, obwohl es nicht an alternativen Übersetzungsvorschlägen mangelt.</w:t>
      </w:r>
    </w:p>
  </w:footnote>
  <w:footnote w:id="446">
    <w:p>
      <w:pPr>
        <w:pStyle w:val="Funote"/>
        <w:rPr/>
      </w:pPr>
      <w:r>
        <w:rPr/>
        <w:footnoteRef/>
        <w:tab/>
        <w:t>Saitenspiel (Flötenspiel) - Bed. unklar. Auch die Übersetzung „Saitenspiel“ ist mehr oder weniger bloß Konvention; daneben gibt es z.B. die alternative Übersetzungstradition „Flötenspiel“; so z.B. Houston/Waltke 2010, S. 223f.; Kissane 1953, S. 13.</w:t>
      </w:r>
    </w:p>
  </w:footnote>
  <w:footnote w:id="447">
    <w:p>
      <w:pPr>
        <w:pStyle w:val="Funote"/>
        <w:rPr/>
      </w:pPr>
      <w:r>
        <w:rPr/>
        <w:footnoteRef/>
        <w:tab/>
        <w:t>antworte mir (erhöre mich) - Die Rede vom „Antworten“ Gottes meint in den Psalmen häufig dessen Gebetserhörungen; so auch hier.</w:t>
      </w:r>
    </w:p>
  </w:footnote>
  <w:footnote w:id="448">
    <w:p>
      <w:pPr>
        <w:pStyle w:val="Funote"/>
        <w:rPr/>
      </w:pPr>
      <w:r>
        <w:rPr/>
        <w:footnoteRef/>
        <w:tab/>
        <w:t>mein wahrer Gott (gerechter Gott, Gott meines Heils, Gott meiner Gerechtigkeit - der heb. Text lässt sich entweder als Genitiv des Effekts deuten, also etwa als „du Gott, der für mich Gerechtigkeit/Heil verursacht“, oder als attributiver Genitiv, also etwa „du mein gerechter/wahrer Gott“. Da Gott in V. 3 mit anderen Götzen kontrastiert wird, haben wir der Üs. „du wahrer Gott“ den Vorzug gegeben.</w:t>
      </w:r>
    </w:p>
  </w:footnote>
  <w:footnote w:id="449">
    <w:p>
      <w:pPr>
        <w:pStyle w:val="Funote"/>
        <w:rPr/>
      </w:pPr>
      <w:r>
        <w:rPr/>
        <w:footnoteRef/>
        <w:tab/>
        <w:t>tFN: schaff mir (hast geschaffen) - prekatives Qatal; so ad loc. auch Buttenwieser 1938; Craigie 1983; Ehrlich 1905; Eitan 1929, S. 25; Gerstenberger 1988; Goldingay 2006b; Houston/Waltke 2010; IBHS §30.5.4d.</w:t>
      </w:r>
    </w:p>
  </w:footnote>
  <w:footnote w:id="450">
    <w:p>
      <w:pPr>
        <w:pStyle w:val="Funote"/>
        <w:rPr/>
      </w:pPr>
      <w:r>
        <w:rPr/>
        <w:footnoteRef/>
        <w:tab/>
        <w:t>schaff mir Weite (hilf mir in meiner Not) - „Raum schaffen, weit machen, weiten“ ist hier sicher metaphorisch zu verstehen; vgl. z.B. Zorell 1928, S. 6: „Die Hebräer sahen Gefahr als »Enge« und die Befreiung von der Gefahr als »Erweiterung«, »Zugeständnis von weiten Räumen« an.“ Die einzige wirkliche weitere Belegstelle, die man hierfür heranziehen kann, ist Ps 25,17; aber die Parallele ist so nah und die Stoßrichtung der beiden Verse so klar, dass dies in der Tat die zu wählende Übersetzung sein sollte. So auch ALB; CSB; ESV; GNT; GW; HER; HNV; Houston/Waltke 2010, S. 223; Kissane 1953, S. 13; LEB; NAS; NCV; NGÜ; NIV; NKJV; Ross 2011, S. 229; TNIV; van Ess; WEB.</w:t>
      </w:r>
    </w:p>
  </w:footnote>
  <w:footnote w:id="451">
    <w:p>
      <w:pPr>
        <w:pStyle w:val="Funote"/>
        <w:rPr/>
      </w:pPr>
      <w:r>
        <w:rPr/>
        <w:footnoteRef/>
        <w:tab/>
        <w:t>höre(n) (erhöre(n)) - Das „Hören“ Gottes meint in den Psalmen oft ebenso wie sein „Antworten“ Gebetserhörungen; zumal in Kombination mit dem Begriff tefillah („Flehen, Bitten, Gebet“) wie in V. 2; vgl. z.B. Schökel 1980, S. 41.</w:t>
      </w:r>
    </w:p>
  </w:footnote>
  <w:footnote w:id="452">
    <w:p>
      <w:pPr>
        <w:pStyle w:val="Funote"/>
        <w:rPr/>
      </w:pPr>
      <w:r>
        <w:rPr/>
        <w:footnoteRef/>
        <w:tab/>
        <w:t>{Männer} - Heb. bene ´isch („Söhne von Männern“). Häufig heißt es, dies meine entsprechend dem babylonischen mâr awilim und im Unterschied zum heb. bene ´adam („Söhne von Menschen“) höhergestellte Personen (daher z.B. Bonkamp 1949: „Söhne der Vornehmen“; Dahood 1965: „O men of rank“), aber an der einzigen Stelle, an der bene ´isch vorkommt und evt. diese Konnotation haben kann ( Ps 49,3), stammt diese Konnotation aus dem Kontext. Da hier der Kontext nicht in diese Richtung weist - und ebensowenig in Ps 62,10; Klg 3,33 - besser allgemein „Leute!/Männer!“. Ein solcher eine Rede einleitende Vokativ ist im Deutschen aber unüblich, weshalb man es für die Lesefassung besser streichen sollte.</w:t>
      </w:r>
    </w:p>
  </w:footnote>
  <w:footnote w:id="453">
    <w:p>
      <w:pPr>
        <w:pStyle w:val="Funote"/>
        <w:rPr/>
      </w:pPr>
      <w:r>
        <w:rPr/>
        <w:footnoteRef/>
        <w:tab/>
        <w:t>Herrlicher (Gott, meine Ehre) - W. auf den ersten Blick „meine Herrlichkeit“; kabod („Herrlichkeit“) wird hier wohl wie oft appellativisch für JHWH verwendet, wohin z.B. die folgende Kontrastierung mit den „Lügen-gebilden und Nichtsen“ (=Götzen) in V. 3b weist. So z.B. Dahood 1965, S. 22; Goldingay 2006b, S. 171; NIV.</w:t>
      </w:r>
    </w:p>
  </w:footnote>
  <w:footnote w:id="454">
    <w:p>
      <w:pPr>
        <w:pStyle w:val="Funote"/>
        <w:rPr/>
      </w:pPr>
      <w:r>
        <w:rPr/>
        <w:footnoteRef/>
        <w:tab/>
        <w:t>geschmäht (zum Schimpf) - W. „zum Schimpf“, Lamed des Zustands; vgl. z.B. KBL3, S. 484. Die Bedeutung ist schlicht „Wie lange soll das noch so gehen, dass ihr meinen Gott schmäht?“.</w:t>
      </w:r>
    </w:p>
  </w:footnote>
  <w:footnote w:id="455">
    <w:p>
      <w:pPr>
        <w:pStyle w:val="Funote"/>
        <w:rPr/>
      </w:pPr>
      <w:r>
        <w:rPr/>
        <w:footnoteRef/>
        <w:tab/>
        <w:t>[Wie lange] - Brachylogie aus V. 3a; so auch Buttenwieser 1938; Craigie 1983; Dahood 1965; Deissler 1989; Goldingay 2006b; Kirkpatrick 1897; Ross 2011; Terrien 2003, S. 94.</w:t>
      </w:r>
    </w:p>
  </w:footnote>
  <w:footnote w:id="456">
    <w:p>
      <w:pPr>
        <w:pStyle w:val="Funote"/>
        <w:rPr/>
      </w:pPr>
      <w:r>
        <w:rPr/>
        <w:footnoteRef/>
        <w:tab/>
        <w:t>Nichtiges, Leeres und andere ähnliche Substantive werden in der Bibel häufiger dysphemistisch für Götzen verwendet; so auch hier; vgl. ad loc. Dahood 1965, S. 23f.; Terrien 2003, S. 97.</w:t>
      </w:r>
    </w:p>
  </w:footnote>
  <w:footnote w:id="457">
    <w:p>
      <w:pPr>
        <w:pStyle w:val="Funote"/>
        <w:rPr/>
      </w:pPr>
      <w:r>
        <w:rPr/>
        <w:footnoteRef/>
        <w:tab/>
        <w:t xml:space="preserve">{Sela} - Die Bedeutung von sela ist unklar; vgl. Lexikon/Lemma </w:t>
      </w:r>
      <w:r>
        <w:rPr>
          <w:rtl w:val="true"/>
          <w:lang w:bidi="he-IL"/>
        </w:rPr>
        <w:t>סֶלַה</w:t>
      </w:r>
      <w:r>
        <w:rPr/>
        <w:t>. In der Lesefassung sollte es daher besser gestrichen werden, da es sonst nur ein unverständlicher Fremdkörper im deutschen Text wäre.</w:t>
      </w:r>
    </w:p>
  </w:footnote>
  <w:footnote w:id="458">
    <w:p>
      <w:pPr>
        <w:pStyle w:val="Funote"/>
        <w:rPr/>
      </w:pPr>
      <w:r>
        <w:rPr/>
        <w:footnoteRef/>
        <w:tab/>
        <w:t xml:space="preserve">Textkritik: Der Vers gibt, wie er steht, im Kontext des Psalms nicht sonderlich viel Sinn: „JHWH hat sich einen Frommen ge-/unterschieden“. Häufig wird er daher emendiert: # nach LXX, Hier und vielen Handschriften wird </w:t>
      </w:r>
      <w:r>
        <w:rPr>
          <w:rtl w:val="true"/>
          <w:lang w:bidi="he-IL"/>
        </w:rPr>
        <w:t>הִפְלָה</w:t>
      </w:r>
      <w:r>
        <w:rPr/>
        <w:t xml:space="preserve"> „</w:t>
      </w:r>
      <w:r>
        <w:rPr/>
        <w:t xml:space="preserve">er hat geschieden“ emendiert zu </w:t>
      </w:r>
      <w:r>
        <w:rPr>
          <w:rtl w:val="true"/>
          <w:lang w:bidi="he-IL"/>
        </w:rPr>
        <w:t>הִפְלָא</w:t>
      </w:r>
      <w:r>
        <w:rPr/>
        <w:t xml:space="preserve"> „</w:t>
      </w:r>
      <w:r>
        <w:rPr/>
        <w:t xml:space="preserve">er hat Wunder vollbracht/wundervoll gehandelt“; so z.B. BB; Briggs 1906; Buttenwieser 1938; Deissler 1989; EÜ; GN; GRAIL; HER; Kissane 1953; Kittel 1914; LUT; PAT; TAF; Terrien 2003; van Ess; Weinrich; Zink; Zuber 1986. Dem ist zuzustimmen; die Verschreibung von vokalischem Alef als vokalischem He ist recht häufig. Dahood 1965, S. 23 denkt sogar, dass es sich bloß um eine alternative Schreibung handelt; evt. ebenso Davidson 1873, S. 72. # Entsprechend dem Vorschlag von BHS wird zusätzlich öfters auch </w:t>
      </w:r>
      <w:r>
        <w:rPr>
          <w:rtl w:val="true"/>
          <w:lang w:bidi="he-IL"/>
        </w:rPr>
        <w:t>חַסִיד לוֹ</w:t>
      </w:r>
      <w:r>
        <w:rPr/>
        <w:t xml:space="preserve"> „</w:t>
      </w:r>
      <w:r>
        <w:rPr/>
        <w:t xml:space="preserve">sein Frommer“ emendiert zu </w:t>
      </w:r>
      <w:r>
        <w:rPr>
          <w:rtl w:val="true"/>
          <w:lang w:bidi="he-IL"/>
        </w:rPr>
        <w:t>חַסְדּוֹ לִי</w:t>
      </w:r>
      <w:r>
        <w:rPr/>
        <w:t xml:space="preserve"> „</w:t>
      </w:r>
      <w:r>
        <w:rPr/>
        <w:t>mir seine Gnade“; so z.B. Buttenwieser 1938; Kittel 1914; Schmidt 1934. Das ist unnötig.</w:t>
      </w:r>
    </w:p>
  </w:footnote>
  <w:footnote w:id="459">
    <w:p>
      <w:pPr>
        <w:pStyle w:val="Funote"/>
        <w:rPr/>
      </w:pPr>
      <w:r>
        <w:rPr/>
        <w:footnoteRef/>
        <w:tab/>
        <w:t>den ihm Frommen (seinem Frommen) - Heb. lo („sein“/„den ihm“) lässt sich sowohl possessiv deuten („sein Frommer“) als auch „direktional“ als Angabe, wem die Frömmigkeit des Frommen gilt („der ihm Fromme“). Wg. dem Kontrast mit Götzenanbetern ist Letzteres vorzuziehen.</w:t>
      </w:r>
    </w:p>
  </w:footnote>
  <w:footnote w:id="460">
    <w:p>
      <w:pPr>
        <w:pStyle w:val="Funote"/>
        <w:rPr/>
      </w:pPr>
      <w:r>
        <w:rPr/>
        <w:footnoteRef/>
        <w:tab/>
        <w:t xml:space="preserve">Die Syntax und Semantik dieses Verses ist schwierig. Auf den ersten Blick scheint er zu bedeuten: „Zittert und sündigt nicht! / Sprecht mit euren Herzen in euren Betten und schweigt!“. - Weil die Imperative so schlecht zueinander passen, werden die einzelnen Glieder gerne um-interpretiert; z.B. „zittert“ als „zürnt“ (z.B. Delitzsch 1894; Kittel 1914; Schmidt 1934; Zorell 1928), was schlecht zum Kontext passt; „zittert“ als „seid voll Ehrfurcht“ (z.B. Buttenwieser 1938; Kirkpatrick 1897; Terrien 2003), was wohl nicht Bestandteil der Wortbedeutung ist; oder „schweigt“ als „heult“ (nach </w:t>
      </w:r>
      <w:r>
        <w:rPr>
          <w:rtl w:val="true"/>
          <w:lang w:bidi="he-IL"/>
        </w:rPr>
        <w:t>דמם</w:t>
      </w:r>
      <w:r>
        <w:rPr/>
        <w:t xml:space="preserve"> </w:t>
      </w:r>
      <w:r>
        <w:rPr/>
        <w:t>II, z.B. Dahood 1965; Kselman 1987b). Der Schlüssel zum richtigen Verständnis scheint zu sein, dass die beiden ersten Glieder der zwei Imperativketten („Seid erregt“ + „denkt nach“; s. nächste beide FNn) einen Gegensatz bilden und die beiden zweiten Glieder („sündigt nicht“ + „schweigt“) ähnliches thematisieren. Wir möchten daher folgende Lösung vorschlagen: Interpretiert man den jeweils ersten Imperativ der beiden Imperativketten als Pseudo-Imperativ, lässt sich die Sinnstruktur des Verses als hyperbatischer (=&gt; Hyperbaton) Merismus deuten; der Vers bedeutete dann etwa „Ob ihr erregt seid oder nachdenkt: Sündigt nicht und schweigt!“. V. 5 schließt sich damit eng an an V. 3a. Ähnlich schon R-S: „Wenn ihr euch keine Ruhe gönnet, dann sündiget doch nicht! Zerbrecht ihr euch den Kopf auf eurem Lager, dann schweiget wenigstens!“; NIRV: „When you are angry, do not sin. When you are in bed, look deep down inside you and be silent.“; NIV: „In your anger do not sin; when you are on your beds, search your hearts and be silent.“</w:t>
      </w:r>
    </w:p>
  </w:footnote>
  <w:footnote w:id="461">
    <w:p>
      <w:pPr>
        <w:pStyle w:val="Funote"/>
        <w:rPr/>
      </w:pPr>
      <w:r>
        <w:rPr/>
        <w:footnoteRef/>
        <w:tab/>
        <w:t>unruhig seid (seid unruhig!, Zittert!) - „Zittern“ steht häufig metonymisch für den Ausdruck eines starken Gefühls; um welches Gefühl es sich handelt, muss dabei aus dem Kontext erschlossen werden (vgl. ThWAT VII, S. 328). Indiz für die hierige Bedeutung ist der Gegensatz des Wortes zu „Geht in euch!“ (W.: „Sprecht mit euren Herzen“) im folgenden Sticho. Daher wohl am Besten „seid unruhig!“. Vgl. auch die letzte Fußnote.</w:t>
      </w:r>
    </w:p>
  </w:footnote>
  <w:footnote w:id="462">
    <w:p>
      <w:pPr>
        <w:pStyle w:val="Funote"/>
        <w:rPr/>
      </w:pPr>
      <w:r>
        <w:rPr/>
        <w:footnoteRef/>
        <w:tab/>
        <w:t>[Wenn ihr] in euren Betten in euren Herzen sprecht - Im Herzen sprechen = häufiger Ausdruck für „reflektieren“ (vgl. z.B. Kselman 1987b, S. 104). Mit dem „Reflektieren im Bett“ zitiert der Psalmist ein häufiges Motiv: Die Nachruhe wird in der Bibel noch öfter dargestellt als die charakteristische Zeit für das Nachdenken über Gott; s. z.B. Ijob 35,10; Ps 42,9; Ps 77,7; Ps 119,55; Ps 119,62; Jes 26,9 u.ö. (vgl. auch Booij 2008, S. 107).</w:t>
      </w:r>
    </w:p>
  </w:footnote>
  <w:footnote w:id="463">
    <w:p>
      <w:pPr>
        <w:pStyle w:val="Funote"/>
        <w:rPr/>
      </w:pPr>
      <w:r>
        <w:rPr/>
        <w:footnoteRef/>
        <w:tab/>
        <w:t>Opfer dem wahren [Gott] (Opfer der Gerechtigkeit, richtige Opfer) - Meist übersetzt als „Opfer der Gerechtigkeit“ oder „rechte Opfer“. Darüber, was das eigentlich sein soll, besteht keine Einigkeit in der Exegese. Besser daher: zsedeq ist zu verstehen als Appellativ für JHWH, wie er ja schon in V. 2 als der tsedeq Gott beannt wrude und die Entsprechungen von tsedeq im Arabischen, Phönizischen und Ugaritischen häufiger verwendet werden (vgl. KBL3, S. 943). W. dann „Opfer des Wahren“; das des Wahren ist dann als Genitiv des Zwecks zu verstehen (vgl. z.B. A-C §2.2.8): „Opfer für den Wahren“. Vgl. die parallelen Formulierungen „Opfer der Götter“=„Opfer für die Götter“ (z.B. Num 25,2; Ps 51,19) und „Opfer JHWHs“=„Opfer für JHWH“ (z.B. Zef 1,8).</w:t>
      </w:r>
    </w:p>
  </w:footnote>
  <w:footnote w:id="464">
    <w:p>
      <w:pPr>
        <w:pStyle w:val="Funote"/>
        <w:rPr/>
      </w:pPr>
      <w:r>
        <w:rPr/>
        <w:footnoteRef/>
        <w:tab/>
        <w:t>[Während] - Die Funktion von V. 7 ist wohl, einen Gegensatz mit V. 8f zu bilden: Auf der einen Seite stehen jene, die ihr Vertrauen in Gott verloren haben und daher auch kein Heil erfahren; auf der anderen der Psalmist, der in V. 9 seinem Vertrauen in Gott Ausdruck verleiht und dem folgerichtig Gott in V. 8 auch Heil zuteil werden lässt. In der LF sollte das besser durch ein „Während“ o.Ä. ausdrücklich gemacht werden.</w:t>
      </w:r>
    </w:p>
  </w:footnote>
  <w:footnote w:id="465">
    <w:p>
      <w:pPr>
        <w:pStyle w:val="Funote"/>
        <w:rPr/>
      </w:pPr>
      <w:r>
        <w:rPr/>
        <w:footnoteRef/>
        <w:tab/>
        <w:t>Lass uns Gutes erfahren! - Theoretisch möglich: Deutung der rhetorischen Frage als Wunschsatz; so z.B. Goldingay 2006b, S. 167; Warren-Rothlin 2007, S. 66; Dav §135; HKL III §354g</w:t>
      </w:r>
    </w:p>
  </w:footnote>
  <w:footnote w:id="466">
    <w:p>
      <w:pPr>
        <w:pStyle w:val="Funote"/>
        <w:rPr/>
      </w:pPr>
      <w:r>
        <w:rPr/>
        <w:footnoteRef/>
        <w:tab/>
        <w:t>[wo doch] - V. 7b soll offenbar das Motiv hinter dem mangelnden Vertrauen in Gott der »Vielen« in 7a nennen; übersetze daher »da...«, »wo doch...« o.Ä.</w:t>
      </w:r>
    </w:p>
  </w:footnote>
  <w:footnote w:id="467">
    <w:p>
      <w:pPr>
        <w:pStyle w:val="Funote"/>
        <w:rPr/>
      </w:pPr>
      <w:r>
        <w:rPr/>
        <w:footnoteRef/>
        <w:tab/>
        <w:t xml:space="preserve">Textkritik: </w:t>
      </w:r>
      <w:r>
        <w:rPr>
          <w:rtl w:val="true"/>
          <w:lang w:bidi="he-IL"/>
        </w:rPr>
        <w:t>נְסָה</w:t>
      </w:r>
      <w:r>
        <w:rPr/>
        <w:t xml:space="preserve"> </w:t>
      </w:r>
      <w:r>
        <w:rPr/>
        <w:t xml:space="preserve">muss emendiert werden. Meist wird es emendiert zu # </w:t>
      </w:r>
      <w:r>
        <w:rPr>
          <w:rtl w:val="true"/>
          <w:lang w:bidi="he-IL"/>
        </w:rPr>
        <w:t>נְשָה</w:t>
      </w:r>
      <w:r>
        <w:rPr/>
        <w:t xml:space="preserve"> </w:t>
      </w:r>
      <w:r>
        <w:rPr/>
        <w:t xml:space="preserve">erhebe! (so z.B. Duhm, Craigie, Houston/Waltke, Kittel, ...); vorzuziehen ist aber # entweder </w:t>
      </w:r>
      <w:r>
        <w:rPr>
          <w:rtl w:val="true"/>
          <w:lang w:bidi="he-IL"/>
        </w:rPr>
        <w:t>נַסָּה</w:t>
      </w:r>
      <w:r>
        <w:rPr/>
        <w:t xml:space="preserve"> </w:t>
      </w:r>
      <w:r>
        <w:rPr/>
        <w:t xml:space="preserve">oder </w:t>
      </w:r>
      <w:r>
        <w:rPr>
          <w:rtl w:val="true"/>
          <w:lang w:bidi="he-IL"/>
        </w:rPr>
        <w:t>נַסֵּה</w:t>
      </w:r>
      <w:r>
        <w:rPr/>
        <w:t xml:space="preserve"> </w:t>
      </w:r>
      <w:r>
        <w:rPr/>
        <w:t xml:space="preserve">erhebe! (von </w:t>
      </w:r>
      <w:r>
        <w:rPr>
          <w:rtl w:val="true"/>
          <w:lang w:bidi="he-IL"/>
        </w:rPr>
        <w:t>נסה</w:t>
      </w:r>
      <w:r>
        <w:rPr/>
        <w:t xml:space="preserve"> </w:t>
      </w:r>
      <w:r>
        <w:rPr/>
        <w:t xml:space="preserve">II, einer Nebenform von </w:t>
      </w:r>
      <w:r>
        <w:rPr>
          <w:rtl w:val="true"/>
          <w:lang w:bidi="he-IL"/>
        </w:rPr>
        <w:t>נשׁא</w:t>
      </w:r>
      <w:r>
        <w:rPr/>
        <w:t xml:space="preserve"> </w:t>
      </w:r>
      <w:r>
        <w:rPr/>
        <w:t xml:space="preserve">erheben - so Halévy 1894c, S. 216), # oder </w:t>
      </w:r>
      <w:r>
        <w:rPr>
          <w:rtl w:val="true"/>
          <w:lang w:bidi="he-IL"/>
        </w:rPr>
        <w:t>נָסָה</w:t>
      </w:r>
      <w:r>
        <w:rPr/>
        <w:t xml:space="preserve"> </w:t>
      </w:r>
      <w:r>
        <w:rPr/>
        <w:t xml:space="preserve">geflohen ist (so Dahood 1965, S. 26; Driver 1951, S. 247; Schökel 1980, S. 38), da dies den Konsonantenbestand nicht antastet (unsere Lösung). Andere Vorschläge: # </w:t>
      </w:r>
      <w:r>
        <w:rPr>
          <w:rtl w:val="true"/>
          <w:lang w:bidi="he-IL"/>
        </w:rPr>
        <w:t>נִשָּא</w:t>
      </w:r>
      <w:r>
        <w:rPr/>
        <w:t xml:space="preserve"> </w:t>
      </w:r>
      <w:r>
        <w:rPr/>
        <w:t xml:space="preserve">es schien (Kissane 1953, S. 14); # </w:t>
      </w:r>
      <w:r>
        <w:rPr>
          <w:rtl w:val="true"/>
          <w:lang w:bidi="he-IL"/>
        </w:rPr>
        <w:t>כִסָּה</w:t>
      </w:r>
      <w:r>
        <w:rPr/>
        <w:t xml:space="preserve"> </w:t>
      </w:r>
      <w:r>
        <w:rPr/>
        <w:t xml:space="preserve">er hat verhüllt (Schmidt 1934, S. 7); # </w:t>
      </w:r>
      <w:r>
        <w:rPr>
          <w:rtl w:val="true"/>
          <w:lang w:bidi="he-IL"/>
        </w:rPr>
        <w:t>נָסְעָה</w:t>
      </w:r>
      <w:r>
        <w:rPr/>
        <w:t xml:space="preserve"> </w:t>
      </w:r>
      <w:r>
        <w:rPr/>
        <w:t>gewichen ist (Kraus 1961, S. 31).</w:t>
      </w:r>
    </w:p>
  </w:footnote>
  <w:footnote w:id="468">
    <w:p>
      <w:pPr>
        <w:pStyle w:val="Funote"/>
        <w:rPr/>
      </w:pPr>
      <w:r>
        <w:rPr/>
        <w:footnoteRef/>
        <w:tab/>
        <w:t>tFN: von über - Zu dieser Bed. von `al vgl. z.B. Driver 1951, S. 247.</w:t>
      </w:r>
    </w:p>
  </w:footnote>
  <w:footnote w:id="469">
    <w:p>
      <w:pPr>
        <w:pStyle w:val="Funote"/>
        <w:rPr/>
      </w:pPr>
      <w:r>
        <w:rPr/>
        <w:footnoteRef/>
        <w:tab/>
        <w:t>Das »Licht des Angesichts« JHWHs ist eine häufige Metapher im AT. Sie geht wohl darauf zurück, dass man sich JHWH ursprünglich (auch) als einen Sonnengott vorstellte (vgl. DDD, S. 917f.; Gierlich 1940, S. 141; Taylor 1993, S. 233ff.). Wenn dieses »lichte Angesicht« Gottes auf jmdn. »herableuchtet«, bezeichnet dies den wohlwollenden Blick JHWHs, aus dem gute Wirkungen für den Angeblickten entspringen (vgl. z.B. Gierlich 1940, S. 141f.). Der Sinn des Verses ist damit: »Viele sagen: 'Wer tut uns Gutes - jetzt, wo du uns nicht mehr wohlgesonnen bist, oh JHWH!?«</w:t>
      </w:r>
    </w:p>
  </w:footnote>
  <w:footnote w:id="470">
    <w:p>
      <w:pPr>
        <w:pStyle w:val="Funote"/>
        <w:rPr/>
      </w:pPr>
      <w:r>
        <w:rPr/>
        <w:footnoteRef/>
        <w:tab/>
        <w:t>tFN: gib! - Einige interpretieren auch hier als prekatives Qatal.</w:t>
      </w:r>
    </w:p>
  </w:footnote>
  <w:footnote w:id="471">
    <w:p>
      <w:pPr>
        <w:pStyle w:val="Funote"/>
        <w:rPr/>
      </w:pPr>
      <w:r>
        <w:rPr/>
        <w:footnoteRef/>
        <w:tab/>
        <w:t>{mehr als} - heb. min kann sowohl komparativisch („mehr als zur Zeit“) als auch temporal verstanden werden. Da es sich hier an „Zeit“ anschließt, liegt eine andere Interpretation als die temporale ohnehin recht fern, und auch so will die komparativische keinen rechten Sinn ergeben: „mehr als zur Zeit“ würde eine verglichene Zeit erfordern; z.B. „[Heute] hast du mir mehr Freude bereitet als zur Zeit...“ Dennoch so viele Üss.</w:t>
      </w:r>
    </w:p>
  </w:footnote>
  <w:footnote w:id="472">
    <w:p>
      <w:pPr>
        <w:pStyle w:val="Funote"/>
        <w:rPr/>
      </w:pPr>
      <w:r>
        <w:rPr/>
        <w:footnoteRef/>
        <w:tab/>
        <w:t>tFN: {ihr} - Vermeintliche Personalpronomen verstanden als enklitische Mems (vgl. z.B. IBHS §9.8).</w:t>
      </w:r>
    </w:p>
  </w:footnote>
  <w:footnote w:id="473">
    <w:p>
      <w:pPr>
        <w:pStyle w:val="Funote"/>
        <w:rPr/>
      </w:pPr>
      <w:r>
        <w:rPr/>
        <w:footnoteRef/>
        <w:tab/>
        <w:t xml:space="preserve">sofort - Vgl. CDCH, S. 151: </w:t>
      </w:r>
      <w:r>
        <w:rPr>
          <w:rtl w:val="true"/>
          <w:lang w:bidi="he-IL"/>
        </w:rPr>
        <w:t>יַחְדָּו</w:t>
      </w:r>
      <w:r>
        <w:rPr/>
        <w:t>: „(almost) contemporaneous activity, modifying two verbs [...] I both lie down and sleep Ps 4,9.“</w:t>
      </w:r>
    </w:p>
  </w:footnote>
  <w:footnote w:id="474">
    <w:p>
      <w:pPr>
        <w:pStyle w:val="Funote"/>
        <w:rPr/>
      </w:pPr>
      <w:r>
        <w:rPr/>
        <w:footnoteRef/>
        <w:tab/>
        <w:t>Drei Interpretationen sind möglich: # „Du allein, JHWH, lässt mich in Sicherheit wohnen“ # „Du allein bist JHWH und lässt mich in Sicherheit wohnen“ # „Du, JHWH, lässt mich allein und in Sicherheit wohnen“. Die Kombination von „allein, abseits“ und „wohnen“ dient fast immer zum Ausdruck des Motivs des „abseits-Wohnens“, was - wie ja auch hier durch die Parallelität zu „sicher“ deutlich wird - häufig auch die Konnotation des sicheren Wohnens annimmt (vgl. z.B. Num 23,9; Dtn 33,28), daher ist Variante 3 vorzuziehen.</w:t>
      </w:r>
    </w:p>
  </w:footnote>
  <w:footnote w:id="475">
    <w:p>
      <w:pPr>
        <w:pStyle w:val="Funote"/>
        <w:rPr/>
      </w:pPr>
      <w:r>
        <w:rPr/>
        <w:footnoteRef/>
        <w:tab/>
        <w:t>JHWH</w:t>
      </w:r>
    </w:p>
  </w:footnote>
  <w:footnote w:id="476">
    <w:p>
      <w:pPr>
        <w:pStyle w:val="Funote"/>
        <w:rPr/>
      </w:pPr>
      <w:r>
        <w:rPr/>
        <w:footnoteRef/>
        <w:tab/>
        <w:t>[Status: Zuverlässig]</w:t>
      </w:r>
    </w:p>
  </w:footnote>
  <w:footnote w:id="477">
    <w:p>
      <w:pPr>
        <w:pStyle w:val="Funote"/>
        <w:rPr/>
      </w:pPr>
      <w:r>
        <w:rPr/>
        <w:footnoteRef/>
        <w:tab/>
        <w:t>Chorleiter (Dirigenten, Singenden, Musizierenden) - Genaue Bedeutung unklar; die gewählte Übersetzung ist mehr oder weniger Konvention, obwohl es nicht an alternativen Übersetzungsvorschlägen mangelt.</w:t>
      </w:r>
    </w:p>
  </w:footnote>
  <w:footnote w:id="478">
    <w:p>
      <w:pPr>
        <w:pStyle w:val="Funote"/>
        <w:rPr/>
      </w:pPr>
      <w:r>
        <w:rPr/>
        <w:footnoteRef/>
        <w:tab/>
        <w:t xml:space="preserve">Zu Flötenspiel (nach „das Erbe“) - Bed. unklar. Heute wird der Begriff i.d.R. so verstanden, dass es sich sich um eine Angabe zur musikalischen Begleitung des Psalms handle („zum Flötenspiel“; vgl. z.B. Ges18, S. 800f.). Früher dagegen war die Deutung verbreitet, den Ausdruck als Angabe einer gebräuchlichen Melodie zu sehen, nach der der Psalm zu singen sei („nach ‚das Erbe‘“; so fast alle alten Üss. (LXX, VUL, Aq, Sym); auch König 1927; Schmidt 1934; LUT1912; auch zwei alte Handschriften ändern den Text nach </w:t>
      </w:r>
      <w:r>
        <w:rPr>
          <w:rtl w:val="true"/>
          <w:lang w:bidi="he-IL"/>
        </w:rPr>
        <w:t>הנחלות</w:t>
      </w:r>
      <w:r>
        <w:rPr/>
        <w:t xml:space="preserve"> </w:t>
      </w:r>
      <w:r>
        <w:rPr/>
        <w:t>und deuten damit ebenso). Mit der Entscheidung für „zum Flötenspiel“ folgen wir der Mehrheitsmeinung.</w:t>
      </w:r>
    </w:p>
  </w:footnote>
  <w:footnote w:id="479">
    <w:p>
      <w:pPr>
        <w:pStyle w:val="Funote"/>
        <w:rPr/>
      </w:pPr>
      <w:r>
        <w:rPr/>
        <w:footnoteRef/>
        <w:tab/>
        <w:t>höre (erhöre mich) + achte auf (erhöre) + lausche auf (erhöre) - Drei Verben, die hier wie oft als Bitten um Gebetserhörungen verwendet werden. Gleichzeitig verdichten sie eine erbetene Steigerung der Aufmerksamkeit JHWHs auf das Beten des Psalmisten: V. 2a: „höre“ =&gt; V. 2b „achte auf“ =&gt; V. 3a „lausche (aufmerksam)“.</w:t>
      </w:r>
    </w:p>
  </w:footnote>
  <w:footnote w:id="480">
    <w:p>
      <w:pPr>
        <w:pStyle w:val="Funote"/>
        <w:rPr/>
      </w:pPr>
      <w:r>
        <w:rPr/>
        <w:footnoteRef/>
        <w:tab/>
        <w:t>Flehen (Grübeln, Murmeln) - Heb. hagigi; Bed. unklar. Der Kontext macht aber offensichtlich, dass es sich hier um einen Ausdruck für ein flehendes Gebet handelt. Und da sich in Vv. 2ab.3a bei den Verben eine Steigerung findet (s. Fußnote c) und auch bei den Substantiven „Geschrei“ in V. 3a stärker ist als „Stimme“ in V. 2a, macht es Sinn, anzunehmen, dass auch „Stimme“ =&gt; hagigi =&gt; „Geschrei“ eine Steigerung verdichten sollen und also hagigi irgendwo zwischen „Stimme“ und „Geschrei“ liegt, also etwa „Flehen“. Vv. 2.3a sind dann ein Trikolon mit Klimax: Eine dreifach geäußerte Bitte, die immer stärker vorgebracht wird.</w:t>
      </w:r>
    </w:p>
  </w:footnote>
  <w:footnote w:id="481">
    <w:p>
      <w:pPr>
        <w:pStyle w:val="Funote"/>
        <w:rPr/>
      </w:pPr>
      <w:r>
        <w:rPr/>
        <w:footnoteRef/>
        <w:tab/>
        <w:t xml:space="preserve">zu dir beten (dir [Opfer/Gebete] bereiten, mich bereit machen für dich) - Heb. `arak (meist „bereiten“); auf den ersten Blick also: „Ich will dir bereiten.“ Weil nach dieser Bedeutung offensichtlich ein Objekt fehlt, das da „bereitet“ wird, sind folgende Deutungen vorgeschlagen worden: # `arak ist hier zu verstehen als „beten“ (so Seeligmann 1967, S. 278; auch Ges18, S. 1014; KBL3, S. 837). Dieser Deutung folgen auch wir. # U.U. kann `arak nicht nur „[X] bereitmachen“, sd. auch reflexiv „sich bereitmachen“ bedeuten (vgl. CDCH, S. 344; Terrien 2003, S. 104): „Am Morgen richte (ordne) ich mich an Dich“ (TAF; so wohl auch LUT1912, LUT, van Ess) # Das Objekt ist „ausgespart“ (Warum?) und muss ergänzt werden: „Ich will [X] bereiten“ (so die meisten Üss.) # Alternativ hat Joüon vorgeschlagen, den Text zu korrigieren nach </w:t>
      </w:r>
      <w:r>
        <w:rPr>
          <w:rtl w:val="true"/>
          <w:lang w:bidi="he-IL"/>
        </w:rPr>
        <w:t>עמד לך</w:t>
      </w:r>
      <w:r>
        <w:rPr/>
        <w:t xml:space="preserve"> „</w:t>
      </w:r>
      <w:r>
        <w:rPr/>
        <w:t>auf dich will ich warten“ (vgl. z.B. ZLH, S. 606); so offenbar auch R-S: „Ich harre“.</w:t>
      </w:r>
    </w:p>
  </w:footnote>
  <w:footnote w:id="482">
    <w:p>
      <w:pPr>
        <w:pStyle w:val="Funote"/>
        <w:rPr/>
      </w:pPr>
      <w:r>
        <w:rPr/>
        <w:footnoteRef/>
        <w:tab/>
        <w:t>tFN: [auf dich] - Brachylogie aus dem vorigen Ausdruck („zu dir beten“).</w:t>
      </w:r>
    </w:p>
  </w:footnote>
  <w:footnote w:id="483">
    <w:p>
      <w:pPr>
        <w:pStyle w:val="Funote"/>
        <w:rPr/>
      </w:pPr>
      <w:r>
        <w:rPr/>
        <w:footnoteRef/>
        <w:tab/>
        <w:t>tFN: {denn} - Emphatisches ki; im Deutschen nicht zu übersetzen. Diese Verwendung von ki ist recht häufig gerade am Beginn einer Strophe; vgl. z.B. Muilenburg 1961, S. 148f.</w:t>
      </w:r>
    </w:p>
  </w:footnote>
  <w:footnote w:id="484">
    <w:p>
      <w:pPr>
        <w:pStyle w:val="Funote"/>
        <w:rPr/>
      </w:pPr>
      <w:r>
        <w:rPr/>
        <w:footnoteRef/>
        <w:tab/>
        <w:t>Böse (Böses) + Schlechte (Schlechtes) - Rein sprachlich sind beide Üss. möglich; spätestens V. 6 wird aber klar, dass hier von Menschen die Rede ist; daher ist durchaus der Primärübersetzung der Vorzug zu geben.</w:t>
      </w:r>
    </w:p>
  </w:footnote>
  <w:footnote w:id="485">
    <w:p>
      <w:pPr>
        <w:pStyle w:val="Funote"/>
        <w:rPr/>
      </w:pPr>
      <w:r>
        <w:rPr/>
        <w:footnoteRef/>
        <w:tab/>
        <w:t xml:space="preserve">Frevler (Angeber, Törichte) - Meist übersetzt als „Angeber, Lärmer“. Da das Wort aber hier im Parallelismus steht zu den „Bösen“, den „Schlechten“ und den „Übeltätern“, ist es überdeutlich, dass es hier ebenfalls als moralische Kategorie verwendet wird. Zur Üs. mit „Frevler“ vgl. ZLH, S. 193; vgl. auch LXX: „Gesetzesbrecher“; VUL: „Bösartige“; Buttenwieser 1938, S. 406: „Gottlose“; H-R: „Der Böse“; HER05: „Die Unrecht verüben“; NVul: „Ungerechte“; van Ess: „Frevler“. Anm. d. Üs. (S.W.): Was mir außerdem möglich scheint - was aber m.W. noch nicht in der Sekundärliteratur vorgeschlagen worden ist und daher hier bloß als theoretische Möglichkeit verzeichnet werden soll -, ist, dass </w:t>
      </w:r>
      <w:r>
        <w:rPr>
          <w:rtl w:val="true"/>
          <w:lang w:bidi="he-IL"/>
        </w:rPr>
        <w:t>הוללים</w:t>
      </w:r>
      <w:r>
        <w:rPr/>
        <w:t xml:space="preserve"> </w:t>
      </w:r>
      <w:r>
        <w:rPr/>
        <w:t xml:space="preserve">zusammenspielt mit den </w:t>
      </w:r>
      <w:r>
        <w:rPr>
          <w:rtl w:val="true"/>
          <w:lang w:bidi="he-IL"/>
        </w:rPr>
        <w:t>דּׁבְרֵי כָזָב</w:t>
      </w:r>
      <w:r>
        <w:rPr/>
        <w:t xml:space="preserve"> </w:t>
      </w:r>
      <w:r>
        <w:rPr/>
        <w:t xml:space="preserve">in V. 7a. Dies wird zwar meist gedeutet als „Sprecher von Lügen“, aber es könnte auch gedeutet werden als „Betende zu Götzen“ („Götzen“ nach ZLH, S. 351; syntaktisch gedeutet als Genitivus directionis, vgl. z.B. BHRG §25.4.5.vi). Die </w:t>
      </w:r>
      <w:r>
        <w:rPr>
          <w:rtl w:val="true"/>
          <w:lang w:bidi="he-IL"/>
        </w:rPr>
        <w:t>הוללים</w:t>
      </w:r>
      <w:r>
        <w:rPr/>
        <w:t xml:space="preserve"> </w:t>
      </w:r>
      <w:r>
        <w:rPr/>
        <w:t>wären dann die „Preisenden“, und auch dies könnte ein Ausdruck für Götzenanbeter sein. Vgl. dann noch den Vorschlag von Dahood 1965, S. 32 zu V. 7b, „Gewaltverbrecher und Betrüger“ sei zu deuten als „Männer von Götzen und Idolen“. Folgte man Dahood, könnte man dann die ganze Stelle deuten: „Vor deinen Augen dürfen Preiser (=Götzenanbeter) nicht stehen, / Du hasst alle Unholde. // Du wirst vernichten, die zu Götzen beten, / Männer von Götzen und Idolen verabscheust du, JHWH.“</w:t>
      </w:r>
    </w:p>
  </w:footnote>
  <w:footnote w:id="486">
    <w:p>
      <w:pPr>
        <w:pStyle w:val="Funote"/>
        <w:rPr/>
      </w:pPr>
      <w:r>
        <w:rPr/>
        <w:footnoteRef/>
        <w:tab/>
        <w:t>es dürfen (werden) nicht stehen Frevler vor deinen Augen - raffiniert gedichtete Zeile. jatsab kann bedeuten: (1) „stehen“; (2) „stehen-bleiben“ i.S.v. „verweilen“; (3) „be-stehen“ (auch (4) i.S.v.: „am Leben bleiben“) und leneged `eneka (W. „vor deinen Augen“) kann sowohl (1) schlicht „vor dir“ meinen als auch (2) „in deinem Urteil“ (vgl. z.B. ZLH, S. 591). Grundeinheit der heb. Poesie ist der sog. „Parallelismus“, eine Art „Gedanken-reim“: Eine Zeile geht in irgendeiner Weise parallel mit einer weitere Zeile. Ein Sonderfall hiervon ist das Stilmittel des „Janusparallelismus“: Durch die Mehrdeutigkeit eines Wortes oder einer syntaktischen Konstruktion geht eine Zeile mit mindestens zwei Zeilen parallel; je nachdem, wie das Wort oder die Konstruktion gedeutet wird. V. 6a geht sogar mit drei Zeilen parallel; vielleicht könnte man dies entsprechend als „Cerberus-Parallelismus“ bezeichnen: * 5a + 6b: „Sie dürfen nicht wohnen bei dir / Sie dürfen nicht bleiben vor dir.“ * 6a + 6b: „Sie bestehen nicht vor deinem Urteil / Du hasst sie.“ * 6a + 7a: „Sie dürfen nach deinem Urteil nicht bestehen (=am Leben bleiben) / Du wirst vernichten Lügner.“</w:t>
      </w:r>
    </w:p>
  </w:footnote>
  <w:footnote w:id="487">
    <w:p>
      <w:pPr>
        <w:pStyle w:val="Funote"/>
        <w:rPr/>
      </w:pPr>
      <w:r>
        <w:rPr/>
        <w:footnoteRef/>
        <w:tab/>
        <w:t>Tuer von Unheil (Unholde) - Häufiger Ausdruck für die Feinde eines Psalmisten. Das konkrete Unheil, das diese „Unholde“ tun, sind meist Wort-Sünden (vgl. ThWAT I, S. 155), was diesen Sticho gut zusammenstimmen lässt mit dem folgenden V. 7.</w:t>
      </w:r>
    </w:p>
  </w:footnote>
  <w:footnote w:id="488">
    <w:p>
      <w:pPr>
        <w:pStyle w:val="Funote"/>
        <w:rPr/>
      </w:pPr>
      <w:r>
        <w:rPr/>
        <w:footnoteRef/>
        <w:tab/>
        <w:t>Vv. 6f: Oder:Weil du kein Gott bist, dem Böse gefallen, / dürfen nicht wohnen bei dir Schlechte; es dürfen nicht stehen Frevler vor deinen Augen, / weil du alle Unholde hasst.</w:t>
      </w:r>
    </w:p>
  </w:footnote>
  <w:footnote w:id="489">
    <w:p>
      <w:pPr>
        <w:pStyle w:val="Funote"/>
        <w:rPr/>
      </w:pPr>
      <w:r>
        <w:rPr/>
        <w:footnoteRef/>
        <w:tab/>
        <w:t>verabscheut (verabscheust du,) - Ein sog. „P-Shift“: In der heb. Lyrik kann aus poetischen Gründen von einer Zeile auf die nächste von einer Person zu einer anderen gewechselt werden, ohne dass dies einen Bedeutungsunterschied macht - wie z.B. hier von der zweiten („du wirst vernichten“) zur dritten („er verabscheut“). Schon VUL übersetzt daher auch hier richtig mit 2. Pers.: „verabscheust du, JHWH“. Auch für die LF wäre das zu empfehlen, da Shifts im Deutschen anders als im Hebräischen kein geläufiges Stilmittel sind.</w:t>
      </w:r>
    </w:p>
  </w:footnote>
  <w:footnote w:id="490">
    <w:p>
      <w:pPr>
        <w:pStyle w:val="Funote"/>
        <w:rPr/>
      </w:pPr>
      <w:r>
        <w:rPr/>
        <w:footnoteRef/>
        <w:tab/>
        <w:t xml:space="preserve">in deiner - V. 8ab.9a haben je eine mit </w:t>
      </w:r>
      <w:r>
        <w:rPr>
          <w:rtl w:val="true"/>
          <w:lang w:bidi="he-IL"/>
        </w:rPr>
        <w:t>בְּ</w:t>
      </w:r>
      <w:r>
        <w:rPr/>
        <w:t xml:space="preserve"> </w:t>
      </w:r>
      <w:r>
        <w:rPr/>
        <w:t xml:space="preserve">(„in“) eingeleitete und mit </w:t>
      </w:r>
      <w:r>
        <w:rPr>
          <w:rtl w:val="true"/>
          <w:lang w:bidi="he-IL"/>
        </w:rPr>
        <w:t>ךָ</w:t>
      </w:r>
      <w:r>
        <w:rPr/>
        <w:t xml:space="preserve"> </w:t>
      </w:r>
      <w:r>
        <w:rPr/>
        <w:t xml:space="preserve">(„deine“) zugeordnete Angabe: 8a: „In deiner großen Gnade“, 8b: „In deiner Furcht“, 9a: „In deiner Gerechtigkeit“. Das parallelisiert die drei Stichen (=&gt; grammatischer Parallelismus), in keiner der Zeilen ist aber eine wörtl. Übertragung gut möglich: * Das </w:t>
      </w:r>
      <w:r>
        <w:rPr>
          <w:rtl w:val="true"/>
          <w:lang w:bidi="he-IL"/>
        </w:rPr>
        <w:t>בְּ</w:t>
      </w:r>
      <w:r>
        <w:rPr/>
        <w:t xml:space="preserve"> </w:t>
      </w:r>
      <w:r>
        <w:rPr/>
        <w:t>in „in der Menge deiner Gnade“ ist ein sog. „Beth rationis impellentis“, mit dem angegeben wird, dass etwas dank etwas geschieht; hier also, dass Gottes Güte ihn zu besagter „Erlaubnis“ veranlasst; sinngemäßer also „dank der Menge deiner Gnade“ * „In deiner Furcht“ meint „in Ehrfurcht vor dir“ * „In deiner Gerechtigkeit“ fungiert als Appell; s. genauer FN q.</w:t>
      </w:r>
    </w:p>
  </w:footnote>
  <w:footnote w:id="491">
    <w:p>
      <w:pPr>
        <w:pStyle w:val="Funote"/>
        <w:rPr/>
      </w:pPr>
      <w:r>
        <w:rPr/>
        <w:footnoteRef/>
        <w:tab/>
        <w:t>tFN: in (zu) - ´él hat hier wie noch häufiger nicht direktionale, sd. lokative Bed. Hier sogar recht deutlich, da im vorangehenden Vers ja davon die Rede ist, dass der Beter den Tempel betreten darf. Vgl. auch Syr, Ehrlich 1905; NCV; Prinsloo 1998 ;TAF; van Ess: „in deinem Tempel“.</w:t>
      </w:r>
    </w:p>
  </w:footnote>
  <w:footnote w:id="492">
    <w:p>
      <w:pPr>
        <w:pStyle w:val="Funote"/>
        <w:rPr/>
      </w:pPr>
      <w:r>
        <w:rPr/>
        <w:footnoteRef/>
        <w:tab/>
        <w:t>um meiner Feinde willen (wegen meiner Feinde) - s. hierzu die nächste FN.</w:t>
      </w:r>
    </w:p>
  </w:footnote>
  <w:footnote w:id="493">
    <w:p>
      <w:pPr>
        <w:pStyle w:val="Funote"/>
        <w:rPr/>
      </w:pPr>
      <w:r>
        <w:rPr/>
        <w:footnoteRef/>
        <w:tab/>
        <w:t>V. 9 - Etwas schwierige Stelle. Meist wird sie etwa so verstanden: Aufgrund seiner Rede von den nicht gottgemäß lebenden Feinden bricht aus Beter die Bitte hervor, Gott möge doch ihn - anders als die Feinde - auf den „rechten“ Weg leiten: Den Weg Gottes. Gott möge sicherstellen, dass der Beter so lebt, wie das Gott gefällt. Davon soll dann auch das die Bitte um „Führung“ in 9a handeln; s. z.B. Ps 143,10: „Führe mich auf rechter Bahn“ = „Lehre mich handeln, wie dir das gefällt“. Die „Gerechtigkeit“ in 9a wäre dann ebenfalls ein Ausdruck für die gottgemäße Lebensweise. Auch dies wäre zur Not noch eine gangbare Deutung, endgültig schwierig ist dann aber die Präzisierung „um meiner Feinde willen“: Was haben die Feinde des Psalmisten davon, wenn dieser von Gott auf dem rechten Weg gehalten wird? Und auch die Tatsache, dass in V. 8 von der Reise zu JHWHs Tempel die Rede ist, legt eher nahe, dass hier der Weg tatsächlich ein Weg ist und nicht in eine Metapher für eine Lebensweise. Versuchsweise sei daher folgende alternative Deutung vorgeschlagen: führen hat hier wie öfter die Bed. „jmdn schützend begleiten, jmdn sicher ans Ziel führen“ (vgl. ThWAT V, S. 335). In deiner Gerechtigkeit fungiert als Appell, wie sich das noch häufiger in den Psalmen findet (s. Ps 31,2; 71,2; 119,40; 143,1.11), sinngemäß also eher „JHWH, du Gerechter, behüte mich“. lema`an (meist: „um ... willen“) bezeichnet hier - wie auch in den verwandten Stellen Ps 27,11 und Ps 69,19 - nicht, um wessentwillen etwas geschieht, sondern das, was Motivation für Gottes Handeln sein soll (vgl. Ges18, S. 713) - also eher „wegen meiner Feinde“, d.h. „da mir auf meinem Weg Feinde auflauern“ (Ps 5,9 + Ps 27,11) bzw. „da ich von Feinden bedrängt werde“ (Ps 69,19). Und schließlich das „dein“ in „dein Weg“ ist syntaktisch zu analysieren als ein sog. Genitivus directionis, also „der Weg zu dir“, nämlich zum Tempel. Zur Konstruktion vgl. z.B. 1 Sam 6,9: „Der Weg ihrer Grenze“ = „Der Weg zu ihrer Grenze“; 1 Sam 13,17f: „Der Weg Ophras ... Der Weg Beth-Horons“ = „Der Weg nach Ophra ... der Weg nach Beth-Horon“; Spr 2,19: „ihre Gehenden“ = „die zu ihr Gehenden“. Zum Sinn d. Verses s. die Anmerkungen.</w:t>
      </w:r>
    </w:p>
  </w:footnote>
  <w:footnote w:id="494">
    <w:p>
      <w:pPr>
        <w:pStyle w:val="Funote"/>
        <w:rPr/>
      </w:pPr>
      <w:r>
        <w:rPr/>
        <w:footnoteRef/>
        <w:tab/>
        <w:t>seinem (ihrem) - Ein sog. „N-Shift“: In der heb. Lyrik kann aus poetischen Gründen unvermittelt von einer Zeile auf die andere von einem Numerus zum anderen gewechselt werden, ohne dass dies einen Bedeutungsunterschied machen würde - hier etwa vom Plural („meine Feinde)“ zum Singular („in seinem Mund“). Weil im Dt. solche Shifts anders als im Heb. kein geläufiges Stilmittel sind, sollte man in der LF durchaus mit Pl. übersetzen.</w:t>
      </w:r>
    </w:p>
  </w:footnote>
  <w:footnote w:id="495">
    <w:p>
      <w:pPr>
        <w:pStyle w:val="Funote"/>
        <w:rPr/>
      </w:pPr>
      <w:r>
        <w:rPr/>
        <w:footnoteRef/>
        <w:tab/>
        <w:t>ihr Inneres [ist] Verderben (Böses, sie sind verdorben/böse) - „Inneres, Eingeweide, Herz“ ist im Heb. häufiger ein Wechselbegriff für die Person selbst; so auch hier. Und Nomina wie „Verderben“ können im Hebräischen auch als prädikative Adjektive verwendet werden; so auch hier. Zur Bed. „böse“ vgl. CDCH, S. 87; Kön, S. 77. Das wörtliche „Ihr Inneres [ist] Verderben“ meint also sinngemäß: „Sie sind (durch und durch) böse“.</w:t>
      </w:r>
    </w:p>
  </w:footnote>
  <w:footnote w:id="496">
    <w:p>
      <w:pPr>
        <w:pStyle w:val="Funote"/>
        <w:rPr/>
      </w:pPr>
      <w:r>
        <w:rPr/>
        <w:footnoteRef/>
        <w:tab/>
        <w:t>Grab - Lautspiel: qereb „Inneres“ (10b) - qeber „Grab“. Das „Grab“ ist im Hebräischen eine häufige Metapher für den Tod; vgl. z.B. Ryken 1998, S. 350.</w:t>
      </w:r>
    </w:p>
  </w:footnote>
  <w:footnote w:id="497">
    <w:p>
      <w:pPr>
        <w:pStyle w:val="Funote"/>
        <w:rPr/>
      </w:pPr>
      <w:r>
        <w:rPr/>
        <w:footnoteRef/>
        <w:tab/>
        <w:t>ihre Zunge glätten sie - Stehender Ausdruck für „sie sind Heuchler“; vgl. noch Ps 12,3; 55,22; auch Röm 3,13</w:t>
      </w:r>
    </w:p>
  </w:footnote>
  <w:footnote w:id="498">
    <w:p>
      <w:pPr>
        <w:pStyle w:val="Funote"/>
        <w:rPr/>
      </w:pPr>
      <w:r>
        <w:rPr/>
        <w:footnoteRef/>
        <w:tab/>
        <w:t>V. 10: Oder: „Weil in ihrem Reden nichts Aufrichtiges [ist], / [Sei] ihr Inneres [ihr] Verderben. Ihre Kehle [sei] [ihr] offenes Grab (i.e. Tod) / weil sie ihre Zunge glätten (i.e. da sie ja Heuchler sind).“ Diese Interpretation ließe den Vers besser mit dem folgenden Vers zusammenstimmen; sie ist aber offenbar so noch nie vertreten worden; die LF sollte daher doch der Standardübersetzung folgen.</w:t>
      </w:r>
    </w:p>
  </w:footnote>
  <w:footnote w:id="499">
    <w:p>
      <w:pPr>
        <w:pStyle w:val="Funote"/>
        <w:rPr/>
      </w:pPr>
      <w:r>
        <w:rPr/>
        <w:footnoteRef/>
        <w:tab/>
        <w:t>Textkritik: Die Metaphorik des hebräischen Textes von V. 13 ist sehr hart: „Du krönst sie mit Huld wie mit einem Schild“. Da man selten mit Schildern gekrönt wird, macht auch der Vergleich, mit Huld „wie mit einem Schild“ gekrönt zu werden, keinen Sinn. Mit BHS; Gunkel 1968, S. 20; Kissane 1953, S. 19f.; Kraus 1961, S. 36f. ist daher das „du schützt sie“ aus V. 12 nach V. 13 zu verschieben.</w:t>
      </w:r>
    </w:p>
  </w:footnote>
  <w:footnote w:id="500">
    <w:p>
      <w:pPr>
        <w:pStyle w:val="Funote"/>
        <w:rPr/>
      </w:pPr>
      <w:r>
        <w:rPr/>
        <w:footnoteRef/>
        <w:tab/>
        <w:t>die deinen Namen lieben - Der „Name Gottes“ steht in der Bibel fast stets für Gott selbst; man bezeichnet damit „Gott im Menschenmund“. Jene, die den „Namen Gottes lieben“ sind deshalb die Verehrer Gottes - die JHWH-Gläubigen. Vgl. z.B. Grether 1934, S. 40.</w:t>
      </w:r>
    </w:p>
  </w:footnote>
  <w:footnote w:id="501">
    <w:p>
      <w:pPr>
        <w:pStyle w:val="Funote"/>
        <w:rPr/>
      </w:pPr>
      <w:r>
        <w:rPr/>
        <w:footnoteRef/>
        <w:tab/>
        <w:t>du wirst segnen (bist es, der segnen wird) - Hier steht ein scheinbar „überflüssiges“ Personalpronomen („Denn du, du segnest“). Möglich wären die Deutungen: # Das Pronomen soll die Exklusivität der Segner-Rolle JHWHs markieren (vgl. BHRG §36.1.1.3i). Gut daher B-R: „Denn du bists, der segnet den Bewährten“; Terrien 2003, S. 103: „For it is thou, Lord, who blessest...“ # Das Pronomen dient lediglich der Unterstreichung des Fokuswechsels (vgl. JM §146.a.1+2): Im vorherigen Vers ging es um die bei JHWH Zuflucht Suchenden; nun dagegen geht es um JHWH selbst. In diesem Falle sollte es in der Übersetzung einfach ausgespart werden. Die beiden folgenden Stichen führen den Satz fort.</w:t>
      </w:r>
    </w:p>
  </w:footnote>
  <w:footnote w:id="502">
    <w:p>
      <w:pPr>
        <w:pStyle w:val="Funote"/>
        <w:rPr/>
      </w:pPr>
      <w:r>
        <w:rPr/>
        <w:footnoteRef/>
        <w:tab/>
        <w:t>den Gerechten (die Gerechten) - Ein sog. „generalisierender Singular“, der Pl.-Bed. hat, weshalb es dann auch heißen kann, dass Gott sie schützen werde.</w:t>
      </w:r>
    </w:p>
  </w:footnote>
  <w:footnote w:id="503">
    <w:p>
      <w:pPr>
        <w:pStyle w:val="Funote"/>
        <w:rPr/>
      </w:pPr>
      <w:r>
        <w:rPr/>
        <w:footnoteRef/>
        <w:tab/>
        <w:t>krönen wird (begünstigen wird) - Die Rede vom „Krönen“ wird in der Bibel häufiger metaphorisch als buchstäblich verwendet; dass JHWH jemanden mit etwas „krönt“ ist eine Metapher dafür, dass er ihn mit etwas „segnet“ (vgl. z.B. Ryken 1998, S. 185). S. Ps 8,6; Ps 65,12; Ps 103,4.</w:t>
      </w:r>
    </w:p>
  </w:footnote>
  <w:footnote w:id="504">
    <w:p>
      <w:pPr>
        <w:pStyle w:val="Funote"/>
        <w:rPr/>
      </w:pPr>
      <w:r>
        <w:rPr/>
        <w:footnoteRef/>
        <w:tab/>
        <w:t>[Status: Zuverlässig]</w:t>
      </w:r>
    </w:p>
  </w:footnote>
  <w:footnote w:id="505">
    <w:p>
      <w:pPr>
        <w:pStyle w:val="Funote"/>
        <w:rPr/>
      </w:pPr>
      <w:r>
        <w:rPr/>
        <w:footnoteRef/>
        <w:tab/>
        <w:t>Chorleiter - Heb. menatseach; genaue Bedeutung unklar. Die Primärübersetzung „Chorleiter“ ist mehr oder weniger Konvention. S. noch nächste FN.</w:t>
      </w:r>
    </w:p>
  </w:footnote>
  <w:footnote w:id="506">
    <w:p>
      <w:pPr>
        <w:pStyle w:val="Funote"/>
        <w:rPr/>
      </w:pPr>
      <w:r>
        <w:rPr/>
        <w:footnoteRef/>
        <w:tab/>
        <w:t>`al-hascheminit ([Vorzutragen] von Basstimmen; Mit Saitenspiel [vorzutragen vom] Vorsteher über [das Ritual] „hascheminit“) - rätselhafter Begriff, der sich auch im Titel von Ps 12,1 findet. Wegen 1 Chr 15,20f., wo sich das Wort neben `alamot findet, was oft als „Jungfrauenweise“=„hohe Gesangsstimme“ gedeutet wird, geht man häufig davon aus, dass er etwas mit der musikalischen Begleitung oder Vortragsweise des Psalms zu tun habe und schließt davon dann z.B. auf die Bedeutungen „Für die Bassstimme“ (so z.B. Craigie 1983), „in der achten Tonart“ (so z.B. Werner 1959, S. 384-388) oder „[zu spielen] auf der achtseitigen Harfe“ (so z.B. Kraus 1961, S. XXVIII). Dass in den sog. „Psalmenüberschriften“ Angaben zur Vortragsweise der Psalmen stehen, ist nicht sehr wahrscheinlich. Einen wahrscheinlicheren Vorschlag zu ihrem Verständnis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hascheminit nicht die Melodie, sondern der menatseach wäre Vorsteher über das Ritual mit dem Namen hascheminit, bei dem der Psalm zu Saitenspiel vorzuträgen wäre. Doch ist auch dies nur ein „educated guess“ und „Chorleiter“ und die Deutung von hascheminit als Angabe zur Vortragsweise des Psalms sind in dt. Üss. so etabliert, dass die LF doch besser dieser Deutung folgen sollte: „Für den Chorleiter. Mit Saitenspiel [vorzutragen] von Bassstimmen“.</w:t>
      </w:r>
    </w:p>
  </w:footnote>
  <w:footnote w:id="507">
    <w:p>
      <w:pPr>
        <w:pStyle w:val="Funote"/>
        <w:rPr/>
      </w:pPr>
      <w:r>
        <w:rPr/>
        <w:footnoteRef/>
        <w:tab/>
        <w:t xml:space="preserve">tFN: nicht in deinem Zorn/Grimm - die beiden Negationspartikeln nicht sind durch die Präpositionalphrasen in deinem Zorn bzw. in deinem Grimm von den Verben getrennt. Das ist sehr untypisch im Hebräischen. Vermutlich handelt es sich hier aber um eine bedeutungslose Wortstellungsvariante und das „nicht“ bezieht sich doch auf die Verben, auf denen auch der Fokus der Sätze liegt. Die Funktion der PPs ist es, den Beweggrund JHWHs für die Bestrafung des Psalmisten anzugeben: „Strafe mich nicht aus Zorn“, und dann besser: „Strafe mich nicht trotz deines Zorns“, „Auch wenn du zornig bist, JHWH - strafe mich nicht!“ (Bratcher/Reyburn 1991, S. 59; ähnlich z.B. BFC, GN, PdV).(Einige (z.B. Broyles 1989, S. 180) gehen jedoch davon aus, dass durch diese Wortstellung der Nachdruck nicht auf die Verben, sd. auf die PPs gelegt werden soll („nicht im Zorn/Grimm strafe mich, [sondern nach dem Maßstab des Rechts (d.i. »fair«)]“; s. Jer 10,24). Nach V. 3 ist aber der Gegensatz zu V. 2 („nicht im Zorn“) nicht „nach Gerechtigkeit“, sondern „[strafe mich nicht, sondern] erbarme dich meiner!“; sicher liegt der Fokus also dennoch auf den Verben (vgl. z.B. König 1927, S. 619).) Anm. d. Üs. (S.W.): Wenn wir in V. 3 </w:t>
      </w:r>
      <w:r>
        <w:rPr>
          <w:rtl w:val="true"/>
          <w:lang w:bidi="he-IL"/>
        </w:rPr>
        <w:t>עֲצָמָֽי</w:t>
      </w:r>
      <w:r>
        <w:rPr/>
        <w:t xml:space="preserve"> </w:t>
      </w:r>
      <w:r>
        <w:rPr/>
        <w:t xml:space="preserve">`atsamaj („meine Knochen“) als </w:t>
      </w:r>
      <w:r>
        <w:rPr>
          <w:rtl w:val="true"/>
          <w:lang w:bidi="he-IL"/>
        </w:rPr>
        <w:t>עצְמִי</w:t>
      </w:r>
      <w:r>
        <w:rPr/>
        <w:t xml:space="preserve"> </w:t>
      </w:r>
      <w:r>
        <w:rPr/>
        <w:t>`atsmi („mein Gebein“) vokalisierten, ließe sich die Wortstellungsvariante damit erklären, dass so in Vv. 2f ein Endreim herbeigeführt werden soll: tokicheni („strafe mich“), täjasreni („züchtige mich“), ani („ich“), `atsmi („mein Gebein“). „Mein Gebein“ wäre dann ein kollektiver Singular mit der Bedeutung „meine Gebeine“, das deshalb mit Pluralverb konstruiert wurde und wegen diesem Pluralverb von den Masoreten fälschlicherweise als Plural vokalisiert wurde.</w:t>
      </w:r>
    </w:p>
  </w:footnote>
  <w:footnote w:id="508">
    <w:p>
      <w:pPr>
        <w:pStyle w:val="Funote"/>
        <w:rPr/>
      </w:pPr>
      <w:r>
        <w:rPr/>
        <w:footnoteRef/>
        <w:tab/>
        <w:t>schwach - Viele Üss. und Lexika: „welk“, aber das wäre überwörtlich (wenn denn „welken“ überhaupt wirklich die Primärbedeutung von amal ist). Besser trifft die Bedeutung sinngemäß wohl ein wörtlich verstandenes „todtraurig“, „so traurig, dass ich dem Tode nahe bin“; s. z.B. Jes 24,4.7: „Es trauert und verdorrt die Erde; es amal und verdorrt die Welt; es amal die Höhen der Erde. ... Es trauert die Rebe, es amal der Wein; es seufzen alle, die fröhlichen Herzens [waren].“; Hos 4,3: „Deshalb wird trauern das Land und es amal alle, die darin wohnen. Die Tiere des Feldes, die Vögel des Himmels und die Fische des Meeres werden dahingerafft.“ u.ö.</w:t>
      </w:r>
    </w:p>
  </w:footnote>
  <w:footnote w:id="509">
    <w:p>
      <w:pPr>
        <w:pStyle w:val="Funote"/>
        <w:rPr/>
      </w:pPr>
      <w:r>
        <w:rPr/>
        <w:footnoteRef/>
        <w:tab/>
        <w:t>erschrocken sind (es zittern, es vergehen) meine Knochen (ich) (V. 3) + meine Seele (mein Leben) ist sehr erschrocken (vergeht sehr) (V. 4) - Das heißt wohl: „Ich bin erschrocken; / ja, sehr erschrocken!“. Ebenso wie (fast stets) „Seele“ steht im Hebräischen auch „Knochen“ öfter pars pro toto für den ganzen Menschen (vgl. z.B. Dalglish 1962, S. 143; s. z.B. Ps 35,9f: „Und meine Seele soll sich freuen wegen JHWH... All meine Knochen sollen sagen: JHWH, wer ist wie du?“). Andere Deutungen: # In der Vergangenheit hat man oft die merkwürdige Formulierung mit „erschreckenden Knochen“ als fehlerhaft überlieferten Text korrigiert (-&gt; Textkritik); aus dem Verb machten einige Ausleger entweder „sie werden morsch“, „sie sind abgenutzt“ oder „sie sind verdorrt“ (beide Vorschläge finden sich noch heute in der BHS). # Alternativ wird oft von einer anderen Bedeutung des Verbs für „erschrecken“ ausgegangen. Dieses könnte nämlich auch ## „zittern“ bedeuten (s. Ez 7,27); dann müsste man von einer Anataklasis ausgehen: „Meine Knochen zittern (=Ich zittere) / und meine Seele ist (=ich bin) sehr erschrocken“. So z.B. Alexander 1850; Goldingay 2006; Houston/Moore/Waltke 2014; Terrien 2003. ## „vergehen“, bedeuten; vgl. Ges18 und s. Ps 83,18; 90,7; 104,29; Zef 1,18; ws. auch Jes 13,8. Dann ### entweder ebenfalls Anataklasis: „Meine Gebeine (=ich) vergehen / und meine Seele (=ich) ist sehr erschrocken“. So Airoldi 1968; wohl auch Buttenwieser 1938. ### oder beides als „vergehen“: „Meine Gebeine (=ich) vergehen / und meine Seele (=ich) vergeht sehr“. So Gowen 1929. Ein hebräischer Leser hätte den Vers vermutlich zumindest zunächst nach unserer Deutung verstanden: Für Alternative (1) müsste man den Text ändern, bei (2.1) und (2.2.1) müsste man eine Anataklasis annehmen, was sich zwar gar nicht selten findet, aber immer heißt: Der Text muss „gegen den Strich gelesen werden“; bei (3.2) stört das „sehr“.</w:t>
      </w:r>
    </w:p>
  </w:footnote>
  <w:footnote w:id="510">
    <w:p>
      <w:pPr>
        <w:pStyle w:val="Funote"/>
        <w:rPr/>
      </w:pPr>
      <w:r>
        <w:rPr/>
        <w:footnoteRef/>
        <w:tab/>
        <w:t>Und du, JHWH, wie lange [noch]...? - Beinahe bricht aus dem Psalmist hier ein verzweifelter Vorwurf hervor, den er gerade noch zurückhalten kann (Aposiopese). Das ist daran erkennbar, dass solche Vorwürfe anderswo im AT mit „Wie lange (denn noch)...?“ eingeleitet sind (Beispiele: Ps 13,2f; Ps 74,10; Ps 80,5; Ps 94,3; Hab 1,2; ebenso abgebrochen in Ps 90,13).</w:t>
      </w:r>
    </w:p>
  </w:footnote>
  <w:footnote w:id="511">
    <w:p>
      <w:pPr>
        <w:pStyle w:val="Funote"/>
        <w:rPr/>
      </w:pPr>
      <w:r>
        <w:rPr/>
        <w:footnoteRef/>
        <w:tab/>
        <w:t>Kehre um, JHWH - Begegnendes Unheil führte man im Alten Israel oft darauf zurück, dass der zornige Gott sich von Betroffenen „abgewandt“ habe; entsprechend ist „Wende dich [mir wieder zu]“ hier gleichbedeutend mit „Sei mir gnädig“ in V. 3. Sinnvoll daher Buttenwieser 1938: „Cease from thine anger!“; GN: „Lass ab von deinem Zorn!“</w:t>
      </w:r>
    </w:p>
  </w:footnote>
  <w:footnote w:id="512">
    <w:p>
      <w:pPr>
        <w:pStyle w:val="Funote"/>
        <w:rPr/>
      </w:pPr>
      <w:r>
        <w:rPr/>
        <w:footnoteRef/>
        <w:tab/>
        <w:t>Rette + Errette (hilf) - Wortspiel im Hebräischen: Der Psalmist verwendet in Vv. 3.5 drei unterschiedliche Verben, die sich alle in der Bedeutung „retten“ treffen. Den beiden Verben in V. 5 ist zusätzlich die Bedeutung „herausziehen /-reißen“ gemeinsam. Dahinter steht Folgendes: Im Alten Israel stellte man sich die Unterwelt als den tiefsten Ort des Kosmos vor; daher sprach man von ihr z.B. als dem „Brunnen“, der „Grube“, dem „Schacht“ oder der „Zisterne“ (vgl. z.B. Oesterley 1911, S. 139f; Schorch 2000, S. 97f) und davon, dass man zu ihr „hinabstieg“ oder aus ihr wieder „emporgezogen“ wurde. Von diesem Totenreich spricht V. 6; liest man also Vv. 5 und 6 zusammen, entsteht - gelesen nach dieser zweiten Bedeutung - der Eindruck, der Psalmist habe sich sogar bereits in diesem Totenreich befunden und JHWH habe ihn nach seinem Tod wiederbelebt.</w:t>
      </w:r>
    </w:p>
  </w:footnote>
  <w:footnote w:id="513">
    <w:p>
      <w:pPr>
        <w:pStyle w:val="Funote"/>
        <w:rPr/>
      </w:pPr>
      <w:r>
        <w:rPr/>
        <w:footnoteRef/>
        <w:tab/>
        <w:t>meine Seele (mich) - „Seele“ im Heb. fast stets Wechselbegriff für „Ich“; übersetze: „Rette mich!“</w:t>
      </w:r>
    </w:p>
  </w:footnote>
  <w:footnote w:id="514">
    <w:p>
      <w:pPr>
        <w:pStyle w:val="Funote"/>
        <w:rPr/>
      </w:pPr>
      <w:r>
        <w:rPr/>
        <w:footnoteRef/>
        <w:tab/>
        <w:t>um deiner Barmherzigkeit (Huld, Liebe, Güte) willen - mehrdeutig: # Das Wort für „um...willen“ hat zwar (1) meist auch im Heb. die Bed. „um...willen“, kann aber (2) auch den Beweggrund bezeichnen, aus dem jemand etwas tut (s. z.B. Ps 25,7; 44,27: „um deiner Huld/Barmherzigkeit willen“ = „aus Huld“; vgl. ad loc. Bratcher/Reyburn 1991, S.61; THAT I, S. 605f) und wird in dieser Bedeutung fast stets verwendet, um an einen Charakterzug Gottes zu appellieren; funktional entspräche dem im Dt. daher eher „Errette mich, du Barmherziger“, wie z.B. häufig Fürbitten formuliert sind. # chesed (hier: „Barmherzigkeit“) meint häufig die „Bundestreue“ und wird derart nicht nur von Gott ausgesagt, der mit den Menschen seinen Bund geschlossen hat, sondern auch von den Menschen, mit denen Gott diesen Bund geschlossen hat (s. z.B. Hos 12,7). läma`an chasdeka ließe sich daher auch übersetzen als „um [meiner] Bundestreue zu dir willen“, und V. 6 würde dann näher spezifizieren, was damit gemeint ist: Der Psalmist könnte im Totenreich seiner Bündnispflicht des JHWH-Preises nicht nachkommen - es läge also ganz im Interesse Gottes, den Psalmisten zu retten. So aber nur Broyles 1989, S. 182f; Ehrlich 1905, S. 11. Deutung (1) liegt näher, da - wie an den angeführten Stellen zu sehen ist - dieses läma`an [Charakterzug Gottes] ein häufiger Zug in Bitten ist; es könnte aber auch hier sein, dass bewusst mehrdeutig formuliert ist und auf diese kunstvolle Weise gleich zwei Gründe für JHWHs Rettungshandeln vorgebracht werden sollen.</w:t>
      </w:r>
    </w:p>
  </w:footnote>
  <w:footnote w:id="515">
    <w:p>
      <w:pPr>
        <w:pStyle w:val="Funote"/>
        <w:rPr/>
      </w:pPr>
      <w:r>
        <w:rPr/>
        <w:footnoteRef/>
        <w:tab/>
        <w:t>Totenreich + Scheol: Nicht: „Hölle“ o.Ä., die alttestamentliche Vorstellung vom Leben nach dem Tod ist eine ganz andere als die christliche und eher mit der griechischen Vorstellung des Hades zu vergleichen: Ein Schattenreich, in das fast alle Gestorbenen als Schattengestalten hinabfahren, um dann nie wieder daraus zu entkommen. Einige übersetzen gelegentlich auch „Hades“; vielleicht ist das eine verständlichere Alternative?</w:t>
      </w:r>
    </w:p>
  </w:footnote>
  <w:footnote w:id="516">
    <w:p>
      <w:pPr>
        <w:pStyle w:val="Funote"/>
        <w:rPr/>
      </w:pPr>
      <w:r>
        <w:rPr/>
        <w:footnoteRef/>
        <w:tab/>
        <w:t>Der Sinn von V. 6 ist umstritten. # Die naheliegendste Deutung ist, dass mit dem Argument an JHWH appelliert wird, er möge doch den Psalmisten retten, denn mit dessen Tod verlöre er ja einen Anbeter. # Weil vielen Exegeten eine solch „egoistische“ Gottesvorstellung nicht angenehm ist, schlagen sie als Alternative vor, der Psalmist sehne sich zurück in die Gottesdienstgemeinde, in deren Reihen er sich sonst JHWHs erinnerte und ihn pries (so z.B. Achtemeier 1974, S. 84f; Podechard 1920, S. 46) oder dass er sich schlicht nach dem „grösste[n] Glück, das ein Frommer haben kann, das Glück, [s]eine Grossthaten zu preisen“ sehne (Duhm 1899, S. 21). Eine solche „Umdeutung“ ist unnötig - die näher liegende Deutung findet sich noch häufiger in der Bibel (s. z.B. Ps 30,10; 88,11-13; Jes 38,17f) und das Argument wird in Jes 48,9-11 sogar ähnlich von JHWH selbst angewandt.</w:t>
      </w:r>
    </w:p>
  </w:footnote>
  <w:footnote w:id="517">
    <w:p>
      <w:pPr>
        <w:pStyle w:val="Funote"/>
        <w:rPr/>
      </w:pPr>
      <w:r>
        <w:rPr/>
        <w:footnoteRef/>
        <w:tab/>
        <w:t>tFN: Schluchzen trifft es besser als das häufig gefundene „Seufzen“. Sowohl beim Verb als auch beim Nomen passt diese Bedeutung an sämtlichen Stellen wesentlich besser. So ad loc. Dahood 1965; Houston/Moore/Waltke 2014; BBE, EVD, NCV, NLT.</w:t>
      </w:r>
    </w:p>
  </w:footnote>
  <w:footnote w:id="518">
    <w:p>
      <w:pPr>
        <w:pStyle w:val="Funote"/>
        <w:rPr/>
      </w:pPr>
      <w:r>
        <w:rPr/>
        <w:footnoteRef/>
        <w:tab/>
        <w:t>tFN: überflute (lasse schwimmen) + weiche auf - zur Deutung der Bedeutung des ersten Verbs als „überfluten“ statt „schwimmen lassen“ vgl. Bosworth 2013, S. 39; von Soden 1991, S. 165f; zur Deutung des zweiten Verbs als „aufweichen“ von Soden 1991, S. 166.</w:t>
      </w:r>
    </w:p>
  </w:footnote>
  <w:footnote w:id="519">
    <w:p>
      <w:pPr>
        <w:pStyle w:val="Funote"/>
        <w:rPr/>
      </w:pPr>
      <w:r>
        <w:rPr/>
        <w:footnoteRef/>
        <w:tab/>
        <w:t>tFN: jede Nacht statt „die ganze Nacht“; diese iterative Deutung fordert die Verbform (Yiqtol).</w:t>
      </w:r>
    </w:p>
  </w:footnote>
  <w:footnote w:id="520">
    <w:p>
      <w:pPr>
        <w:pStyle w:val="Funote"/>
        <w:rPr/>
      </w:pPr>
      <w:r>
        <w:rPr/>
        <w:footnoteRef/>
        <w:tab/>
        <w:t>tFN: [mit meinen Tränen] - Brachylogie aus Zeile 3; vgl. auch Goldingay 2006, S. 138.</w:t>
      </w:r>
    </w:p>
  </w:footnote>
  <w:footnote w:id="521">
    <w:p>
      <w:pPr>
        <w:pStyle w:val="Funote"/>
        <w:rPr/>
      </w:pPr>
      <w:r>
        <w:rPr/>
        <w:footnoteRef/>
        <w:tab/>
        <w:t>tFN: [jede Nacht] - Brachylogie aus Zeile 2; vgl. auch Goldingay 2006, S. 138.</w:t>
      </w:r>
    </w:p>
  </w:footnote>
  <w:footnote w:id="522">
    <w:p>
      <w:pPr>
        <w:pStyle w:val="Funote"/>
        <w:rPr/>
      </w:pPr>
      <w:r>
        <w:rPr/>
        <w:footnoteRef/>
        <w:tab/>
        <w:t>Schwach geworden (dunkel geworden, geeitert, angeschwollen, hochmütig?) - Bed. unsicher (-&gt; Tris legomenon); sonst nur noch in Ps 31,10f. Für eine Übersicht über ältere Deutungen vgl. Zolli 1951. # Früher wurde es meist abgeleitet von `asch („Motte“), dann: „Mein Auge ist vor Kummer mottenzerfressen = zerstört“, aber richtig Ehrlich 1905, S. 12: „Es ist wahrlich Zeit, dass man jede Erklärung ohne weiteres als albern verwerfe, die in ausgewählten klassischen Gedichten [...] die Möglichkeit von Bildern, wie ein mottenstichiges und durch Feinde gealtertes Auge, voraussetzt.“ Auch heute noch gelegentlich vertreten. # Sinnvoller daher abzuleiten (-&gt; Etymologie) von arab. ghaththa („dünn/schwach werden; eitern“; vgl. z.B. Klein 1987, S. 489); dann: „Mein Auge ist schwach geworden (ZLH 635) / geeitert (Lambert 1899, S. 1899, S. 393)“. Zum Sinn vgl. FN j zu Ps 13,5. # Zu den Alternativen „dunkel werden“ vgl. Jacob 1902, S. 107 (so auch Tg); zu „anschwellen“ Delekat 1964; auch KBL3, S. 850; zu „hochmütig“ Zolli 1951, der außerdem zw. V. 7 und 8 einen neuen Abschnitt beginnen lassen, vermutlich das „durch Kummer“ als „nach dem Kummer“ und das folgende „alt werden“ als „frech/stolz [blicken]“ (?) deuten will.</w:t>
      </w:r>
    </w:p>
  </w:footnote>
  <w:footnote w:id="523">
    <w:p>
      <w:pPr>
        <w:pStyle w:val="Funote"/>
        <w:rPr/>
      </w:pPr>
      <w:r>
        <w:rPr/>
        <w:footnoteRef/>
        <w:tab/>
        <w:t>tFN: meine Augen - W. „mein Auge“; kollektiver Singular, vgl. z.B. Houston/Moore/Waltke 2014, S. 51.</w:t>
      </w:r>
    </w:p>
  </w:footnote>
  <w:footnote w:id="524">
    <w:p>
      <w:pPr>
        <w:pStyle w:val="Funote"/>
        <w:rPr/>
      </w:pPr>
      <w:r>
        <w:rPr/>
        <w:footnoteRef/>
        <w:tab/>
        <w:t>sie sind gealtert wegen (ich bin gealtert wegen, sie sind geheftet auf?, sie [blicken] stolz/frech auf?) - „altern“ ist recht schwierig - erstens als Deutung der Wortbedeutung, zweitens in diesem Kontext. # Sehr viele übersetzen daher freier als „sind schwach/matt geworden“, was aber wohl nicht in der Wortbedeutung liegen kann (als kommunikative Übersetzung aber sinnvoll ist; vgl. auch hier zum Sinn FN j zu Ps 13,5). # Textkritik: Deissler, Kissane, Nötscher, Schmidt und Zorell wollen mit LXX, Aq, Sym, Hier, Syr emendieren zu „ich bin gealtert“, aber dass Feinde „mich“ altern lassen haben sollten, ist ja genau so schwierig, wie dass sie „meine Augen“ altern lassen haben sollten. # Zu „geheftet auf“ vgl. Ehrlich 1905; ebenso schon Saadia; zu „[blicken] stolz/frech“ Zolli 1951 - doch keiner von beiden Vorschlägen hat Anklang in der Exegese gefunden. Man wird wohl bei den „gealterten Augen“ bleiben müssen.</w:t>
      </w:r>
    </w:p>
  </w:footnote>
  <w:footnote w:id="525">
    <w:p>
      <w:pPr>
        <w:pStyle w:val="Funote"/>
        <w:rPr/>
      </w:pPr>
      <w:r>
        <w:rPr/>
        <w:footnoteRef/>
        <w:tab/>
        <w:t>Frevler - stehende Wendung im Hebräischen; W.: „alle Tuenden von Frevel“. Erst in diesem Vers wird offenbar, was eigentlich genau das Leid ist, das der Beter die vorigen acht Verse hindurch beklagt hat: Er wird von frevlerischen Feinden bedrängt.</w:t>
      </w:r>
    </w:p>
  </w:footnote>
  <w:footnote w:id="526">
    <w:p>
      <w:pPr>
        <w:pStyle w:val="Funote"/>
        <w:rPr/>
      </w:pPr>
      <w:r>
        <w:rPr/>
        <w:footnoteRef/>
        <w:tab/>
        <w:t>tFN: {Ja!,} (denn) - emphatisches ki, im Dt. nicht zu übersetzen.</w:t>
      </w:r>
    </w:p>
  </w:footnote>
  <w:footnote w:id="527">
    <w:p>
      <w:pPr>
        <w:pStyle w:val="Funote"/>
        <w:rPr/>
      </w:pPr>
      <w:r>
        <w:rPr/>
        <w:footnoteRef/>
        <w:tab/>
        <w:t>Klang meines Weinens + Bitten + Gebet (Bittgebet) - Die Aufeinanderfolge dieser drei Begriffe verdichtet eine Progression von unartikuliert nach artikuliert: qol („Klang“) bezeichnet primär das rein Akustische (das „Geräusch“) - der „Klang des Weinens“ sind also die unartikulierten Klagelaute -; tähinna („Bitten“) meint den Akt der flehenden Hinwendung im Gebet und täfilla ist eine Psalmgattung - das „Bitt-/Klagegebet“.</w:t>
      </w:r>
    </w:p>
  </w:footnote>
  <w:footnote w:id="528">
    <w:p>
      <w:pPr>
        <w:pStyle w:val="Funote"/>
        <w:rPr/>
      </w:pPr>
      <w:r>
        <w:rPr/>
        <w:footnoteRef/>
        <w:tab/>
        <w:t>JHWH wird mein Gebet annehmen - Oder Vergangenheit: Gehört hat JHWH den Klang meines Weinens, : Gehört hat JHWH mein Bitten, : JHWH hat mein Gebet angenommen. Der Tempuswechsel in V. 10b wäre dann ein bedeutungsloser, rein stilistischer Tempuswechsel (-&gt; T-Shift; so z.B. de Hoop 2009, S. 458f.; NET) und man müsste davon ausgehen, dass zwischen Vv. 2-8 und Vv. 9-11 eine gewisse Zeitspanne vergangen ist, in der JHWH die Bitte des Psalmisten gewähren konnte (so z.B. Schmidt 1934, S. 11). Aber wesentlich glatter ist es doch, die beiden „Gehört hat“ als Vergangenheit zu fassen und das „Annehmen wird“ als Futur: Der Psalmist hat sein Gebet gesprochen und Gott hat es gehört, und nun kann sich der Psalmist voll Zuversicht gegen seine Feinde wenden, da er sich sicher sein kann, nun auch bald von Gott erhört zu werden (so z.B. Alter 2007; Duhm 1899, S. 22; Olshausen 1853; Perowne 1880).</w:t>
      </w:r>
    </w:p>
  </w:footnote>
  <w:footnote w:id="529">
    <w:p>
      <w:pPr>
        <w:pStyle w:val="Funote"/>
        <w:rPr/>
      </w:pPr>
      <w:r>
        <w:rPr/>
        <w:footnoteRef/>
        <w:tab/>
        <w:t>sich schämen (zunichte werden) + erschrecken (vergehen) + umkehren (von mir ablassen, wieder?, sterben?) - Wortspiel im Hebräischen: Die Wörter für „schämen“, „erschrecken“ und evt. auch „zurückweichen“ treffen sich in der sekundären Bedeutung „sterben“; es scheint also, als habe die Erhörung des Psalmisten durch Gott die Vernichtung der Feinde zur Folge (vgl. z.B. die Üs. von Achenbach 2004, S. 584: „Zuschanden und zerstieben gar sehr werden all meine Feinde“; zu „zurückweichen“ vgl. Dahood 1965, S. 39; s. noch Ijob 1,21; 30,23; 34,15; Ps 9,18; Pred 3,20; 12,7 - doch nie (wie hier) ohne Ortsangabe)). S. dazu noch die Anmerkungen.umkehren: Gemeint ist wohl: Von mir ablassen und gleich einem geschlagenen Heer abziehen. Theoretisch ließe es sich außerdem mit „wieder“ übersetzen: „Sie werden sich plötzlich wieder schämen“ (so z.B. Duhm 1899), doch das ist unwahrscheinlich. Nicht: „beschämt umkehren“; im verbalen Hendiadyoin spezifiziert das erste das zweite Verb, nicht aber umgekehrt.</w:t>
      </w:r>
    </w:p>
  </w:footnote>
  <w:footnote w:id="530">
    <w:p>
      <w:pPr>
        <w:pStyle w:val="Funote"/>
        <w:rPr/>
      </w:pPr>
      <w:r>
        <w:rPr/>
        <w:footnoteRef/>
        <w:tab/>
        <w:t>[Status: Zuverlässig]</w:t>
      </w:r>
    </w:p>
  </w:footnote>
  <w:footnote w:id="531">
    <w:p>
      <w:pPr>
        <w:pStyle w:val="Funote"/>
        <w:rPr/>
      </w:pPr>
      <w:r>
        <w:rPr/>
        <w:footnoteRef/>
        <w:tab/>
        <w:t>Shiggajon - Bedeutung unbekannt. Das Wort findet sich sonst nur noch in Hab 3,1. Viele leiten die Bedeutung vom akkadischen schigû („Klageruf“) ab und übersetzen mit „Klagelied“, doch in Hab 3,1 passt diese Bedeutung nicht.</w:t>
      </w:r>
    </w:p>
  </w:footnote>
  <w:footnote w:id="532">
    <w:p>
      <w:pPr>
        <w:pStyle w:val="Funote"/>
        <w:rPr/>
      </w:pPr>
      <w:r>
        <w:rPr/>
        <w:footnoteRef/>
        <w:tab/>
        <w:t>Kuschs, des Benjaminiten - Ein Benjaminiter mit Namen Kusch ist in der Bibel unbekannt. Die Überschrift bezieht sich wohl auf eine nicht mehr erhaltene Davidslegende.</w:t>
      </w:r>
    </w:p>
  </w:footnote>
  <w:footnote w:id="533">
    <w:p>
      <w:pPr>
        <w:pStyle w:val="Funote"/>
        <w:rPr/>
      </w:pPr>
      <w:r>
        <w:rPr/>
        <w:footnoteRef/>
        <w:tab/>
        <w:t>er - gemeint sind die Verfolger. Das Heb. kann v.a. in Poesie unvermittelt von einem Numerus zum anderen wechseln („N-Shift“), ohne dass dies einen Bedeutungsunterschied machen würde. Im Dt. muss mit Plural übertragen werden.</w:t>
      </w:r>
    </w:p>
  </w:footnote>
  <w:footnote w:id="534">
    <w:p>
      <w:pPr>
        <w:pStyle w:val="Funote"/>
        <w:rPr/>
      </w:pPr>
      <w:r>
        <w:rPr/>
        <w:footnoteRef/>
        <w:tab/>
        <w:t>meine Seele (mich) - „meine Seele“ ist im Heb. fast stets ein Wechselbegriff für „ich“; so auch hier.</w:t>
      </w:r>
    </w:p>
  </w:footnote>
  <w:footnote w:id="535">
    <w:p>
      <w:pPr>
        <w:pStyle w:val="Funote"/>
        <w:rPr/>
      </w:pPr>
      <w:r>
        <w:rPr/>
        <w:footnoteRef/>
        <w:tab/>
        <w:t>Oder, sprachlich naheliegender, aber seltener in Üss. und Kommentaren zu finden: Damit er [mich] nicht zerreißt, wie ein Löwe meine Seele (=mich) zerfleischen würde, wenn niemand [da wäre, der] [mich] rettet. Ähnlich z.B. Houston/Moore/Waltke 2014, S. 79: „Otherwise he will tear me apart like a lion / that snatches me away with no one to rescue me.“ Bei der Primärübersetzung wäre eigentlich statt dem Partizip poreq eher das Yiqtol jiproq zu erwarten (so daher z.B. Ehrlich 1905, S. 13; Herkenne 1936, S. 61; Kraus 1961, S. 54); vermutlich sogar noch eher Weqatal.</w:t>
      </w:r>
    </w:p>
  </w:footnote>
  <w:footnote w:id="536">
    <w:p>
      <w:pPr>
        <w:pStyle w:val="Funote"/>
        <w:rPr/>
      </w:pPr>
      <w:r>
        <w:rPr/>
        <w:footnoteRef/>
        <w:tab/>
        <w:t>Wenn ich dies getan habe - Umstrittene Stelle. Drei Deutungen sind gut möglich: (1) Entweder ist für zot („dies“) mit Leveen 1966, S. 440 und ws. Wellhausen 1898, S. 5 zimmot („Böses“) zu lesen („Wenn ich Böses getan habe“), (2) oder der Dichter / ein Schreiber hat zot („dies“) stellvertretend für eine Übeltat gesetzt, die er nicht auszusprechen / zu schreiben wagte („Wenn ich du-weißt-schon-was getan habe“ / „Wenn ich X getan habe“; letzteres z.B. bei Terrien 2003, S. 116), wie sich das häufiger in der Bibel findet (vgl. Schorch 2000, S. 244; s. z.B. ganz ähnlich Ijob 31,7), oder (3) zot („dies“) meint hier „Etwas“, „Irgendetwas“ („Wenn ich Irgendetwas getan habe“ so schon Saadia; ähnlich Halévy 1894, S. 2).Die häufigste Deutung - die nämlich, dass mit „dies“ zusammenfassend die folgenden Freveltaten angedeutet werden sollen, die dann in den nächsten drei Zeilen ausgeführt werden - ist wegen V. 4b nicht gut möglich, da diese Zeile auch nicht konkreter ist als 4a.</w:t>
      </w:r>
    </w:p>
  </w:footnote>
  <w:footnote w:id="537">
    <w:p>
      <w:pPr>
        <w:pStyle w:val="Funote"/>
        <w:rPr/>
      </w:pPr>
      <w:r>
        <w:rPr/>
        <w:footnoteRef/>
        <w:tab/>
        <w:t>Unrecht an meinen Händen [ist] - Im Alten Israel hing die Vorstellung von Sünde eng mit der der Reinheit zusammen: Untaten beflecken die Hände (Jes 59,3), machen daher Reinigung (1 Joh 1,9) nötig (s. Jak 4,8: „Reinigt die Hände, Sünder!“). Der Unschuldige dagegen hat „reine Hände“ (Ijob 17,9). Sinnvoll daher z.B. STAD: „Wenn ich meine Hände mit Schuld befleckte“. Falls dies nicht mehr verständlich ist, wäre einfach eine Übersetzung à la NL zu empfehlen: „Wenn ich ungerecht war“.</w:t>
      </w:r>
    </w:p>
  </w:footnote>
  <w:footnote w:id="538">
    <w:p>
      <w:pPr>
        <w:pStyle w:val="Funote"/>
        <w:rPr/>
      </w:pPr>
      <w:r>
        <w:rPr/>
        <w:footnoteRef/>
        <w:tab/>
        <w:t>dem, der - gemeint sind mit dem Sg. wieder die vielen Verfolger, s. die nächste Zeile und vgl. FN c</w:t>
      </w:r>
    </w:p>
  </w:footnote>
  <w:footnote w:id="539">
    <w:p>
      <w:pPr>
        <w:pStyle w:val="Funote"/>
        <w:rPr/>
      </w:pPr>
      <w:r>
        <w:rPr/>
        <w:footnoteRef/>
        <w:tab/>
        <w:t>Schwieriger Vers. Meist wird er gedeutet als Wenn ich meinem Freund mit Bösem vergalt / und [wenn] ich meine Gegner grundlos gerettet habe,.... Die Hauptschwierigkeiten bei dieser Deutung sind, (a) dass die Übersetzung „Freund“, „Verbündeter“ sich für das entsprechende heb. Wort nicht nachweisen lässt und (b) dass die Rettung eines Gegners schwerlich eine Schandtat ist. Schwierigkeit (a) wollen Beyerlin 1970 und Gunkel 1968 lösen, indem sie für scholmi (scheinbar: „mein Freund“) meschalmi („der, der mir's vergilt“) lesen, doch ist dies gar nicht nötig und schon scholmi kann „der, der mir's vergilt“ bedeuten (vgl. bes. Macholz 1979, S. 129; so schon Olshausen 1853, S. 49). Wg. Schwierigkeit (b) lies für ch-l-z („retten“) besser l-ch-z („bedrängen, bedrücken“); so z.B. schon Houbigant 1777, S. 4; heute z.B. BHS und Houston/Moore/Waltke 2014, S. 80.</w:t>
      </w:r>
    </w:p>
  </w:footnote>
  <w:footnote w:id="540">
    <w:p>
      <w:pPr>
        <w:pStyle w:val="Funote"/>
        <w:rPr/>
      </w:pPr>
      <w:r>
        <w:rPr/>
        <w:footnoteRef/>
        <w:tab/>
        <w:t>mich - „Seele“ und „Ehre“ sind in den Psalmen häufig nur Wechselbegriffe für „ich“; so auch hier.</w:t>
      </w:r>
    </w:p>
  </w:footnote>
  <w:footnote w:id="541">
    <w:p>
      <w:pPr>
        <w:pStyle w:val="Funote"/>
        <w:rPr/>
      </w:pPr>
      <w:r>
        <w:rPr/>
        <w:footnoteRef/>
        <w:tab/>
        <w:t>Der Staub ist hier wie oft ein Synonym für die Unterwelt (vgl. z.B. Bratcher/Reyburn 1991, S. 69). Hier wirkt wohl noch das Bild des reißenden Löwen nach: Wie ein solcher soll der Feind den Sänger verfolgen und zu Boden reißen, so dass dieser fortan [tot] in der Unterwelt leben muss. Vom Sinn her daher richtig T4T: „Lass meine Feinde mich verfolgen, fangen, in den Boden trampeln und mich tot im Schmutz liegen lassen!“Vv. 4-6 insgesamt sind eine Unschuldsbeteuerung in Form einer Selbstverfluchung: „[Ich schwöre, ich habe X nicht getan!] Wenn ich X getan habe, soll mir Y widerfahren!“.</w:t>
      </w:r>
    </w:p>
  </w:footnote>
  <w:footnote w:id="542">
    <w:p>
      <w:pPr>
        <w:pStyle w:val="Funote"/>
        <w:rPr/>
      </w:pPr>
      <w:r>
        <w:rPr/>
        <w:footnoteRef/>
        <w:tab/>
        <w:t xml:space="preserve">Die Bedeutung von Selah ist unklar, s. Lexikon / Lemma </w:t>
      </w:r>
      <w:r>
        <w:rPr>
          <w:rtl w:val="true"/>
          <w:lang w:bidi="he-IL"/>
        </w:rPr>
        <w:t>סֶלַה</w:t>
      </w:r>
      <w:r>
        <w:rPr/>
        <w:t>. In der LF sollte es daher besser ausgespart werden.</w:t>
      </w:r>
    </w:p>
  </w:footnote>
  <w:footnote w:id="543">
    <w:p>
      <w:pPr>
        <w:pStyle w:val="Funote"/>
        <w:rPr/>
      </w:pPr>
      <w:r>
        <w:rPr/>
        <w:footnoteRef/>
        <w:tab/>
        <w:t>erwache - Hinter diesem häufigen Aufruf steht die Vorstellung, dass - da einerseits ja Gott die ganze Welt lenkt und leitet, andererseits aber offensichtlich gerade ein Unrecht geschieht - Gott aktuell „inaktiv“ sein muss (vgl. näher z.B. Schlaf (Wibilex)). Ob dies „schlafen“ wirklich nur eine Metapher für die Inaktivität Gottes ist, oder ob die Vorstellung tatsächlich wörtlich genommen werden muss, lässt sich heute nicht mehr sagen.</w:t>
      </w:r>
    </w:p>
  </w:footnote>
  <w:footnote w:id="544">
    <w:p>
      <w:pPr>
        <w:pStyle w:val="Funote"/>
        <w:rPr/>
      </w:pPr>
      <w:r>
        <w:rPr/>
        <w:footnoteRef/>
        <w:tab/>
        <w:t>Textkritik: Und erwache, mein Gott (Und erwache zu mir hin?) - Die Alternativübersetzung ist der eigentliche Wortlaut des heb. Textes und macht offensichtlich nicht viel Sinn. Lies nach LXX für elaj („zu mir hin“) eli („mein Gott“), wofür nur die masoretische Vokalisierung geändert werden muss (so z.B. Brueggemann/Bellinger 2014; Houston/Moore/Waltke 2014, S. 80), oder deute sogar ohne Umvokalisierung - aber unwahrscheinlicher - elaj als Pluralis majestatis „meine Götter“ (=„mein Gott“, so z.B. Dahood 1965, S. 43; Goldingay 2006, S. 143).</w:t>
      </w:r>
    </w:p>
  </w:footnote>
  <w:footnote w:id="545">
    <w:p>
      <w:pPr>
        <w:pStyle w:val="Funote"/>
        <w:rPr/>
      </w:pPr>
      <w:r>
        <w:rPr/>
        <w:footnoteRef/>
        <w:tab/>
        <w:t>[der] du das Recht eingesetzt hast! - Meist: „Berufe ein Gericht ein“ (gedeutet als prekatives Perfekt, so z.B. Buttenwieser 1938, S. 413; Houston/Moore/Waltke 2014, S. 80) oder „Du hast [ja schon] ein Gericht einberufen“. Das ist unwahrscheinlich; die Kombination der Wörter mischpat („Gebot, Gericht“) und tsawah („einsetzen, gebieten“) findet sich in der Bibel häufig und steht dann stets für den Akt der göttlichen Gesetzgebung (s. Num 27,11; 36,13; Dtn 4,5; 6,20; 8,11; 1 Kön 8,58; 2 Kön 17,34; 1Chr 22,13; 2 Chr 33,8; Neh 1,7; Mal 3,22) oder einmal auch der aaronitischen Gesetzgebung (1 Chr 24,19). Sehr wahrscheinlich wird hier also nicht nur an JHWH, den Weltenrichter appelliert, sondern in dieser Zeile auch noch an JHWH, die „Welt-Legislative“: „Du, von dem doch alle Gebote stammen: Halte Gericht!“</w:t>
      </w:r>
    </w:p>
  </w:footnote>
  <w:footnote w:id="546">
    <w:p>
      <w:pPr>
        <w:pStyle w:val="Funote"/>
        <w:rPr/>
      </w:pPr>
      <w:r>
        <w:rPr/>
        <w:footnoteRef/>
        <w:tab/>
        <w:t>Und über sie kehre zur Höhe zurück - nämlich, nachdem du erwacht bist, auf deinen himmlischen „Richterthron“ (4Esr 7,33), um dein Richtamt auszuüben; s. die Parallelstellen und vgl. zur Vorstellung z.B. Tag Jahwes (AT) (Wibilex).</w:t>
      </w:r>
    </w:p>
  </w:footnote>
  <w:footnote w:id="547">
    <w:p>
      <w:pPr>
        <w:pStyle w:val="Funote"/>
        <w:rPr/>
      </w:pPr>
      <w:r>
        <w:rPr/>
        <w:footnoteRef/>
        <w:tab/>
        <w:t>JHWH richte die Völker - ein sogenannter „P-Shift“: In der heb. Lyrik kann plötzlich die Rede zu Gott abwechseln mit der Rede über Gott, ohne, dass dies einen Bedeutungsunterschied machen würde (daher wird auch in der zweiten Zeile wieder fortgefahren mit der Rede zu Gott). Im Dt. würde man auch hier schreiben: „JHWH, du richtest die Völker“.</w:t>
      </w:r>
    </w:p>
  </w:footnote>
  <w:footnote w:id="548">
    <w:p>
      <w:pPr>
        <w:pStyle w:val="Funote"/>
        <w:rPr/>
      </w:pPr>
      <w:r>
        <w:rPr/>
        <w:footnoteRef/>
        <w:tab/>
        <w:t>Zu Schaff mir Recht statt der häufigen Übersetzung „richte mich“ vgl. gut Liedke 1971, S. 66f: Die Bitte zielt darauf, dass die durch ein Unrecht gestörte kosmische Ordnung wieder hergestellt werden soll; nicht darauf, dass der Beter gerne als Angeklagter vor dem kosmischen Gericht stehen würde. Sinngemäß also meint die Bitte etwas wie: „JHWH, der du die Völker richtest: Richte mich her“.</w:t>
      </w:r>
    </w:p>
  </w:footnote>
  <w:footnote w:id="549">
    <w:p>
      <w:pPr>
        <w:pStyle w:val="Funote"/>
        <w:rPr/>
      </w:pPr>
      <w:r>
        <w:rPr/>
        <w:footnoteRef/>
        <w:tab/>
        <w:t>gemäß meiner Gerechtigkeit - d.h., wie dies meiner Gerechtigkeit angemessen wäre.</w:t>
      </w:r>
    </w:p>
  </w:footnote>
  <w:footnote w:id="550">
    <w:p>
      <w:pPr>
        <w:pStyle w:val="Funote"/>
        <w:rPr/>
      </w:pPr>
      <w:r>
        <w:rPr/>
        <w:footnoteRef/>
        <w:tab/>
        <w:t>[die] auf mir [ist] - vielleicht ein Wortspiel: Dass Unschuld „auf“ jemandem ist, ist auch im Heb. nicht idiomatisch. Vielleicht soll hier mit der Vorstellung von Sündigkeit und Ungerechtigkeit, die „auf“ (Ez 33,10; auch Ez 18,31: „Werft von auf euch alle Übertretungen...“) jemandem lastet (Jes 24,20) wie ein Joch (Klg 1,14), gespielt werden: Solche lasten gerade nicht auf dem Beter; auf ihm lastet nur Unschuld.</w:t>
      </w:r>
    </w:p>
  </w:footnote>
  <w:footnote w:id="551">
    <w:p>
      <w:pPr>
        <w:pStyle w:val="Funote"/>
        <w:rPr/>
      </w:pPr>
      <w:r>
        <w:rPr/>
        <w:footnoteRef/>
        <w:tab/>
        <w:t>Böses von Frevlern (böse Frevler, Bosheit von Frevler?) - Was auf den ersten Blick „Böses von Frevlern“ zu bedeuten scheint und daher häufig nach „Bosheit von Frevlern“ emendiert worden ist, heißt wohl einfach „böse Frevler“ (zur Konstruktion vgl. GKC § 132c).</w:t>
      </w:r>
    </w:p>
  </w:footnote>
  <w:footnote w:id="552">
    <w:p>
      <w:pPr>
        <w:pStyle w:val="Funote"/>
        <w:rPr/>
      </w:pPr>
      <w:r>
        <w:rPr/>
        <w:footnoteRef/>
        <w:tab/>
        <w:t>sicher stehen lassen - häufige Metapher, vgl. näher FN r zu Ps 30,7: Das „Wanken“ steht in der Bibel für eine Gefährdung, aus der direkt Vernichtung und Tod folgt. Wer dagegen „sicher steht“, „nicht wankt“, ist sicher und geschützt und wird daher ewig bestehen - hier im Gegensatz zu den Frevlern, die ob ihrer Bosheit „enden“ sollen. Sehr schön BB: „Mach ein Ende mit der Bosheit dieser Frevler. / Doch den Gerechten lass bestehen.“, auch z.B. ZÜR: „doch dem Gerechten gib Bestand!“</w:t>
      </w:r>
    </w:p>
  </w:footnote>
  <w:footnote w:id="553">
    <w:p>
      <w:pPr>
        <w:pStyle w:val="Funote"/>
        <w:rPr/>
      </w:pPr>
      <w:r>
        <w:rPr/>
        <w:footnoteRef/>
        <w:tab/>
        <w:t>Herz und Nieren - Das Herz ist im heb. Menschenbild Sitz der Gedanken, die Nieren Sitz der Emotionen. Dass Gott „Herz und Nieren prüft“, meint also, dass er das ganze „Innenleben“ des Menschen kennt - dass er ihm „in Herz und Hirn“ sehen kann. Vgl. z.B. ThWAT IV, S. 191 und s. z.B. Ps 26,2; Weish 1,6; Jer 11,20; 17,10.</w:t>
      </w:r>
    </w:p>
  </w:footnote>
  <w:footnote w:id="554">
    <w:p>
      <w:pPr>
        <w:pStyle w:val="Funote"/>
        <w:rPr/>
      </w:pPr>
      <w:r>
        <w:rPr/>
        <w:footnoteRef/>
        <w:tab/>
        <w:t>Der gerechte Gott prüft Herz und Nieren... - oder: „[Du], gerechter Gott, prüfst Herz und Nieren.“</w:t>
      </w:r>
    </w:p>
  </w:footnote>
  <w:footnote w:id="555">
    <w:p>
      <w:pPr>
        <w:pStyle w:val="Funote"/>
        <w:rPr/>
      </w:pPr>
      <w:r>
        <w:rPr/>
        <w:footnoteRef/>
        <w:tab/>
        <w:t>Textkritik: Mein Schild auf mir (auf) - W. „Mein Schild [ist] auf Gott“; lies statt al („auf“) besser alaj („auf mir“); so z.B. BHS; Kraus 1961, S. 54; Terrien 2003, S. 121; Weiser 1959, S. 90. Erwägenswert auch Herkenne 1936, S. 63; Kissane 1953, S. 28: lies jo`il („hilfreich“), also „mein hilfreicher Schild“.</w:t>
      </w:r>
    </w:p>
  </w:footnote>
  <w:footnote w:id="556">
    <w:p>
      <w:pPr>
        <w:pStyle w:val="Funote"/>
        <w:rPr/>
      </w:pPr>
      <w:r>
        <w:rPr/>
        <w:footnoteRef/>
        <w:tab/>
        <w:t>der jeden Tag zürnt - nämlich den Frevlern, wie das der Text sicher voraussetzt und wie das schon Tg und heute z.B. GN, NGÜ, NL, T4T ergänzen.</w:t>
      </w:r>
    </w:p>
  </w:footnote>
  <w:footnote w:id="557">
    <w:p>
      <w:pPr>
        <w:pStyle w:val="Funote"/>
        <w:rPr/>
      </w:pPr>
      <w:r>
        <w:rPr/>
        <w:footnoteRef/>
        <w:tab/>
        <w:t>Wenn man sich nicht bekehrt, [sondern] sein Schwert wetzt... - Umstrittener Vers. Nach der obigen Deutung ist das Subjekt der Sätze ab 13a der Frevler und der ganze V. 13 ist die Protasis (=der „Wenn“-Satz) für die Apodosis (=der „Dann“-Satz) V. 14 (so z.B. auch Fokkelman 2000, S. 67; EÜ, wohl auch BB). Möglich sind aber auch viele andere Deutungen:Umstritten ist nämlich genauer (a), wie im lo jaschub (hier: „wenn man sich nicht bekehrt“) gedeutet werden muss, (b), wer Subjekt dieser Sätze ist und (c), wo „wenn man sich nicht bekehrt“ einzuordnen ist.Zu (a): (a1) Die natürlichste Deutung ist die obige als „Wenn man sich nicht bekehrt“. Möglich wären aber auch (a2) „Fürwahr, schon wieder [wetzt er (=der Frevler) sein Schwert]“ (so z.B. Kraus 1961, S. 53; schon Olshausen 1853, S. 52) und (a3) „Ach, wenn doch wieder [er sein Schwert schärfen würde]“ (so m.W. nur Dahood 1965, S. 41).Zu (b): (b1) Die natürlichste Deutung wäre, dass in Vv. 13f. Gott das Subjekt ist (so z.B. Hubbard 1982, S. 269; Macintosh 1982, S. 487). Aber dann ließe sich das „für sich [selbst]“ in V. 14 nicht gut erklären. (b2) Besser ist daher die Deutung, die den „Frevler“ als Subjekt dieser Verse sieht (so z.B. Gerstenberger 1991, S. 63; Nötscher 1959, S. 26). (b3) Daneben vertreten wurde auch, dass der Frevler das Subjekt des Nebensatzes und Gott das Subjekt der restlichen Sätze wäre: „Wenn er (=der Frevler) sich nicht bekehrt, wetzt er (=Gott) sein Schwert.“ (so z.B. Bratcher/Reyburn 1991, S. 73f.; viele Üss.). Aber das ist recht unwahrscheinlich.Zu (c): (c1) Nach der masoretischen Deutung müsste der Nebensatz zum Rest von V. 13 gezogen werden: „Wenn man sich nicht bekehrt, ...“ (so fast alle). Theoretisch möglich wäre aber auch eine Deutung nach dem Muster „er ist auch ein Gott, der jeden Tag zürnt, wenn man sich nicht bekehrt. / ...“ (so z.B. Macintosh 1982, S. 485; auch Craigie 1983; Deissler 1989 und schon Schegg 1845 z.St.)</w:t>
      </w:r>
    </w:p>
  </w:footnote>
  <w:footnote w:id="558">
    <w:p>
      <w:pPr>
        <w:pStyle w:val="Funote"/>
        <w:rPr/>
      </w:pPr>
      <w:r>
        <w:rPr/>
        <w:footnoteRef/>
        <w:tab/>
        <w:t>ihn aufrichtet - d.h. wohl: „mit ihm zielt“.</w:t>
      </w:r>
    </w:p>
  </w:footnote>
  <w:footnote w:id="559">
    <w:p>
      <w:pPr>
        <w:pStyle w:val="Funote"/>
        <w:rPr/>
      </w:pPr>
      <w:r>
        <w:rPr/>
        <w:footnoteRef/>
        <w:tab/>
        <w:t>zu brennenden - d.h., zu Brandpfeilen.</w:t>
      </w:r>
    </w:p>
  </w:footnote>
  <w:footnote w:id="560">
    <w:p>
      <w:pPr>
        <w:pStyle w:val="Funote"/>
        <w:rPr/>
      </w:pPr>
      <w:r>
        <w:rPr/>
        <w:footnoteRef/>
        <w:tab/>
        <w:t>tFN: Wenn (siehe) - zu hinneh mit der Bedeutung „wenn“ vgl. KBL3, S. 242 und s. z.B. 1 Sam 9,7; 2 Sam 18,11; 2 Kön 7,2.</w:t>
      </w:r>
    </w:p>
  </w:footnote>
  <w:footnote w:id="561">
    <w:p>
      <w:pPr>
        <w:pStyle w:val="Funote"/>
        <w:rPr/>
      </w:pPr>
      <w:r>
        <w:rPr/>
        <w:footnoteRef/>
        <w:tab/>
        <w:t>und gebiert - Trug (und gebiert Lügen) - umstrittener Satz. Entweder ist ist die Aussage eine ähnliche wie in Vv. 13f.16: Das Planen von Unheil bringt dem Planer selbst Unheil ein, also „ist man schwanger mit Unheil, hat man eine Fehlgeburt“ (so z.B. B-R; GN; Kissane 1953, S. 28; SLT; Terrien 2003, S. 117; Wellhausen 1898, S. 6; Zorell 1928, S. 9; s. Ijob 15,35; Jes 33,11). Möglich ist aber auch, dass „Trug“ hier den selben Status hat wie „Frevel“ und „Bosheit“ und dass der Beter sich in V. 15 also noch einmal über den Frevler, der Böses tut - nämlich z.B., indem er „Lügen gebiert“ (s. ähnlich Jes 59,4), beklagt. Wegen dem Kontext ist aber der ersten Deutung der Vorzug zu geben.</w:t>
      </w:r>
    </w:p>
  </w:footnote>
  <w:footnote w:id="562">
    <w:p>
      <w:pPr>
        <w:pStyle w:val="Funote"/>
        <w:rPr/>
      </w:pPr>
      <w:r>
        <w:rPr/>
        <w:footnoteRef/>
        <w:tab/>
        <w:t>[Status: Zuverlässig]</w:t>
      </w:r>
    </w:p>
  </w:footnote>
  <w:footnote w:id="563">
    <w:p>
      <w:pPr>
        <w:pStyle w:val="Funote"/>
        <w:rPr/>
      </w:pPr>
      <w:r>
        <w:rPr/>
        <w:footnoteRef/>
        <w:tab/>
        <w:t>Genaue Bedeutung unklar. Die gewählte Übersetzung entspricht der Mehrheitsmeinung.</w:t>
      </w:r>
    </w:p>
  </w:footnote>
  <w:footnote w:id="564">
    <w:p>
      <w:pPr>
        <w:pStyle w:val="Funote"/>
        <w:rPr/>
      </w:pPr>
      <w:r>
        <w:rPr/>
        <w:footnoteRef/>
        <w:tab/>
        <w:t xml:space="preserve">Die Bedeutung von </w:t>
      </w:r>
      <w:r>
        <w:rPr>
          <w:rtl w:val="true"/>
          <w:lang w:bidi="he-IL"/>
        </w:rPr>
        <w:t>גִּתִּית</w:t>
      </w:r>
      <w:r>
        <w:rPr/>
        <w:t xml:space="preserve"> </w:t>
      </w:r>
      <w:r>
        <w:rPr/>
        <w:t>ist unklar. # Tg, Rashi und mit ihm Herbert Bosham verstanden es als eine Bezeichnung für ein Musikinstrument, das aus dem Ort „Gath“ stammte: „Zu singen zur Harfe, die David aus Gath brachte“ (vgl. Waltke 2010, S. 251). Allerdings wäre der Fall, dass ein Psalm auf genau einem Instrument gespielt werden dürfte (nämlich gerade dem, das David aus Gath mitbrachte), völlig singulär in den Psalmen und der Bibel. # Tur-Sinai versteht die Vokabel als Bezeichnung eines Musikinstruments („Mit dem Begleitspieler auf der Gittit“). Allerdings wäre eine solche Angabe zur Instrumentierung im Text des Psalms merkwürdig fehl am Platz. # LXX, VUL, Sym lesen es als feminines Adjektiv von gath „Weinpresse“; ebenso Gregor von Nyssa („für die Weinpresse“; vgl. Miller 2010, S. 221). Allerdings ist nicht einzusehen, wie ein Lied mit einem derartigen Text als worksong dienen soll. Besser daher wie König 1927; S. 28: „nach der beim Keltern üblichen Singweise“, oder: # Einige Üss. interpretieren als Ausdruck für eine Melodie (z.B. ELB: „Nach der Gittit“).</w:t>
      </w:r>
    </w:p>
  </w:footnote>
  <w:footnote w:id="565">
    <w:p>
      <w:pPr>
        <w:pStyle w:val="Funote"/>
        <w:rPr/>
      </w:pPr>
      <w:r>
        <w:rPr/>
        <w:footnoteRef/>
        <w:tab/>
        <w:t>Der „Name“ Gottes steht meist metonymisch für Gott selbst (vgl. ad loc. z.B. König 1927, S. 146); man bezeichnet damit „Gott im Menschenmund“. Daher die Alternative „bist du“. Dass Gottes „Name“ auf der Erde „herrlich“ (</w:t>
      </w:r>
      <w:r>
        <w:rPr>
          <w:rtl w:val="true"/>
          <w:lang w:bidi="he-IL"/>
        </w:rPr>
        <w:t>אַדִּיר</w:t>
      </w:r>
      <w:r>
        <w:rPr/>
        <w:t xml:space="preserve">) ist, meint dann, das Gott selbst auf Erden sehr gepriesen wird (SS z.B. gibt aus diesem Grund für für </w:t>
      </w:r>
      <w:r>
        <w:rPr>
          <w:rtl w:val="true"/>
          <w:lang w:bidi="he-IL"/>
        </w:rPr>
        <w:t>אַדִּיר</w:t>
      </w:r>
      <w:r>
        <w:rPr/>
        <w:t xml:space="preserve"> </w:t>
      </w:r>
      <w:r>
        <w:rPr/>
        <w:t>in Ps 8,2.10 tatsächlich den Übersetzungsvorschlag „gepriesen“ (S. 9), was zwar die Wortbedeutung nicht vollends trifft, den Sinn unserer Stelle aber bestens erfasst).</w:t>
      </w:r>
    </w:p>
  </w:footnote>
  <w:footnote w:id="566">
    <w:p>
      <w:pPr>
        <w:pStyle w:val="Funote"/>
        <w:rPr/>
      </w:pPr>
      <w:r>
        <w:rPr>
          <w:rtl w:val="true"/>
          <w:lang w:bidi="he-IL"/>
        </w:rPr>
        <w:footnoteRef/>
        <w:tab/>
        <w:t>הוֹד</w:t>
      </w:r>
      <w:r>
        <w:rPr/>
        <w:t xml:space="preserve"> </w:t>
      </w:r>
      <w:r>
        <w:rPr/>
        <w:t xml:space="preserve">wird hier - entsprechend vielen anderen Gottesprädikaten (z.B. </w:t>
      </w:r>
      <w:r>
        <w:rPr>
          <w:rtl w:val="true"/>
          <w:lang w:bidi="he-IL"/>
        </w:rPr>
        <w:t>כָּבוֹד</w:t>
      </w:r>
      <w:r>
        <w:rPr/>
        <w:t xml:space="preserve"> „</w:t>
      </w:r>
      <w:r>
        <w:rPr/>
        <w:t>Herrlichkeit“) - metonymisch für Gott selbst verwendet.</w:t>
      </w:r>
    </w:p>
  </w:footnote>
  <w:footnote w:id="567">
    <w:p>
      <w:pPr>
        <w:pStyle w:val="Funote"/>
        <w:rPr/>
      </w:pPr>
      <w:r>
        <w:rPr/>
        <w:footnoteRef/>
        <w:tab/>
        <w:t xml:space="preserve">Textkritik: welche und wird gepriesen ist unsere Übersetzung des hebräischen Satzanfangs </w:t>
      </w:r>
      <w:r>
        <w:rPr>
          <w:rtl w:val="true"/>
          <w:lang w:bidi="he-IL"/>
        </w:rPr>
        <w:t>אֲשֶׁר תְּנָה</w:t>
      </w:r>
      <w:r>
        <w:rPr/>
        <w:t xml:space="preserve">. Der Urtext ergibt hier keinen Sinn, wörtlich übersetzt lautete er „welche (Rel.pr.), gib!, deine Herrlichkeit...“ - was auch im Hebräischen ungrammatisch wäre (vgl. gut Rudolph 1977, S. 389f). Im Anschluss an LXX, Alter, Childs, Fokkelman, Gunkel, Kissane, König, Morgenstern, Ridderbos, Soggin, Tur-Sinai u.a. haben wir deshalb tənāh umpunktiert zu tunāh und </w:t>
      </w:r>
      <w:r>
        <w:rPr>
          <w:rtl w:val="true"/>
          <w:lang w:bidi="he-IL"/>
        </w:rPr>
        <w:t>אֲשֶׁר</w:t>
      </w:r>
      <w:r>
        <w:rPr/>
        <w:t xml:space="preserve"> </w:t>
      </w:r>
      <w:r>
        <w:rPr/>
        <w:t>gestrichen. Aus „welche, gib“ wird dann „wird gepriesen“. Vgl. dazu v.a. Soggin 1971, bes. S. 565-567, der auch viele weitere Alternativen listet; s.a. die kurze Übersicht in Kaiser 1998, S. 66 und die sehr lange in Kunjummen 1985, S. 82-91. Gegen diese Lösung vgl. aber auch Donner 1967.</w:t>
      </w:r>
    </w:p>
  </w:footnote>
  <w:footnote w:id="568">
    <w:p>
      <w:pPr>
        <w:pStyle w:val="Funote"/>
        <w:rPr/>
      </w:pPr>
      <w:r>
        <w:rPr/>
        <w:footnoteRef/>
        <w:tab/>
        <w:t xml:space="preserve">Schwierige Stelle; drei verschiedene Deutungen haben sich im Laufe der Zeit etabliert: # Der Text wird interpretiert, wie er steht; die Übersetzung lautete dann: „Aus dem Mund von Kleinkindern und Säuglingen hast du Kraft/eine Festung gegründet wegen deiner Gegner, um Feind und Rächer zu vernichten.“ - was offensichtlicher Nonsens ist. # Man lässt mit LXX </w:t>
      </w:r>
      <w:r>
        <w:rPr>
          <w:rtl w:val="true"/>
          <w:lang w:bidi="he-IL"/>
        </w:rPr>
        <w:t>עֹז</w:t>
      </w:r>
      <w:r>
        <w:rPr/>
        <w:t xml:space="preserve"> </w:t>
      </w:r>
      <w:r>
        <w:rPr/>
        <w:t xml:space="preserve">nicht „Stärke, Bollwerk“, sondern „Preis, Lob“ bedeuten; die Übersetzung lautet dann: „Aus dem Mund von Kleinkindern und Säuglingen hast du Preis gegründet wegen deiner Gegner, um Feind und Rächer zu vernichten.“ - Allerdings ist nicht einzusehen, wie die Preisungen und warum die Preisungen gerade von Säuglingen Gott gegen seine Gegner helfen sollten. Zudem gehört „Preis, Lob“ wohl nicht zum Bedeutungsspektrum von </w:t>
      </w:r>
      <w:r>
        <w:rPr>
          <w:rtl w:val="true"/>
          <w:lang w:bidi="he-IL"/>
        </w:rPr>
        <w:t>עֹז</w:t>
      </w:r>
      <w:r>
        <w:rPr/>
        <w:t xml:space="preserve">. So zwar auch SS und Ges18; nicht aber BDB, DCH, KBL3, Kön; explizit dagegen ZLH und es ist dieses </w:t>
      </w:r>
      <w:r>
        <w:rPr>
          <w:rtl w:val="true"/>
          <w:lang w:bidi="he-IL"/>
        </w:rPr>
        <w:t>עֹז</w:t>
      </w:r>
      <w:r>
        <w:rPr/>
        <w:t xml:space="preserve">=„Preis“ auch eine ganz unnötige Annahme. ## Eine Variante dieser Deutung liest außerdem noch </w:t>
      </w:r>
      <w:r>
        <w:rPr>
          <w:rtl w:val="true"/>
          <w:lang w:bidi="he-IL"/>
        </w:rPr>
        <w:t>לְהַשְׁבִּית</w:t>
      </w:r>
      <w:r>
        <w:rPr/>
        <w:t xml:space="preserve"> </w:t>
      </w:r>
      <w:r>
        <w:rPr/>
        <w:t xml:space="preserve">als „um sie zum Schweigen zu bringen“; die Übersetzung lautet dann „Aus dem Mund von Kleinkindern und Säuglingen hast du Preis gegründet wegen deiner Gegner, um Feind und Rächer zum Schweigen zu bringen.“ - Auch das macht nicht viel Sinn, denn was soll das schon bedeuten - dass Gott kleine Kinder zum Schreien bringt, um so seine Gegner zu übertönen? Und auch diese Bestimmung von </w:t>
      </w:r>
      <w:r>
        <w:rPr>
          <w:rtl w:val="true"/>
          <w:lang w:bidi="he-IL"/>
        </w:rPr>
        <w:t>שבת</w:t>
      </w:r>
      <w:r>
        <w:rPr/>
        <w:t xml:space="preserve">=„zum Schweigen bringen“ ist wohl verfehlt. # Eine dritte Variante wurde z.B. vertreten von Soggin und Fokkelman, die V. 3a zu 2 ziehen: „Deine Hoheit wird gepriesen im Himmel aus dem Mund von Kleinkindern und Säuglingen. Du hast ein Bollwerk/Stärke gegründet...“ - Allerdings ist hier fraglich, was Kleinkinder und Säuglinge im Himmel zu suchen haben. # Es sei daher vorsichtig folgende alternative Deutung vorgeschlagen: (a) Die Präposition </w:t>
      </w:r>
      <w:r>
        <w:rPr>
          <w:rtl w:val="true"/>
          <w:lang w:bidi="he-IL"/>
        </w:rPr>
        <w:t>מִנ</w:t>
      </w:r>
      <w:r>
        <w:rPr/>
        <w:t xml:space="preserve"> </w:t>
      </w:r>
      <w:r>
        <w:rPr/>
        <w:t xml:space="preserve">ist zu deuten als min causae; (b) </w:t>
      </w:r>
      <w:r>
        <w:rPr>
          <w:rtl w:val="true"/>
          <w:lang w:bidi="he-IL"/>
        </w:rPr>
        <w:t>פֶּה</w:t>
      </w:r>
      <w:r>
        <w:rPr/>
        <w:t xml:space="preserve"> </w:t>
      </w:r>
      <w:r>
        <w:rPr/>
        <w:t>bedeutet nicht nur „Mund“, sondern steht auch synekdochisch für Menschen als Redende (vgl. z.B. Gen 24,57: „ihren Mund befragen“=„sie befragen“; 45,12: „Mein Mund spricht zu euch“=„Ich spreche zu euch“; Dtn 31,21: „Euer Mund soll nicht vergessen“=„Ihr sollt immerfort wiederholen“ u.ö.); auch bezeichnet es häufig metonymisch Akte des Sprechens; hier also das Klagen von Kindern / die Gebete von Kindern (dies schon Smend 1888, S. 55f; SS 568; vgl. auch Neumann-Gorsolke 2013, S. 18). -&gt; Aufgrund von etwas, das die Kinder von sich gegeben haben, handelt Gott, wie er handelt (so kürzlich auch Schnieringer 2004, S. 148: „Um des Schreiens der Kinder willen“; Talstra 1996, S. 3: „for reason of the children's voice“; ähnlich Goldingay 2006, S. 153).V. 3 wäre dann eine Umschreibung von V. 5, mit dem er ohnehin eng zusammenhängt, da hier wie dort „Mensch“ durch je zwei Begriffe umschrieben wird, die die Kleinheit des Menschen unterstreichen: Gott reagiert auf das Klagen von Kleinkind und Säugling = Gott achtet auf Menschlein und Menschenkind. Interessant ist dann die Parallele im Enuma Elisch: Dort bitten Tiamats Kinder Marduk darum, gegen Tiamat in den Krieg zu ziehen (IV, 26-34). Das tut er auch, besiegt sie, teilt ihren Körper in zwei Hälften und kerkert die obere Körperhälfte ein, indem er das Firmament erbaut (IV, 137-140). Aber man sollte wohl nicht zu viel aus dieser Parallele machen.</w:t>
      </w:r>
    </w:p>
  </w:footnote>
  <w:footnote w:id="569">
    <w:p>
      <w:pPr>
        <w:pStyle w:val="Funote"/>
        <w:rPr/>
      </w:pPr>
      <w:r>
        <w:rPr/>
        <w:footnoteRef/>
        <w:tab/>
        <w:t>Sowohl das Wort für „Kleinkinder“ als auch das für „Säuglinge“ steht für Kinder bis maximal drei Jahren. Die übliche Übersetzung „Kinder und Säuglinge“ ist also ungenau.</w:t>
      </w:r>
    </w:p>
  </w:footnote>
  <w:footnote w:id="570">
    <w:p>
      <w:pPr>
        <w:pStyle w:val="Funote"/>
        <w:rPr/>
      </w:pPr>
      <w:r>
        <w:rPr/>
        <w:footnoteRef/>
        <w:tab/>
        <w:t>zu den verschiedenen Übersetzungsweisen vgl. BDB 799; Dahood 1965, S. 166; Soggin 1971, S. 568; mit dem „Bollwerk“ ist vermutlich der Himmelsbogen gemeint, der das Wasser über der Erde zurückhält und über dem Gott thront; vgl. z.B. Kinzer 1995, S. 28f. Zu „Preis“ vgl. noch FN f.</w:t>
      </w:r>
    </w:p>
  </w:footnote>
  <w:footnote w:id="571">
    <w:p>
      <w:pPr>
        <w:pStyle w:val="Funote"/>
        <w:rPr/>
      </w:pPr>
      <w:r>
        <w:rPr/>
        <w:footnoteRef/>
        <w:tab/>
        <w:t xml:space="preserve">zu „um deiner Gegner willen“ vgl. FN ad zu Ps 5,9: </w:t>
      </w:r>
      <w:r>
        <w:rPr>
          <w:rtl w:val="true"/>
          <w:lang w:bidi="he-IL"/>
        </w:rPr>
        <w:t>לְמַעַן</w:t>
      </w:r>
      <w:r>
        <w:rPr/>
        <w:t xml:space="preserve"> </w:t>
      </w:r>
      <w:r>
        <w:rPr/>
        <w:t>dient hier wohl zur Bezeichnung der Motivation, die Gott zu einer Handlung veranlassen soll, also wohl „wegen deiner = wider deine Feinde“</w:t>
      </w:r>
    </w:p>
  </w:footnote>
  <w:footnote w:id="572">
    <w:p>
      <w:pPr>
        <w:pStyle w:val="Funote"/>
        <w:rPr/>
      </w:pPr>
      <w:r>
        <w:rPr/>
        <w:footnoteRef/>
        <w:tab/>
        <w:t>Für den Ausdruck „Finger Gottes“ sind unterschiedlichste Deutungen vorgeschlagen worden. Craigie 1983 etwa denkt, dass das „mit dem Finger Gottes Gewirkte“ für Gott nur eine Kleinigkeit sei; Alter 2007 glaubt, dass „Finger“ hier deshalb verwendet wird, um auf die „Feinarbeit“ zu verweisen, die Gott bei der Schöpfung des Himmels verrichtet habe.Beides ist für das Deutsche und Englische zwar naheliegend; für diese Konnotation des „Fingers“ fanden wir in der Bibel aber keine Indizien. Wahrscheinlicher ist daher: Der „Finger Gottes“ wird gelegentlich im Zusammenhang mit Machttaten Gottes verwendet und bezeichnet so Gottes Macht (s. Ex 8,19; Lk 11,20; evt. auch Ex 31,18; Dtn 9,10), wie ja auch die „Hand“ im Hebräischen häufiger ein Ausdruck für die „Macht“ Gottes ist; vgl. ähnlich auch schon Cumming 1854, S. 5. Alternativ steht mit Bezug auf den Menschen der Finger auch oft einfach als poetisches Synonym im Parallelismus zur menschlichen „Hand“ (s. Ps 144,1; Hld 5,5; Jes 2,8; Jes 17,8; so ja auch hier, s. V. 6); orientierte man sich daran, wären die „Finger“ nur metonymischer Ausdruck für Gott selbst als den Wirkenden, also „Deiner Finger Werk“.</w:t>
      </w:r>
    </w:p>
  </w:footnote>
  <w:footnote w:id="573">
    <w:p>
      <w:pPr>
        <w:pStyle w:val="Funote"/>
        <w:rPr/>
      </w:pPr>
      <w:r>
        <w:rPr/>
        <w:footnoteRef/>
        <w:tab/>
        <w:t>In der biblischen Poesie werden Zitate häufig nicht durch verba dicendi eingeleitet; im Deutschen muss man diese Redeeinleitungen ergänzen. Vgl. dazu ad loc. z.B. GKC §159dd.</w:t>
      </w:r>
    </w:p>
  </w:footnote>
  <w:footnote w:id="574">
    <w:p>
      <w:pPr>
        <w:pStyle w:val="Funote"/>
        <w:rPr/>
      </w:pPr>
      <w:r>
        <w:rPr/>
        <w:footnoteRef/>
        <w:tab/>
        <w:t xml:space="preserve">Die Vokabel </w:t>
      </w:r>
      <w:r>
        <w:rPr>
          <w:rtl w:val="true"/>
          <w:lang w:bidi="he-IL"/>
        </w:rPr>
        <w:t>אֱנוֹשׁ</w:t>
      </w:r>
      <w:r>
        <w:rPr/>
        <w:t xml:space="preserve"> </w:t>
      </w:r>
      <w:r>
        <w:rPr/>
        <w:t>Mensch bezieht sich oft auf den Menschen in seiner Schwachheit und Fehlerhaftigkeit, s. die Parallelstellen; vgl. auch TWOT 136a; Waltke 2010, S. 266.</w:t>
      </w:r>
    </w:p>
  </w:footnote>
  <w:footnote w:id="575">
    <w:p>
      <w:pPr>
        <w:pStyle w:val="Funote"/>
        <w:rPr/>
      </w:pPr>
      <w:r>
        <w:rPr/>
        <w:footnoteRef/>
        <w:tab/>
        <w:t>Das „Erinnern“ und „Beachten“ Gottes ist nicht wörtlich zu verstehen, sondern beides sind geprägte Wendungen für ein Handeln Gottes an dem, dessen er sich „erinnert“ oder auf den er „achtet“. Ist es nicht näher bestimmt, meint es meist ein heilsames Handeln; so auch hier. Vgl. zu „Erinnern“ Gen 8,1; 19,29; 30,22; Ex 32,13; Dtn 9,27 u.ö.; zu „Beachten“ Gen 21,1; 50,24f; Ex 3,16; 4,31; 1Sam 2,21 u.ö.</w:t>
      </w:r>
    </w:p>
  </w:footnote>
  <w:footnote w:id="576">
    <w:p>
      <w:pPr>
        <w:pStyle w:val="Funote"/>
        <w:rPr/>
      </w:pPr>
      <w:r>
        <w:rPr/>
        <w:footnoteRef/>
        <w:tab/>
        <w:t>„</w:t>
      </w:r>
      <w:r>
        <w:rPr/>
        <w:t>Menschenkind“ gut nach Ridderbos 1972, S. 136, da diese Übersetzung gut zum vorangehenden Halbvers passt.</w:t>
      </w:r>
    </w:p>
  </w:footnote>
  <w:footnote w:id="577">
    <w:p>
      <w:pPr>
        <w:pStyle w:val="Funote"/>
        <w:rPr/>
      </w:pPr>
      <w:r>
        <w:rPr/>
        <w:footnoteRef/>
        <w:tab/>
        <w:t>Heb. ben adam, Sohn / Kind des adam. Dass Ps 8 vielfältige Bezüge zum Schöpfungsmythos hat, wurde häufig bemerkt (bis hin zur These, mit dem konsekutiven waw schließe Ps 8 direkt an Gen 1 an); ben adam ist daher ein besonders treffender Ausdruck.</w:t>
      </w:r>
    </w:p>
  </w:footnote>
  <w:footnote w:id="578">
    <w:p>
      <w:pPr>
        <w:pStyle w:val="Funote"/>
        <w:rPr/>
      </w:pPr>
      <w:r>
        <w:rPr/>
        <w:footnoteRef/>
        <w:tab/>
        <w:t>Die Verbformen in Vv. 6f sind interessant: Wayyiqtol (6a) - Yiqtol (6b) - Yiqtol (7a) - Qatal (7b). # Da viele Exegeten davon ausgehen, dass die Verbformen in biblischer Poesie mehr oder weniger nach Belieben gesetzt werden können, werden sie hier meist gleichzeitig übersetzt (s. z.B. EÜ: „Du hast ihn nur wenig geringer gemacht als Gott, / hast ihn mit Herrlichkeit und Ehre gekrönt. // Du hast ihn als Herrscher eingesetzt über das Werk deiner Hände, / hast ihm alles zu Füßen gelegt:...“).Dagegen spricht einiges. Erstens natürlich die Tatsache, dass hier unterschiedliche Verbformen verwendet werden, selbst (vgl. Zuber 1986; ebenso Craigie 1983; Talstra 1996, S. 6; ähnlich Ross 2011). Zweitens brächte die gleichzeitige Übersetzung mit sich, dass der Psalmist aus dem Überwältigtsein von der Größe Jahwes und der Einsicht in die eigene Niedrigkeit auf einmal sich selbst als den Herrn der ganzen Erde preisen würde, und dass drittens dieser „theologische Größenwahn“ eben gerade im Rahmen eines Lobpreises auf Jahwe stünde. # Sinnvoller ist daher der Vorschlag von Zuber 1986, Vv. 6b.7a als Finalsätze (-&gt;unmarkierter Nebensatz) zu lesen: „Du hast ihn nur wenig geringer gemacht als Gott / um ihn mit Herrlichkeit und Ehre zu krönen. Um ihn als Herrscher über das Werk deiner Hände einzusetzen / hast du ihm alles zu Füßen gelegt.“; ähnlich Craigie 1983 und Niccacci 2006, S. 254: „Du hast ihn nur wenig geringer gemacht als Gott / und wirst ihn mit Herrlichkeit und Ehre krönen. // Du wirst ihn als Herrscher über das Werk deiner Hände einsetzen; / alles hast du ihm zu Füßen gelegt.“ - Die „Krönung“ und „Einsetzung als Herrscher“ ist also noch nicht eingetreten, sondern wird von Gott nur intendiert.Auch die innerbiblischen Bezüge weisen in diese Richtung: In Gen 1,26-28 schafft Gott den Menschen. Das „Herrschen über die Tiere“ in 1,28 ist aber nicht Gabe, sondern Auftrag. Noch eindrücklicher 4Esra 6,59: „Wenn aber unsertwegen ward die Welt erschaffen, weswegen haben wir nicht diese unsere Welt auch im Besitz?“ (Üs. nach Rießler 1928, S. 271; meine Unterstreichung). - die menschliche Herrschaft ist also sowohl nach Gen 1,28 und 4Ezra 6,59 eben noch nicht eingetreten. Vgl. auch Guthrie / Quinn 2006, bes. S. 236f.; vgl. außerdem die eschatologische Wendung in Heb 2,5-8.</w:t>
      </w:r>
    </w:p>
  </w:footnote>
  <w:footnote w:id="579">
    <w:p>
      <w:pPr>
        <w:pStyle w:val="Funote"/>
        <w:rPr/>
      </w:pPr>
      <w:r>
        <w:rPr/>
        <w:footnoteRef/>
        <w:tab/>
        <w:t xml:space="preserve">Heb. </w:t>
      </w:r>
      <w:r>
        <w:rPr>
          <w:rtl w:val="true"/>
          <w:lang w:bidi="he-IL"/>
        </w:rPr>
        <w:t>אֱלֹהִים</w:t>
      </w:r>
      <w:r>
        <w:rPr/>
        <w:t>;„Gott“ ist die Mehrheitsübersetzung. Soggin hat dagegen eingewandt, dass elohim derart übersetzt im „sonst jahwistischen Psalm“ aus dem Rahmen fiele (Soggin 1971, S. 571) und deshalb wohl als „Engel, himmlische Wesen“ übersetzt werden sollte. Allerdings ist unsicher, ob die Annahme von etwas wie „jahwistischen Psalmen“ überhaupt sinnvoll ist; die Mehrzahl der biblischen Texte legt eher das Gegenteil nahe: Ein israelitischer Autor kann durchaus in der Lage gewesen sein, mehrere verschiedene Gottesnamen zu verwenden. Unter Umständen verweist der Autor mit elohim sogar zurück auf Gen 1,26, was aus der Verwendung dieses Gottesnamens eine bewusste Gestaltungsentscheidung machte (vgl. Terrien 2003, S. 131; ebenso Craigie 1983, S. 98; Kinzer 1995, S. 35; Ross 2011, S. 289; Waltke 2010, S. 267); allerdings ist das eher eine Spekulation. So und so ist hier sowohl die Übersetzung „Gott“ als auch „Götter“ oder „Engel“ möglich; von den Sinnlinien des Psalms her ist aber „Gott“ vorzuziehen (vgl. z.B. Kinzer 1995, S. 35f).</w:t>
      </w:r>
    </w:p>
  </w:footnote>
  <w:footnote w:id="580">
    <w:p>
      <w:pPr>
        <w:pStyle w:val="Funote"/>
        <w:rPr/>
      </w:pPr>
      <w:r>
        <w:rPr/>
        <w:footnoteRef/>
        <w:tab/>
        <w:t>„</w:t>
      </w:r>
      <w:r>
        <w:rPr/>
        <w:t>Herrlichkeit und Pracht“ sind eigentlich Prädikate, die typischerweise nur von Gott ausgesagt werden (vgl. Ps 145,5.12; Jes 35,2). Ähnlich, wie sie Ps 21,5 dann auf den König angewandt werden, werden sie hier auf den Menschen im Allgemeinen angewendet; dies unterstreicht noch die Aussage in 6a, dass dem Menschen nur wenig zu Gott fehlt.</w:t>
      </w:r>
    </w:p>
  </w:footnote>
  <w:footnote w:id="581">
    <w:p>
      <w:pPr>
        <w:pStyle w:val="Funote"/>
        <w:rPr/>
      </w:pPr>
      <w:r>
        <w:rPr/>
        <w:footnoteRef/>
        <w:tab/>
        <w:t>Die Rede vom „Krönen“ wird in der Bibel häufiger metaphorisch als buchstäblich verwendet; dass JHWH jemanden mit etwas „krönt“ ist eine Metapher dafür, dass er ihn mit etwas „segnet“ (vgl. z.B. Ryken 1998, S. 185: „Quite often in both the NT and OT, crowns are symbols of God's blessings on his people.“). Vgl. Ps 5,13; Ps 65,12; Ps 103,4.</w:t>
      </w:r>
    </w:p>
  </w:footnote>
  <w:footnote w:id="582">
    <w:p>
      <w:pPr>
        <w:pStyle w:val="Funote"/>
        <w:rPr/>
      </w:pPr>
      <w:r>
        <w:rPr/>
        <w:footnoteRef/>
        <w:tab/>
        <w:t>Zu „Schafe und Rinder“ als „Kleinvieh und Großvieh“ vgl. ad loc. Craigie 1983, S. 96; Whitekettle 2006, S. 752.</w:t>
      </w:r>
    </w:p>
  </w:footnote>
  <w:footnote w:id="583">
    <w:p>
      <w:pPr>
        <w:pStyle w:val="Funote"/>
        <w:rPr/>
      </w:pPr>
      <w:r>
        <w:rPr/>
        <w:footnoteRef/>
        <w:tab/>
        <w:t>„</w:t>
      </w:r>
      <w:r>
        <w:rPr/>
        <w:t>Tiere des Feldes“, „Vögel des Himmels“ und „Fische des Meeres“ sind im Hebräischen geprägte Wendungen, die nicht mehr bedeuten als „wilde Tiere“ „Vögel“ und „Fische“ (vgl. z.B. ad loc. Waltke 2010, S. 271); „des Feldes/Himmels/Meeres“ könnte - und sollte - daher im Deutschen normalerweise ausgespart werden. Da dies hier aber zusammen mit dem in der Bibel ebenso gebräuchlichen Doppelmerismus Erde – Himmel – Meer verwendet wird und so dazu beiträgt, der „Globalität“ der von Gott für den Menschen intendierten Herrschaft Ausdruck zu verleihen, sollten die Glieder in der Übersetzung doch beibehalten werden; vielleicht natürlicher als „Tiere auf dem Boden“, „Vögel im Himmel“, „Fische im Meer“.</w:t>
      </w:r>
    </w:p>
  </w:footnote>
  <w:footnote w:id="584">
    <w:p>
      <w:pPr>
        <w:pStyle w:val="Funote"/>
        <w:rPr/>
      </w:pPr>
      <w:r>
        <w:rPr/>
        <w:footnoteRef/>
        <w:tab/>
        <w:t>Der Psalmist wechselt hier vom Plural „Fische“ zum Singular „das, was durchzieht“. Das könnte zwar auch schlicht generischer Singular sein; wahrscheinlicher ist aber, dass es sich hier auf den Leviathan bezieht (Waltke 2010, S. 271); ähnlich Whitekettle 2006, S. 751f: Auf die tanninim (s. dazu FN al zu Gen 1,21). Vv. 8a.9a nennen dann jeweils im Merismus zwei Tiergattungen, für die das Beherrscht-Werden verständlich ist, Vv. 8b.9b dagegen eine Tiergattung, für die das ganz unwahrscheinlich ist: V. 8a: „Kleinvieh und Großvieh“, aber auch 8b: sogar die „wilden Tiere“. V. 9a: „Vögel und Fische“, aber auch 9b: sogar den „Leviathan“ (anders Whitekettle 2006, S. 752); der Psalmist arbeitet sich dabei rückwärts an den Tierlisten in Gen 1,21-25 ab.</w:t>
      </w:r>
    </w:p>
  </w:footnote>
  <w:footnote w:id="585">
    <w:p>
      <w:pPr>
        <w:pStyle w:val="Funote"/>
        <w:rPr/>
      </w:pPr>
      <w:r>
        <w:rPr/>
        <w:footnoteRef/>
        <w:tab/>
        <w:t>zu „seine Bahnen zieht“ vgl. Waltke 2010, S. 271: Die Pfade des Meeres steht für die Reiseroute des Leviathans.</w:t>
      </w:r>
    </w:p>
  </w:footnote>
  <w:footnote w:id="586">
    <w:p>
      <w:pPr>
        <w:pStyle w:val="Funote"/>
        <w:rPr/>
      </w:pPr>
      <w:r>
        <w:rPr/>
        <w:footnoteRef/>
        <w:tab/>
        <w:t>JHWH</w:t>
      </w:r>
    </w:p>
  </w:footnote>
  <w:footnote w:id="587">
    <w:p>
      <w:pPr>
        <w:pStyle w:val="Funote"/>
        <w:rPr/>
      </w:pPr>
      <w:r>
        <w:rPr/>
        <w:footnoteRef/>
        <w:tab/>
        <w:t>JHWH</w:t>
      </w:r>
    </w:p>
  </w:footnote>
  <w:footnote w:id="588">
    <w:p>
      <w:pPr>
        <w:pStyle w:val="Funote"/>
        <w:rPr/>
      </w:pPr>
      <w:r>
        <w:rPr/>
        <w:footnoteRef/>
        <w:tab/>
        <w:t>[Status: Zuverlässig]</w:t>
      </w:r>
    </w:p>
  </w:footnote>
  <w:footnote w:id="589">
    <w:p>
      <w:pPr>
        <w:pStyle w:val="Funote"/>
        <w:rPr/>
      </w:pPr>
      <w:r>
        <w:rPr/>
        <w:footnoteRef/>
        <w:tab/>
        <w:t>Chorleiter - Heb. menatseach; genaue Bedeutung unklar. Die Primärübersetzung „Chorleiter“ ist mehr oder weniger Konvention. S. noch nächste FN.</w:t>
      </w:r>
    </w:p>
  </w:footnote>
  <w:footnote w:id="590">
    <w:p>
      <w:pPr>
        <w:pStyle w:val="Funote"/>
        <w:rPr/>
      </w:pPr>
      <w:r>
        <w:rPr/>
        <w:footnoteRef/>
        <w:tab/>
        <w:t>`almut labben ([Vorzutragen vom] Vorsteher [über das Ritual] „`almut labben“) - rätselhafter Begriff. Auch in den alten Übersetzungen und Deutungen wird unterschiedlich damit umgegangen: Viele Handschriften korrigieren zu `al-mut labben, was auch Tg und Hieronymus vorlag; dies wird dann meist als die Angabe eines bekannten Liedes gesehen, nach dessen Melodie der Psalm zu singen sei: „[zu singen] nach [der Melodie des Liedes] ‚Sterben für den Sohn/Sterben des Sohnes‘“ (so auch viele Üss.). LXX und VUL dagegen interpretieren als tha`alumot labben („[über die] Geheimnisse des Sohnes“). Einige neuere Üss. schließlich korrigieren den Text (=&gt; Textkritik) von `almut nach `alamot (so wohl auch Aq), was sich auch im Titel von Ps 46,1 und auch in 1 Chr 15,20f. findet und ws. soviel wie „Jungfrauenweise“=„hohe Gesangsstimme“ bedeutet („Jungfrauenweise für den Sohn“ =&gt; GN: „für hohe Knabenstimmen“). Dass in den sog. „Psalmenüberschriften“ Angaben zur Melodie der Psalmen stehen, ist nicht sehr wahrscheinlich. Einen wahrscheinlicheren Vorschlag zu ihrem Verständnis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`almut labben nicht die Melodie, sondern der menatseach wäre Vorsteher über das Ritual mit dem Namen `almut labben, bei dem der Psalm vorzuträgen wäre. Doch ist auch dies nur ein „educated guess“ und „Chorleiter“ und „[nach der Melodie]“ sind in dt. Üss. so etabliert, dass die LF doch besser dieser Deutung folgen sollte: „Für den Chorleiter. [Vorzutragen] nach [der Melodie des Liedes] ‚almut labben‘“.</w:t>
      </w:r>
    </w:p>
  </w:footnote>
  <w:footnote w:id="591">
    <w:p>
      <w:pPr>
        <w:pStyle w:val="Funote"/>
        <w:rPr/>
      </w:pPr>
      <w:r>
        <w:rPr/>
        <w:footnoteRef/>
        <w:tab/>
        <w:t>Ps 9-10 sind das erste sog. „Akrostichon“ in der Bibel, die Anfangsbuchstaben einiger Zeilen folgen also dem heb. Alphabet (s. die Anmerkungen). Um das direkt sichtbar zu machen, haben wir die obigen Buchstaben gesetzt: Wo „A“ steht, findet sich im heb. Text der erste Buchstabe des heb. Alphabets, wo „B“ steht der zweite usw.</w:t>
      </w:r>
    </w:p>
  </w:footnote>
  <w:footnote w:id="592">
    <w:p>
      <w:pPr>
        <w:pStyle w:val="Funote"/>
        <w:rPr/>
      </w:pPr>
      <w:r>
        <w:rPr/>
        <w:footnoteRef/>
        <w:tab/>
        <w:t>ich will JHWH preisen - Viele Üss. nach LXX, Aq und Sym: „Ich will [dich] preisen, JHWH“. Das ist richtig: Der Dichter verwendet hier ein Stilmittel, einen sog. „P-Shift“: In heb. Lyrik kann aus poetischen Gründen von einer Zeile auf die nächste von einer Person zur nächsten gewechselt werden (also z.B. hier: Zeile 1: Rede von Gott (3. Pers.) =&gt; Zeile 2: Rede zu Gott (2. Pers.)), ohne, dass dies einen Bedeutungsunterschied machen würde. Weil dieses Stilmittel im Dt. ungebräuchlich ist, sollte besser auch in der LF so übersetzt werden.</w:t>
      </w:r>
    </w:p>
  </w:footnote>
  <w:footnote w:id="593">
    <w:p>
      <w:pPr>
        <w:pStyle w:val="Funote"/>
        <w:rPr/>
      </w:pPr>
      <w:r>
        <w:rPr/>
        <w:footnoteRef/>
        <w:tab/>
        <w:t>deinen Namen (dich) - der „Name“ Gottes steht hier wie meist in den Pss. für Gott selbst, genauer: für „Gott im Menschenmund“. Näher am Sinn wäre daher die Üs. „will dich besingen“ (so z.B. auch EÜ, GN, NeÜ).</w:t>
      </w:r>
    </w:p>
  </w:footnote>
  <w:footnote w:id="594">
    <w:p>
      <w:pPr>
        <w:pStyle w:val="Funote"/>
        <w:rPr/>
      </w:pPr>
      <w:r>
        <w:rPr/>
        <w:footnoteRef/>
        <w:tab/>
        <w:t>[mit den Worten]: - Ps 9-10 haben eine interessante Struktur: Im ersten Teil überwiegt der Lobpreis und erst im zweiten Teil die Klage und Bitte. In der Regel ist es bei vergleichbaren Psalmen andersherum. Eshel/Strugnell 2000 z.B. haben aus diesem Grund sogar gemutmaßt, dass ursprünglich Ps 9 auf Ps 10 gefolgt sei. Eine weitere strukturelle Besonderheit: Die beiden längeren Lobpreisteile in Ps 9 folgen jeweils direkt auf eine Willensbekundung (formuliert im Kohortativ!), JHWH zu preisen: Vv. 2f.: Der Beter will JHWH preisen =&gt; Vv. 3-13: Lobpreis =&gt; Vv. 14f.: Bitte, damit der Beter JHWH peisen kann =&gt; Vv. 16-19: Lobpreis. Vorgeschlagen sei daher, dass es sich bei Vv. 3-13.16-19 um Proben des Lobpreises handelt, den der Beter im Falle seiner Errettung Gott darbringen will - wie sich das noch häufiger in den Klagepsalmen findet, s. z.B. schön deutlich Ps 22,24f.. Zu Vv. 16f. so auch Ehrlich 1905, S. 18. Das würde dann z.B. auch erklären, warum sich der Beter in V. 12 auf einmal an mehrere Hörer wenden und sie auffordern kann, in sein Lobpreis einzustimmen.</w:t>
      </w:r>
    </w:p>
  </w:footnote>
  <w:footnote w:id="595">
    <w:p>
      <w:pPr>
        <w:pStyle w:val="Funote"/>
        <w:rPr/>
      </w:pPr>
      <w:r>
        <w:rPr/>
        <w:footnoteRef/>
        <w:tab/>
        <w:t>In Vv. 2-3 beginnt nicht nur das erste Wort mit Alef, dem ersten Buchstaben des heb. Alphabets - wie es das in den Anmerkungen beschriebene Muster erwarten lassen würde -, sondern jede Zeile und alle fünf verwendeten Verben beginnen mit diesem Buchstaben.</w:t>
      </w:r>
    </w:p>
  </w:footnote>
  <w:footnote w:id="596">
    <w:p>
      <w:pPr>
        <w:pStyle w:val="Funote"/>
        <w:rPr/>
      </w:pPr>
      <w:r>
        <w:rPr/>
        <w:footnoteRef/>
        <w:tab/>
        <w:t>stolpern - häufige Metapher u.a. für das Besiegt-werden; s. z.B. Lev 26,37; 2 Chr 25,8; Ps 27,2 (vgl. V. 3); 64,8; Jes 3,8; 8,15 u.ö.</w:t>
      </w:r>
    </w:p>
  </w:footnote>
  <w:footnote w:id="597">
    <w:p>
      <w:pPr>
        <w:pStyle w:val="Funote"/>
        <w:rPr/>
      </w:pPr>
      <w:r>
        <w:rPr/>
        <w:footnoteRef/>
        <w:tab/>
        <w:t>vor dir - W. »von vor deinem Angesicht«. »Vor jmds Angesicht« darf nicht wörtlich verstanden werden, sondern wird in der Bibel in den meisten Fällen als bloße Präposition verwendet (»vor«; vgl. z.B. THAT II, Sp. 443). In vielen Fällen wird aber gerade dann speziell diese Präposition verwendet, wenn von der Niederlage von Feinden vor/durch ihre Gegner die Rede ist (vgl. ebd., Sp. 444); gemeint ist also hier, was der Kontext ohnehin klar macht: Die Feinde des Beters werden bei ihrer Rückkehr stolpern - d.h. »besiegt werden«, s. vorige FN -, und der, der sie besiegt, ist Gott. Das »Preislied« auf Gott setzt also ein mit der Beschreibung desselben als einem für den Beter kämpfenden Streiter.</w:t>
      </w:r>
    </w:p>
  </w:footnote>
  <w:footnote w:id="598">
    <w:p>
      <w:pPr>
        <w:pStyle w:val="Funote"/>
        <w:rPr/>
      </w:pPr>
      <w:r>
        <w:rPr/>
        <w:footnoteRef/>
        <w:tab/>
        <w:t>tFN: Als ... mussten - W. auf den ersten Blick: »Wenn meine Feinde zurückweichen, werden/sollen sie stolpern und vor dir zugrunde gehen« (so z.B. Terrien 2003; Zuber 1986). Die folgenden Zeilen zeigen aber klar, dass die hier beschriebene Niederlage der Feinde in der Vergangenheit liegt. Vermutlich handelt es sich daher hier um sog. »prospektive Yiqtols« (dazu vgl. z.B. Joosten 2012, S. 281-283): »Als meine Feinde zurückwichen« setzt die Referenzzeit, und von dieser Referenzzeit aus gesehen liegt das »Stolpern und zugrunde gehen« in der Zukunft; daher wird für »stolpern« und »zugrunde gehen« die (futurische) Verbform Yiqtol verwendet. Wir haben versucht, dies durch eine Übersetzung mit »mussten« nachzubilden; die natürlichere dt. Übersetzung wäre aber die mit durchgehend Vergangenheit: »Als meine Feinde zurückwichen, da strauchelten sie und kamen um vor deinem Angesicht« (SLT).</w:t>
      </w:r>
    </w:p>
  </w:footnote>
  <w:footnote w:id="599">
    <w:p>
      <w:pPr>
        <w:pStyle w:val="Funote"/>
        <w:rPr/>
      </w:pPr>
      <w:r>
        <w:rPr/>
        <w:footnoteRef/>
        <w:tab/>
        <w:t>auf dem Thron als gerechter Richter - im Alten Israel galt der König als der »oberste Richter und Garant des Rechts« (König / Königtum (AT) (WiBiLex)); der Übergang von der Streitermetapher zur Metapher vom thronenden Richter ist im Heb. also nicht so hart wie im Dt. S. ähnlich den Übergang von Ps 89,9-11.14 zu 89,15 und von Ps 97,1-2 zu 97,3-5.</w:t>
      </w:r>
    </w:p>
  </w:footnote>
  <w:footnote w:id="600">
    <w:p>
      <w:pPr>
        <w:pStyle w:val="Funote"/>
        <w:rPr/>
      </w:pPr>
      <w:r>
        <w:rPr/>
        <w:footnoteRef/>
        <w:tab/>
        <w:t>Nationen - Heb. gojim, oft verwendet für Nationen qua heidnische Nationen; sinngemäßer daher »Heidenvölker« (ähnlich z.B. Bonkamp 1949; Ehrlich 1905; Weber 2001: »Heiden«).</w:t>
      </w:r>
    </w:p>
  </w:footnote>
  <w:footnote w:id="601">
    <w:p>
      <w:pPr>
        <w:pStyle w:val="Funote"/>
        <w:rPr/>
      </w:pPr>
      <w:r>
        <w:rPr/>
        <w:footnoteRef/>
        <w:tab/>
        <w:t>niedergemacht (gescholten) - meist übersetzt als »gescholten«. Das ist auch die w. Bed. des Wortes, von dieser Übersetzung ist dennoch entschieden abzuraten: Das »Schelten« mit Gott als Subjekt hat sehr häufig Zerstörung zur Folge: In Ps 80,17 folgt daaraus der Tod - wie es ja auch hier in Parallele zu »ließest zugrunde gehen« steht -; in Jes 17,13 und 30,17 werden Völker durch Gottes Schelte in die Flucht geschlagen, in Ps 76,7; Jes 51,20 werden Mensch und Tier durch die Schelte Gottes ohmächtig, in 2 Sam 22,16; Ps 104,7; 106,9; Jes 50,2 und Nah 1,4 trocknet das Meer aus, weil Gott es schilt. Dieses Schelten mit »zerstörender Wirkung« (THAT I, Sp. 429) kommt vielleicht am besten in der Übersetzung »niedermachen« zum Ausdruck.</w:t>
      </w:r>
    </w:p>
  </w:footnote>
  <w:footnote w:id="602">
    <w:p>
      <w:pPr>
        <w:pStyle w:val="Funote"/>
        <w:rPr/>
      </w:pPr>
      <w:r>
        <w:rPr/>
        <w:footnoteRef/>
        <w:tab/>
        <w:t>einen Schlechten (Schlechte) - N-Shift: Aus poetischen Gründen wechselt das Heb. vom einen Satz zum nächsten vom Pl. (»Nationen«) zum Sg. (»einen Schlechten«). Tg fühlt sich wegen diesem Shift sogar zur Explikation veranlasst: »Du hast das Volk [der Philister] gescholten und [Goliath], den Schlechten, zerstört.« Gemeint sind wahrscheinlich in beiden Sätzen mehrere Feinde, daher z.B. Alexander 1850, S. 42: »many a wicked enemy«; auch viele Üss. und schon Saadja übersetzen daher mit Pl. Für einige Bspp. für Shifts innerhalb derselben Zeile vgl. z.B. Gevirtz 1961, S. 157.</w:t>
      </w:r>
    </w:p>
  </w:footnote>
  <w:footnote w:id="603">
    <w:p>
      <w:pPr>
        <w:pStyle w:val="Funote"/>
        <w:rPr/>
      </w:pPr>
      <w:r>
        <w:rPr/>
        <w:footnoteRef/>
        <w:tab/>
        <w:t>Ihren Namen hast du ausgelöscht meint wohl: Du hast ihre ganze Linie ausgerottet (zu schem i.S.v. »Linie« vgl. z.B. Brichto 1973, S. 22). Die Aussage wird also immer stärker: »einen Schlechten« (6a) =&gt; »seine ganze Linie« (6b) =&gt; »ganze Städte« (7). Der N-Shift in 6a dient wohl dazu, diese Steigerung noch deutlicher zu machen.</w:t>
      </w:r>
    </w:p>
  </w:footnote>
  <w:footnote w:id="604">
    <w:p>
      <w:pPr>
        <w:pStyle w:val="Funote"/>
        <w:rPr/>
      </w:pPr>
      <w:r>
        <w:rPr/>
        <w:footnoteRef/>
        <w:tab/>
        <w:t>Der Feind - [seine] Ruinen = »Die Ruinen des Feindes«. tFN: Die Syntax des Satzes ist nicht ganz einfach; vermutlich ist aber zu analysieren als Casus pendens ohne resumptives Pronomen: Im Heb. kann ein Satzglied von seiner »Stelle« im Satz an den Satzanfang gestellt werden, um es bes. hervorzuheben; meistens wird es dann an seiner »eigentlichen« Stelle durch ein Pronomen wie »seine« vertreten. Dieses kann aber auch entfallen (vgl. IBHS 4.7b; z.St. Gordis 1957, S. 110f.), und dies ist hier der Fall. Für eine weitere erwägenswerte Deutung vgl. Tsumura 1988, S. 235: »Der Feind ist vernichtet - [wie] Ruinen auf ewig / [wie (?)] Städte, die du zerstört hast - was an ihn erinnert...« Etwas schwierig ist dann nur die Zuordnung von »auf ewig«.</w:t>
      </w:r>
    </w:p>
  </w:footnote>
  <w:footnote w:id="605">
    <w:p>
      <w:pPr>
        <w:pStyle w:val="Funote"/>
        <w:rPr/>
      </w:pPr>
      <w:r>
        <w:rPr/>
        <w:footnoteRef/>
        <w:tab/>
        <w:t>Gegner statt der häufigen Üs. »Städte« nach Gordis 1957, S. 11; Herkenne 1936, S. 68; s. 1 Sam 28,16; Sir 37,5; vgl. Ges18, S. 1007.</w:t>
      </w:r>
    </w:p>
  </w:footnote>
  <w:footnote w:id="606">
    <w:p>
      <w:pPr>
        <w:pStyle w:val="Funote"/>
        <w:rPr/>
      </w:pPr>
      <w:r>
        <w:rPr/>
        <w:footnoteRef/>
        <w:tab/>
        <w:t>Sie (heb. hemmah) z.B. mit BHS, Goldingay 2006 und Kissane 1953 vom Ende von V. 7 an den Anfang von V. 8 verschoben, da es am Ende von V. 7 wenig Sinn macht und auf diese Weise mit V. 8 im Akrostichon (s. FN c) wenigstens eine He-Zeile existiert, nachdem schon die Dalet-Zeile ausgefallen ist. In der Üs. folgen wir Goldingay 2006. LXX und VUL verstehen die Konsonanten des urspr. Textes als hommeh (»lärmend«): »Was an sie erinnert, ist lärmend zugrunde gegangen«; auch im den alten Üss. vorliegenden heb. Text stand das Wort am Ende der beiden Gimel-Doppelzeilen.</w:t>
      </w:r>
    </w:p>
  </w:footnote>
  <w:footnote w:id="607">
    <w:p>
      <w:pPr>
        <w:pStyle w:val="Funote"/>
        <w:rPr/>
      </w:pPr>
      <w:r>
        <w:rPr/>
        <w:footnoteRef/>
        <w:tab/>
        <w:t>[jene], die deinen Namen kennen - geläufiger Ausdruck für JHWH-Verehrer: jene, die dich verehren (vgl. z.B. Ehrlich 1905, S. 18; THAT I, Sp. 694f.).</w:t>
      </w:r>
    </w:p>
  </w:footnote>
  <w:footnote w:id="608">
    <w:p>
      <w:pPr>
        <w:pStyle w:val="Funote"/>
        <w:rPr/>
      </w:pPr>
      <w:r>
        <w:rPr/>
        <w:footnoteRef/>
        <w:tab/>
        <w:t>Auch die dich suchen ist ein Ausdruck für JHWH-Verehrer: die, die sich zu dir halten (vgl. THAT I, Sp. 464-466).</w:t>
      </w:r>
    </w:p>
  </w:footnote>
  <w:footnote w:id="609">
    <w:p>
      <w:pPr>
        <w:pStyle w:val="Funote"/>
        <w:rPr/>
      </w:pPr>
      <w:r>
        <w:rPr/>
        <w:footnoteRef/>
        <w:tab/>
        <w:t>Diese Verse sind ein schönes Beispiel dafür, wie zentral das Stilprinzip der Varianz in der heb. Lyrik ist. Z.B. werden in Vv. 6-8 drei verschiedene Ausdrücke für »ewig« verwendet (um »die Ewigkeit [Gottes] als Antithese zur Sterblichkeit der Menschen nennen« zu können (Eerdmans 1947, S. 122)); z.B. werden in Vv. 9-11 drei verschiedene grammatische Konstruktionen zum Ausdruck von finalen Nebensätzen verwendet (9a: Waw-X-Yiqtol - was in 9b dann noch mal variiert wird durch Yiqtol-X -, 10a Waw-Jussiv, 11a Waw-Yiqtol). In 9a und 9b werden zwei unterschiedliche, aber synonyme Wörter für »richten« und zwei unterschiedliche, aber synonyme Ausdrücke für »gerecht« verwendet. In V. 10 wird »Zuflucht« zweimal unterschiedlich spezifiziert: 10a: »Zuflucht für die Bedrückten«, 10b: »Zuflucht für Zeiten der Bedrängnis«. Von V. 10 auf 11 findet sich wieder ein P-Shift (dazu s. FN d). Und in V. 11 finden sich zwei unterschiedliche stehende Ausdrücke für JHWH-Verehrer.Eine weitere stilistische Besonderheit: JHWH steht drei Mal in Vv. 8-11: Als erstes Wort, als letztes Wort und genau in der Mitte (vgl. Benun 2006, S. 6).</w:t>
      </w:r>
    </w:p>
  </w:footnote>
  <w:footnote w:id="610">
    <w:p>
      <w:pPr>
        <w:pStyle w:val="Funote"/>
        <w:rPr/>
      </w:pPr>
      <w:r>
        <w:rPr/>
        <w:footnoteRef/>
        <w:tab/>
        <w:t>der auf dem Zion thront - Der Zion war der Tempelberg in Jerusalem; man stellte sich vor, dass Gott - zumindest »teilweise« - dort im Tempel wohnte. S. näher z.B. Zion / Zionstheologie (WiBiLex).</w:t>
      </w:r>
    </w:p>
  </w:footnote>
  <w:footnote w:id="611">
    <w:p>
      <w:pPr>
        <w:pStyle w:val="Funote"/>
        <w:rPr/>
      </w:pPr>
      <w:r>
        <w:rPr/>
        <w:footnoteRef/>
        <w:tab/>
        <w:t>Sucher von Blut = Bluträcher (vgl. Ges18, S. 261). Die »Blutrache« war im Alten Israel eigentlich die Aufgabe des nächsten Verwandten eines Ermordeten, der für diesen Mord dessen Mörder umzubringen hatte (s. z.B. Num 35,18f.; vgl. auch Dtn 19,5f.11f. u.ö. Gott wird als Bluträcher vorgestellt auch in Gen 9,5. Vgl. noch Blutrache (WiBiLex) und zur Stelle gut Herkenne 1936, S. 68).</w:t>
      </w:r>
    </w:p>
  </w:footnote>
  <w:footnote w:id="612">
    <w:p>
      <w:pPr>
        <w:pStyle w:val="Funote"/>
        <w:rPr/>
      </w:pPr>
      <w:r>
        <w:rPr/>
        <w:footnoteRef/>
        <w:tab/>
        <w:t>denkt er an sie - Ist Gott Subjekt des »an-jmdn-Denkens«, meint der Ausdruck meist die helfende Zuwendung Gottes zu dem, an den er »denkt« (vgl. THAT I, Sp. 513f.). Das »sie« bezieht sich also wohl nicht zurück auf die »Völker« in V. 12, sondern auf die, die »JHWH suchen« in V. 11, für die das selbe Verb verwendet wird wie für den »Blutsucher« Gott, und die Bed. ist dann: Gott wird für seine Verehrer das sein, was ein Bluträcher für seinen nächsten Verwandten ist: Er wird an ihnen begangenes Unrecht rächen. Als Vergleichspunkt ist wahrscheinlich gedacht, dass Gott, der »wie ein Bluträcher ist«, (1) schlechte Taten rächt und sie rächt, (2) indem er die Gegner seiner Verehrer tötet.Nicht viel Sinn macht dagegen dann die häufige Übersetzung »als ein Bluträcher denkt er an sie« - denn wenn ein Bluträcher in Aktion treten muss, ist es für den Bedürftigen schon zu spät. Doch gerade dagegen richtet sich die nächste Zeile.</w:t>
      </w:r>
    </w:p>
  </w:footnote>
  <w:footnote w:id="613">
    <w:p>
      <w:pPr>
        <w:pStyle w:val="Funote"/>
        <w:rPr/>
      </w:pPr>
      <w:r>
        <w:rPr/>
        <w:footnoteRef/>
        <w:tab/>
        <w:t>vergisst nicht - ganz ähnlicher Ausdruck wie »denken an« in der vorigen Zeile: Die Rede vom »Vergessen« Gottes meint meist sein aktives sich-Abwenden von jmdn (s. z.B. 1 Sam 1,11; Ps 13,2; 42,10; 44,25; Jes 49,14; Klg 5,20). Dass Gott die Armen »nicht vergisst« meint also das gleiche wie dass Gott »an sie denkt«, nämlich, dass er ihnen helfend beisteht.</w:t>
      </w:r>
    </w:p>
  </w:footnote>
  <w:footnote w:id="614">
    <w:p>
      <w:pPr>
        <w:pStyle w:val="Funote"/>
        <w:rPr/>
      </w:pPr>
      <w:r>
        <w:rPr/>
        <w:footnoteRef/>
        <w:tab/>
        <w:t>der Elenden (Armen) - häufiger Ausdruck für JHWH-Verehrer qua hilfsbedürftige, weil bedrängte, JHWH-Verehrer (vgl. z.B. THAT II, Sp. 345f.). Weil es hier im direkten Zhg. steht mit „denen, die Gott suchen“ und „denen, die seinen Namen kennen“, dürfte eine bloße Übersetzung mit „Arme“ oder „Elende“ zu wenig sein.</w:t>
      </w:r>
    </w:p>
  </w:footnote>
  <w:footnote w:id="615">
    <w:p>
      <w:pPr>
        <w:pStyle w:val="Funote"/>
        <w:rPr/>
      </w:pPr>
      <w:r>
        <w:rPr/>
        <w:footnoteRef/>
        <w:tab/>
        <w:t>Sieh auf mein Elend - d.h. ignoriere mich in meinem Elend nicht, sd. hilf mir! Gut HfA: „Siehe doch, wie ich leide unter dem Hass meiner Feinde!“</w:t>
      </w:r>
    </w:p>
  </w:footnote>
  <w:footnote w:id="616">
    <w:p>
      <w:pPr>
        <w:pStyle w:val="Funote"/>
        <w:rPr/>
      </w:pPr>
      <w:r>
        <w:rPr/>
        <w:footnoteRef/>
        <w:tab/>
        <w:t>indem du mich emporhebst von den Pforten des Todes - „indem“ gut nach ELB. Im altisraelitischen Weltbild lag die Unterwelt am Fuß des Meeres oder noch darunter; man stieg durch Tore mit großen Riegeln in sie hinab. Soviel zu den „Pforten des Todes“; zum Verständnis des Satzes ist außerdem Folgendes wichtig: In den biblischen Texten sind Leben und Tod nicht immer absolute Gegensätze, sondern die beiden Pole eines Kontinuums: Geht es einem gut, hält man sich auf im Bereich des Lebens; geht es einem dagegen „elend“, gerät man schon damit in die Nähe der „Pforten der Unterwelt“ und Gott muss aktiv werden, indem er den Elenden von dort „emporhebt“ (zum Vorstellungskomplex vgl. sehr gut Campbell 1971, S. 109). Darum bittet der Beter hier; „indem du mich emporhebst von den Pforten des Todes“ meint ungefähr: „indem du etwas gegen dieses mein Elend unternimmst“. Sehr gut daher HfA: „Ich stehe am Rand des Todes! Bring mich in Sicherheit!“ Die häufige Üs. mit Imperativ ist eine freie, aber sinnvolle Übersetzungsentscheidung. Die Üs. von PAT mit Vergangenheit ist darauf zurückzuführen, dass sie den Text nach Aq und Hieronymus vom Partizip zu Vergangenheit korrigieren (so auch BHS; Herkenne 1936; Zorell 1928), was aber klar als kontextuelle Anpassung dieser beiden Übersetzer anzusehen ist.</w:t>
      </w:r>
    </w:p>
  </w:footnote>
  <w:footnote w:id="617">
    <w:p>
      <w:pPr>
        <w:pStyle w:val="Funote"/>
        <w:rPr/>
      </w:pPr>
      <w:r>
        <w:rPr/>
        <w:footnoteRef/>
        <w:tab/>
        <w:t>Tore der Tocher Zion - Der „Zion“ ist der Tempelberg in Jerusalem; „Zion“ steht daher oft pars pro toto für Jerusalem selbst. Auch „Tochter Zion“ ist ein häufiger Begriff für Jerusalem; über den Begriff wird zusätzlich die Beziehung Jerusalems zu „ihrem“ „Vater“ JHWH betont (s. näher Tochter Zion (WiBiLex)) - ganz ähnlich, wie auch die Rede vom „Bluträcher JHWH“ in V. 13 eine enge familiäre Beziehung zwischen JHWH und seinen notleidenden Verehrern implizierte (dazu s. dort). „‚An den Toren der Tochter Sion‘ ist Antithese zu den ‚Pforten des Todes‘ (14b) und bezeichnet den Versammlungsplatz an den Toren der altpalästinensischen Städte, hier Jerusalems, also = in aller Öffentlichkeit, wie bei uns ‚auf dem Markt‘.“ (Herkenne 1936, S. 69).</w:t>
      </w:r>
    </w:p>
  </w:footnote>
  <w:footnote w:id="618">
    <w:p>
      <w:pPr>
        <w:pStyle w:val="Funote"/>
        <w:rPr/>
      </w:pPr>
      <w:r>
        <w:rPr/>
        <w:footnoteRef/>
        <w:tab/>
        <w:t>Textkritik: Der hebräische, ursprünglich vokallose Konsonantentext war sowohl lesbar als noqesch (»er - nämlich JHWH - hat verstrickt«) als auch als noqasch (»er - nämlich der Böse - hat sich [selbst] verstrickt«). MT vereindeutigt durch Vokalisierung und VUL und Saadja durch Übersetzung zur ersten Bedeutung, LXX, Syr, Aq durch Übersetzung zur zweiten Bedeutung. Fast alle Üss. und Kommentare wählen die zweite Interpretation, aber ob das so sinnvoll ist? Das Motiv des in-seine-eigene-Falle-gehenden Gegners findet sich oft in der Bibel. Auch in Ps 9, nämlich gleich zwei Mal in V. 16. Von 17b sollte man daher doch vielleicht eher nicht noch ein drittes Mal dieses Motiv erwarten, sondern eine Erklärung, inwiefern es auf JHWHs Gerichts-üben zurückzuführen sein soll (17a), dass die Gegner in ihre eigenen Falle gegangen sind - und nach der ersten Bedeutung würde das V. 17b leisten: Die Gegner sind in ihre eigene Falle getappt - so hat JHWH Gericht geübt - denn: Er war es, der sie in ihre eigene Falle tappen ließ. Aus diesem Grund folgen wir hier dem MT.</w:t>
      </w:r>
    </w:p>
  </w:footnote>
  <w:footnote w:id="619">
    <w:p>
      <w:pPr>
        <w:pStyle w:val="Funote"/>
        <w:rPr/>
      </w:pPr>
      <w:r>
        <w:rPr/>
        <w:footnoteRef/>
        <w:tab/>
        <w:t xml:space="preserve">{Higgaion Selah} (V. 17) + {Selah} (V. 21) - Zwei Wörter mit unklarer Bedeutung. Higgaion ist offenbar etwas Hörbares, s. Ps 19,15 und Klg 3,62, wo es in Parallele zu „Reden“ steht, und Ps 92,4, wo es offenbar das bezeichnet, was eine Harfe von sich gibt. Hier in Ps 9,17 ist die Funktion von higgaion wohl die selbe wie die von selah - und welche das ist, ist ganz unklar, s. Lexikon / Lemma </w:t>
      </w:r>
      <w:r>
        <w:rPr>
          <w:rtl w:val="true"/>
          <w:lang w:bidi="he-IL"/>
        </w:rPr>
        <w:t>סֶלַה</w:t>
      </w:r>
      <w:r>
        <w:rPr/>
        <w:t>. In der LF sollten beide Begriffe daher besser wie in vielen Üss. ausgespart werden.</w:t>
      </w:r>
    </w:p>
  </w:footnote>
  <w:footnote w:id="620">
    <w:p>
      <w:pPr>
        <w:pStyle w:val="Funote"/>
        <w:rPr/>
      </w:pPr>
      <w:r>
        <w:rPr/>
        <w:footnoteRef/>
        <w:tab/>
        <w:t>tFN: {gen} - Die Richtung wird hier merkwürdigerweise sowohl durch le als auch durch direktionales He markiert. Wahrscheinlich ist das bedeutungslos, auffällig war es aber schon den alten Schriftgelehrten; im Midrasch etwa findet sich etwa folgende Deutung: „R. Nechemja hat gesagt: Jedes Wort, das am Anfang kein l hat, erhält am Ende ein h [...]. Da fragen sie ihn: ‚Hier heißt es doch aber: li-scheol-ah?‘ R. Abba ben Sabda hat gesagt: Damit soll ausgedrückt werden, dass die Frevler in die tiefste Tiefe der Hölle müssen.“ (Üs. nach Wünsche 1892, S. 92).</w:t>
      </w:r>
    </w:p>
  </w:footnote>
  <w:footnote w:id="621">
    <w:p>
      <w:pPr>
        <w:pStyle w:val="Funote"/>
        <w:rPr/>
      </w:pPr>
      <w:r>
        <w:rPr/>
        <w:footnoteRef/>
        <w:tab/>
        <w:t>Scheol - Heb. Name der Unterwelt. Mit der Hölle hat die Scheol-Vorstellung sehr wenig gemein. Vermutlich stellte man sie sich vor als eine unter der Erde gelegene Stadt, deren Bewohner in der Finsternis zur Passivität und Gottferne verdammt waren (s. näher Jenseitsvorstellungen (AT) (WiBiLex)).</w:t>
      </w:r>
    </w:p>
  </w:footnote>
  <w:footnote w:id="622">
    <w:p>
      <w:pPr>
        <w:pStyle w:val="Funote"/>
        <w:rPr/>
      </w:pPr>
      <w:r>
        <w:rPr/>
        <w:footnoteRef/>
        <w:tab/>
        <w:t>zurückkehren - Weil zumindest manchmal nach der Vorstellung im Alten Israel der Mensch in der Scheol entstand. S. z.B. IJob 1,21; 30,23; Ps 139,15; Sir 40,1; zur Vorstellung vgl. z.B. Balog 2012, S. 160-171; Tromp 1969, S. 122-124; zur Stelle Kissane 1953, S. 42. Die meisten Üss. übersetzen freier als „zur Scheol hinabfahren“; das ist hier wohl das Sinnvollste.</w:t>
      </w:r>
    </w:p>
  </w:footnote>
  <w:footnote w:id="623">
    <w:p>
      <w:pPr>
        <w:pStyle w:val="Funote"/>
        <w:rPr/>
      </w:pPr>
      <w:r>
        <w:rPr/>
        <w:footnoteRef/>
        <w:tab/>
        <w:t>Gott vergessen [haben] = die keine JHWH-Verehrer sind (vgl THAT II, Sp. 902).</w:t>
      </w:r>
    </w:p>
  </w:footnote>
  <w:footnote w:id="624">
    <w:p>
      <w:pPr>
        <w:pStyle w:val="Funote"/>
        <w:rPr/>
      </w:pPr>
      <w:r>
        <w:rPr/>
        <w:footnoteRef/>
        <w:tab/>
        <w:t>Zu vergessen vgl. FN y, zu der Elenden FN z. Der Beter bittet hier exakt um das, wofür er in V. 13 JHWH versprochen hat, ihn nach dessen Hilfe öffentlich zu preisen.</w:t>
      </w:r>
    </w:p>
  </w:footnote>
  <w:footnote w:id="625">
    <w:p>
      <w:pPr>
        <w:pStyle w:val="Funote"/>
        <w:rPr/>
      </w:pPr>
      <w:r>
        <w:rPr/>
        <w:footnoteRef/>
        <w:tab/>
        <w:t>Menschlein (Menschen) - Der Dichter wählt bewusst das Wort ´enosch, mit dem oft der Mensch qua schwaches Wesen bezeichnet wird (vgl. z.B. TWOT 136a). Stark daher B-R in V. 20: „Nimmer trotze das Menschlein!“ Ähnlich übrigens schon der Midrasch: „Überall wo ´adam in der Schrift steht, bedeutet es ‚wirklicher Mensch‘, wo [...] ´enosch ´adam steht, ist ein ‚Tor‘ gemeint.“ (Üs. nach Wünsche 1892, S. 92).</w:t>
      </w:r>
    </w:p>
  </w:footnote>
  <w:footnote w:id="626">
    <w:p>
      <w:pPr>
        <w:pStyle w:val="Funote"/>
        <w:rPr/>
      </w:pPr>
      <w:r>
        <w:rPr/>
        <w:footnoteRef/>
        <w:tab/>
        <w:t>nicht stark sein - etwas rätselhafter Ausdruck. „Nicht das Menschlein“ impliziert wohl: „sondern du, Gott!“; gedacht ist also wohl an Menschen, die glauben, sich JHWH widersetzen zu können. Sinnvoll daher GN: „Lass nicht zu, dass ein Mensch dir die Stirn bietet!“, NGÜ: „Lass nicht zu, dass Menschen sich dir widersetzen!“ Schön auch wieder WEIN: „der Mensch der Überhebung“.</w:t>
      </w:r>
    </w:p>
  </w:footnote>
  <w:footnote w:id="627">
    <w:p>
      <w:pPr>
        <w:pStyle w:val="Funote"/>
        <w:rPr/>
      </w:pPr>
      <w:r>
        <w:rPr/>
        <w:footnoteRef/>
        <w:tab/>
        <w:t>Textkritik: Furcht in sie (ihnen einen Lehrer vor, gib ihnen eine Lehre) - die Konsonanten des ursprünglich vokallosen heb. Textes scheinen „Lehrer“ zu bedeuten (mrh, vokalisiert: moreh); so übersetzen auch LXX, Syr und VUL. MT aber vokalisiert als morah, will das Wort also wohl als mora´ („Furcht“) verstanden wissen, was im Kontext mehr Sinn machen würde. Auch Aq, Theod, Tg, Hieronymus, Saadja und der Midrasch verstehen als/übersetzen mit „Furcht“ und einige Handschriften korrigieren auch die Konsonanten zu mr´. Bei dieser Vielzahl an Zeugen wird man wohl am sinnvollsten davon auszugehen haben, dass morah eine alternative Schreibweise für mora´ ist und die Konsonanten mr´ also sowohl als „Furcht“ als auch als „Lehrer“ verstanden werden konnten (so schon Olshausen 1853, S. 59), wie sich das öfters bei auf -ah oder -a´ endenden Wörtern findet. „Furcht“ ist dann sicher vorzuziehen. R-S und TAF („Gib ihnen eine Lehre“) folgen der Deutung von Ehrlich 1905: morah ist nicht eine falsche Vokalisierung von moreh („Lehrer“), sondern ein feminines Nomen von der selben Wurzel mit der Bedeutung „Lehre“.</w:t>
      </w:r>
    </w:p>
  </w:footnote>
  <w:footnote w:id="628">
    <w:p>
      <w:pPr>
        <w:pStyle w:val="Funote"/>
        <w:rPr/>
      </w:pPr>
      <w:r>
        <w:rPr/>
        <w:footnoteRef/>
        <w:tab/>
        <w:t>JHWH</w:t>
      </w:r>
    </w:p>
  </w:footnote>
  <w:footnote w:id="629">
    <w:p>
      <w:pPr>
        <w:pStyle w:val="Funote"/>
        <w:rPr/>
      </w:pPr>
      <w:r>
        <w:rPr/>
        <w:footnoteRef/>
        <w:tab/>
        <w:t>JHWH</w:t>
      </w:r>
    </w:p>
  </w:footnote>
  <w:footnote w:id="630">
    <w:p>
      <w:pPr>
        <w:pStyle w:val="Funote"/>
        <w:rPr/>
      </w:pPr>
      <w:r>
        <w:rPr/>
        <w:footnoteRef/>
        <w:tab/>
        <w:t>JHWH</w:t>
      </w:r>
    </w:p>
  </w:footnote>
  <w:footnote w:id="631">
    <w:p>
      <w:pPr>
        <w:pStyle w:val="Funote"/>
        <w:rPr/>
      </w:pPr>
      <w:r>
        <w:rPr/>
        <w:footnoteRef/>
        <w:tab/>
        <w:t>[Status: Zuverlässig]</w:t>
      </w:r>
    </w:p>
  </w:footnote>
  <w:footnote w:id="632">
    <w:p>
      <w:pPr>
        <w:pStyle w:val="Funote"/>
        <w:rPr/>
      </w:pPr>
      <w:r>
        <w:rPr/>
        <w:footnoteRef/>
        <w:tab/>
        <w:t>Ps 10 ist nicht eigentlich ein eigenständiger Psalm, sondern bildet zusammen mit Ps 9 das erste sog. „Akrostichon“ in der Bibel, die Anfangsbuchstaben einiger Zeilen folgen also dem heb. Alphabet (s. die Anmerkungen zu Psalm 9). Um das direkt sichtbar zu machen, haben wir die obigen Buchstaben gesetzt: Wo „A“ steht, findet sich im heb. Text der erste Buchstabe des heb. Alphabets, wo „B“ steht der zweite usw.</w:t>
      </w:r>
    </w:p>
  </w:footnote>
  <w:footnote w:id="633">
    <w:p>
      <w:pPr>
        <w:pStyle w:val="Funote"/>
        <w:rPr/>
      </w:pPr>
      <w:r>
        <w:rPr/>
        <w:footnoteRef/>
        <w:tab/>
        <w:t>fern stehen + dich verbergen - Zwei bib. Metaphern: Not wird erfahren als Abwesenheit Gottes; Gott hilft dem Notleidenden nicht, sondern „verbirgt sich“ und „hält sich fern“ von ihm. Zu „fern“ s. ähnlich Ps 10,1; 35,22; 38,22; 71,12; Jes 59,9.11 u.ö. und vgl. z.B. TWAT II, Sp. 770; dem entspricht die Rede vom „sich-Verbergen“ Gottes, s. noch Ps 55,2.</w:t>
      </w:r>
    </w:p>
  </w:footnote>
  <w:footnote w:id="634">
    <w:p>
      <w:pPr>
        <w:pStyle w:val="Funote"/>
        <w:rPr/>
      </w:pPr>
      <w:r>
        <w:rPr/>
        <w:footnoteRef/>
        <w:tab/>
        <w:t>den Elenden (Armen) - häufiger Ausdruck für JHWH-Verehrer qua hilfsbedürftige, weil bedrängte, JHWH-Verehrer (vgl. z.B. THAT II, Sp. 345f.).</w:t>
      </w:r>
    </w:p>
  </w:footnote>
  <w:footnote w:id="635">
    <w:p>
      <w:pPr>
        <w:pStyle w:val="Funote"/>
        <w:rPr/>
      </w:pPr>
      <w:r>
        <w:rPr/>
        <w:footnoteRef/>
        <w:tab/>
        <w:t>tFN: In [seinem] Hochmut (Stolz) verfolgt der Schlechte (im Hochmut des Schlechten verfolgt er, durch den Hochmut des Schlechten brennt) - Jede dieser drei Deutungen ist sprachlich gleichermaßen möglich. Die Konsonanten g´wt lassen sich entweder vokalisieren als ga´awath (wie das MT gemacht hat) oder als ge´ut; der Bedeutungsunterschied der beiden Wörter ist minimal. Und ga´awath lässt sich entweder deuten als das erste Glied in einer Genitivverbindung (also „im Hochmut des Schlechten“) oder das -at ist eine Variante der Endung -ah (so z.B. Gordis 1957, S. 112; Rendsburg 1991, S. 89) und also ist wie bei der Deutung als ge´ut aufzulösen: „Im Hochmut verfolgt der Schlechte“. Außerdem möglich ist die Deutung von jidlaq nicht als dalaq II („verfolgen“), sondern als dalaq I („brennen“), also „durch den Hochmut des Schlechten brennt der Elende“. Aber das wäre nicht idiomatisch, so daher fast kein Exeget - dafür aber einige Üss: H-R, HER05, MEN: „Des Frevlers Frechheit ängstigt den Armen“; B-R, NeÜ, Herkenne 1936: „Durch den Hochmt der Gottlosen fiebert der Arme“; EÜ, R-S, Alexander 1850: „Durch den Hochmut des Schlechten leidet der Arme“, dies wohl auch HfA, NL.</w:t>
      </w:r>
    </w:p>
  </w:footnote>
  <w:footnote w:id="636">
    <w:p>
      <w:pPr>
        <w:pStyle w:val="Funote"/>
        <w:rPr/>
      </w:pPr>
      <w:r>
        <w:rPr/>
        <w:footnoteRef/>
        <w:tab/>
        <w:t>V. 2b lässt sich entweder verstehen als „die Schlechten fangen den Elenden durch die von ihnen erdachten Ränke“ oder wieder wie in Ps 9,16f. als „die Schlechten verfangen sich in den Ränken, die sie [selbst] erdacht haben“. In diesem Kontext - der Schilderung der Übeltaten schlechter Menschen - ist sicher erstere Deutung vorzuziehen. Der Wechsel vom Sg. („der Schlechte“ + „der Elende“) zum Pl. („sie werden gefangen“, „die sie erdacht haben“) ist als N-Shift zu erklären: aus poetischen Gründen kann in bib. Lyrik von einer Zeile auf die nächste von einem Numerus zum nächsten gewechselt werden, ohne, dass dies einen Bedeutungsunterschied machen würde. Hier ohnehin unproblematisch, da „der Schlechte“ und „der Elende“ sicher generalisierende Singularnomina mit Pluralbedeutung sind: Gemeint sind schon in der ersten Zeile mehrere Schlechte und Elende.</w:t>
      </w:r>
    </w:p>
  </w:footnote>
  <w:footnote w:id="637">
    <w:p>
      <w:pPr>
        <w:pStyle w:val="Funote"/>
        <w:rPr/>
      </w:pPr>
      <w:r>
        <w:rPr/>
        <w:footnoteRef/>
        <w:tab/>
        <w:t>tFN: der Schlechte rühmt seine Seele für [ihre] Lust - schwieriger Satz. Das Verb halal fordert ein Objekt; auf den ersten Blick findet sich hier aber keines, denn was folgt, ist `al-ta´awath napscho. Die Präposition `al zeigt an, dass das Folgende nicht das Objekt des Rühmens ist, sondern das, wofür das Objekt gerühmt wird (so oft im Hitpael, für Piel s. Esra 3,11; Ps 119,164; so richtig schon Kissane 1953, S. 43). Wahrscheinlich muss man also den Satz analysieren wie folgt: `al-ta´awath ist das, wofür der Schlechte das Gerühmte rühmt, nämlich „für Lust“. ta´awath ist nicht das erste Glied in einer Genitivkonstruktion „die Lust seiner Seele“, sondern die Endung -at ist nur eine alternative Endung von ta´awah (dazu vgl. wieder Rendsburg 1991, S. 89f.), daher ist napscho nicht als Genitiv „seiner Seele“ zu analysieren, sondern als das gesuchte Objekt von halal: „Er rühmt für Lust seine Seele“. Alternativ sind viele verschiedene Textkorrekturvorschläge gemacht worden; am besten sicher Kissane 1953, S. 39: „Der Schlechte rühmt Bos[heit], / der Halsabschneider und segnet sein Verlangen.“</w:t>
      </w:r>
    </w:p>
  </w:footnote>
  <w:footnote w:id="638">
    <w:p>
      <w:pPr>
        <w:pStyle w:val="Funote"/>
        <w:rPr/>
      </w:pPr>
      <w:r>
        <w:rPr/>
        <w:footnoteRef/>
        <w:tab/>
        <w:t>Abschneider = Erpresser; das Verb batsa` („abschneiden“) findet sich oft in der Bed. „erpressen“ in der Bibel. Schön Herkenne 1936: „Halsabschneider“.</w:t>
      </w:r>
    </w:p>
  </w:footnote>
  <w:footnote w:id="639">
    <w:p>
      <w:pPr>
        <w:pStyle w:val="Funote"/>
        <w:rPr/>
      </w:pPr>
      <w:r>
        <w:rPr/>
        <w:footnoteRef/>
        <w:tab/>
        <w:t>flucht - barak hier wie oft nicht in der Bed. „segnet“, sd. „flucht“; vgl. z.B. Schorch 2000, S. 101f. So fast alle Üss.</w:t>
      </w:r>
    </w:p>
  </w:footnote>
  <w:footnote w:id="640">
    <w:p>
      <w:pPr>
        <w:pStyle w:val="Funote"/>
        <w:rPr/>
      </w:pPr>
      <w:r>
        <w:rPr/>
        <w:footnoteRef/>
        <w:tab/>
        <w:t>flucht, verachtet (V. 3) + bricht zusammen, sinkt nieder (V. 10) - zur Konstruktion vgl. Müller 2013b, S. 62f.: Zwei Verben werden ohne Konjunktion aneinander angeschlossen, um den Ausdruck noch stärker zu machen (vgl. S. 68).</w:t>
      </w:r>
    </w:p>
  </w:footnote>
  <w:footnote w:id="641">
    <w:p>
      <w:pPr>
        <w:pStyle w:val="Funote"/>
        <w:rPr/>
      </w:pPr>
      <w:r>
        <w:rPr/>
        <w:footnoteRef/>
        <w:tab/>
        <w:t>[denkt:] - Zu Einleitungen wörtl. Rede ohne ein verbum dicendi/sentiendi wie „sagt“ oder „denkt“ vgl. z.B. Gordis 1949, S. 174-176; zwei Bspp: Pred 8,2: „Ich [sage]:...“; Hos 14,8: „Ephraim [soll sagen:]...“</w:t>
      </w:r>
    </w:p>
  </w:footnote>
  <w:footnote w:id="642">
    <w:p>
      <w:pPr>
        <w:pStyle w:val="Funote"/>
        <w:rPr/>
      </w:pPr>
      <w:r>
        <w:rPr/>
        <w:footnoteRef/>
        <w:tab/>
        <w:t>Er sucht nicht = kurz für „Gott rächt schlechte Taten nicht“, s. Ps 9,13 und dazu FN w. Gut daher Bonkamp 1949: „Er wird nicht rächen“; EÜ, Gordis 1957, S. 121, HER05: „Gott straft nicht“; H-R, Weber 2001: „Er wird nicht ahnden“. In V. 4 auch möglich: „Im Hochmut seiner Nase sucht der Frevler nicht“, nämlich Gott (zu „Gott suchen“ als Ausdruck für die Verehrung JHWHs vgl. FN t zu Ps 9,11). Das Zitat unseres Verses in 10,13 zeigt aber, dass „Er sucht nicht!“ hier die Gedanken des Schlechten sind (so richtig Gordis 1957, S. 113).</w:t>
      </w:r>
    </w:p>
  </w:footnote>
  <w:footnote w:id="643">
    <w:p>
      <w:pPr>
        <w:pStyle w:val="Funote"/>
        <w:rPr/>
      </w:pPr>
      <w:r>
        <w:rPr/>
        <w:footnoteRef/>
        <w:tab/>
        <w:t>Es gibt keinen Gott ist keine theoretische Leugnung der Existenz Gottes an sich, die im Alten Israel schwer vorstellbar wäre, sondern eine praktische: Der Schlechte lebt, als gäbe es keinen (rächenden!) Gott. „Für den hochnäsigen Frevler ist Gott eine quantité négligeable, dem kein Recht etwas zu ahnden zusteht.“ (Herkenne 1936, S. 70).</w:t>
      </w:r>
    </w:p>
  </w:footnote>
  <w:footnote w:id="644">
    <w:p>
      <w:pPr>
        <w:pStyle w:val="Funote"/>
        <w:rPr/>
      </w:pPr>
      <w:r>
        <w:rPr/>
        <w:footnoteRef/>
        <w:tab/>
        <w:t>Profan - „Die Wege sind profan“ = „seine Wege sind nicht Gottes Weg“, d.h. er lebt nicht so, wie dies Gottes Weisung entsprechen würde. Sinnvoll Kissane 1953: „His ways are impious at all times“. tFN: Für diese Deutung hat man entweder mit Goldingay 2006, S. 164 davon auszugehen, dass zu chalal („profanieren“) eine Nebenform chul existierte, von der das Wort gebildet ist, oder mit Kissane 1953, S. 41 zu emendieren nach jechallu von chalal. stark? - Sehr viele orientieren sich an Tg („seine Wege gedeihen“) und mutmaßen, Tg habe das heb. Wort auf die aram. Wurzel chjl („stärken“) zurückgeführt, die nur hier und in Ijob 20,21 auch für das Heb. anzunehmen sei. Das ist recht zweifelhaft. Erstens übersetzt auch Tg nicht mit chjl, was ein Indiz dafür ist, dass auch im Aramäischen „starke Wege“ nicht idiomatisch sind, zweitens bedeutet das aram. chajel nicht „stark sein“, sondern nur „stärken“, drittens muss das Wort in Ijob 20,21 dann auch noch in einer anderen Bed., nämlich „Bestand haben“, genommen werden, wo es sich auch dann nur schwer in den Kontext fügt (vgl. ähnlich Goldingay 2006, S. 164). Auch mit den anderen alten Üss. lässt sich diese Deutung nicht stützen: LXX, Syr, VUL verbinden wie wir mit chalal („entweihen“) („Profan sind seine Wege“), Hieronymus, Aq, Quinta und Saadja mit chjl („kreisen, sich winden“) (H: „Seine Wege kreisen alle Zeit“, Aq+Q: „Seine Wege schmerzen“, S: „Immer von Neuem beginnen seine Pläne“). Letzterer Deutung folgt übrigens auch Eerdmans 1947: „His ways are wavering“.</w:t>
      </w:r>
    </w:p>
  </w:footnote>
  <w:footnote w:id="645">
    <w:p>
      <w:pPr>
        <w:pStyle w:val="Funote"/>
        <w:rPr/>
      </w:pPr>
      <w:r>
        <w:rPr/>
        <w:footnoteRef/>
        <w:tab/>
        <w:t>Hoch [sind] deine Gesetze, fern von ihm - d.h. wieder: Um Gott und seine Weisung schert sich der Schlechte nicht im Geringsten. Schön EÜ: „Hoch droben und fern von sich wähnt er deine Gerichte.“</w:t>
      </w:r>
    </w:p>
  </w:footnote>
  <w:footnote w:id="646">
    <w:p>
      <w:pPr>
        <w:pStyle w:val="Funote"/>
        <w:rPr/>
      </w:pPr>
      <w:r>
        <w:rPr/>
        <w:footnoteRef/>
        <w:tab/>
        <w:t>schnauben nur hier in dieser Bed.; gemeint ist wohl das niedergemacht-Werden Gedrückter durch ihre Unterdrücker. Vgl. das ähnliche Wort scha´ap in Ps 56,2f.; 75,4; Ez 36,3. Am besten EÜ, ZÜR: „All seine Gegner faucht/fährt er an“; sinnvoll auch HER05, NL, PAT: „er verspottet seine Feinde“, H-R, MEN, R-S: „er höhnt seine Gegner aus“.</w:t>
      </w:r>
    </w:p>
  </w:footnote>
  <w:footnote w:id="647">
    <w:p>
      <w:pPr>
        <w:pStyle w:val="Funote"/>
        <w:rPr/>
      </w:pPr>
      <w:r>
        <w:rPr/>
        <w:footnoteRef/>
        <w:tab/>
        <w:t>wanken - Das »Wanken« ist in der biblischen Poesie eine häufige Metapher für eine Gefährdung, aus der direkt Vernichtung und Tod folgt. Wer dagegen »nicht wankt« ist sicher und geschützt und wird daher ewig bestehen; s. bes. gut Spr 10,30; 12,3; auch Ps 16,8; 46,6f; 62,3.7; 112,6; 125,1. Wie an den Stellen zu sehen ist, handelt es sich bei diesem nicht-Wanken meist um eine Gnadengabe Gottes; hier dagegen wird es gerade auf die Nichtexistenz Gottes zurückgeführt.</w:t>
      </w:r>
    </w:p>
  </w:footnote>
  <w:footnote w:id="648">
    <w:p>
      <w:pPr>
        <w:pStyle w:val="Funote"/>
        <w:rPr/>
      </w:pPr>
      <w:r>
        <w:rPr/>
        <w:footnoteRef/>
        <w:tab/>
        <w:t>So dass (weil; [ich], der) [ich] nicht (nie) [sein werde] im Unglück. - die Üs. folgt im Großen und Ganzen Alexander 1850, versteht aber ´ascher als Einleitung eines adverbialen Nebensatzes (vgl. Ges18, S. 111f.). Alternativ hat für diese Zeile fast jeder Exeget einen eigenen Textkorrekturvorschlag vorgelegt.</w:t>
      </w:r>
    </w:p>
  </w:footnote>
  <w:footnote w:id="649">
    <w:p>
      <w:pPr>
        <w:pStyle w:val="Funote"/>
        <w:rPr/>
      </w:pPr>
      <w:r>
        <w:rPr/>
        <w:footnoteRef/>
        <w:tab/>
        <w:t>unter seiner Zunge - das „unter“ ist wohl nicht bedeutsam (anders Gordis 1957, S. 115: „Not ‚on his tongue,‘ but ‚under his tongue,‘ i.e., as a delicacy“): Unter seiner Zunge liegen „Mühsal und Unheil“ also gerade die (spürbaren) Effekte seiner List und Gewalttätigkeit (gut daher NGÜ: „Was sie von sich geben, bringt anderen Unheil und Schaden“). „Sein Mund ist voll von X“ und „Unter seiner Zunge ist X“ sind also wohl Synonyme: Was er auch von sich gibt, ist schlecht, gemein und schädlich.</w:t>
      </w:r>
    </w:p>
  </w:footnote>
  <w:footnote w:id="650">
    <w:p>
      <w:pPr>
        <w:pStyle w:val="Funote"/>
        <w:rPr/>
      </w:pPr>
      <w:r>
        <w:rPr/>
        <w:footnoteRef/>
        <w:tab/>
        <w:t>Dörfer wird gern korrigiert, zum Sinn aber gut Gordis 1957, S. 116: „chtsrjm is an unwalled settlement (defined as such in Lev 25,31), a peaceful village where violence is not normally expected and hence not guarded against. nqj is its parallel, meaning ‚innocent‘ in its etymological sense, ‚doing no harm,‘ actually ‚unarmed.‘ [...] The passage emphasizes the enormity of the crime, against which no precautions have been taken.“</w:t>
      </w:r>
    </w:p>
  </w:footnote>
  <w:footnote w:id="651">
    <w:p>
      <w:pPr>
        <w:pStyle w:val="Funote"/>
        <w:rPr/>
      </w:pPr>
      <w:r>
        <w:rPr/>
        <w:footnoteRef/>
        <w:tab/>
        <w:t>tFN: Verfolgten (V. 8) + Verfolger (V. 10) + Verfolgte (V. 14) - unsicheres Wort, in der Bibel nur in Ps 10 zu finden. Zusätzlich verkompliziert wird die Sache dadurch, dass es in zwei verschiedenen Formen vorliegt: im Sg. chelkah in Vv. 8.14 und im dann ungewöhnlichen Pl. chelka´im in V. 10. Und noch mal verkomplizierend kommt hinzu, dass sich dieser ungewöhnliche Plural mehrere Male in den Qumran-Texten findet (s. 1QH XI 25f.; XII 25.35; 4Q432 Frg 4 II,1) und dort offensichtlich eine Bezeichnung für Übeltäter ist, während hier in Vv. 8.14 offensichtlich mit dem Sg. der Elende gemeint ist. Wir folgen der Deutung von Komlós 1957: Weil das Wort in 1QH XI 26; hier und übrigens auch in 4Q432 Frg 4 II,1 im Zhg. mit Netzen genannt wird, leitet er ab vom heb. chkh („Haken“); die chelka´im sind dann die „Hakenden“, also die Verfolger; der chelkah dagegen der „Gehakte“, also der Verfolgte. Zu einem ähnlichen Ergebnis kommt Bonkamp 1949, S. 76 FN 16, der das Wort vom akkadischen hallku („Flüchtling“) ableiten will. Die übliche Deutung als „Unglücklicher“ nach einer Ableitung vom arabischen chalaka („schwarz sein“, so z.B. Wallenstein 1954, S. 214; Ges18, S. 355) ist vor dem Hintergrund der Qumran-Stellen nicht gut möglich, weil zwar noch einzusehen wäre, wie aus „schwarz“ die Bedeutung „Unglücklicher“ oder „Böser“ entstehen soll, aber nur schwerlich, wie daraus beide Bedeutungen gleichzeitig entstanden sein sollen. Zu einem weiteren, aber unwahrscheinlichen Vorschlag vgl. Simpson 1969.</w:t>
      </w:r>
    </w:p>
  </w:footnote>
  <w:footnote w:id="652">
    <w:p>
      <w:pPr>
        <w:pStyle w:val="Funote"/>
        <w:rPr/>
      </w:pPr>
      <w:r>
        <w:rPr/>
        <w:footnoteRef/>
        <w:tab/>
        <w:t>in sein (mit seinem) Netz zieht - ein plötzlicher Übergang von der Löwenmetapher zur Fischermetapher, nachdem von V. 8 auf V. 9 schon ebenso plötzlich von der Räubermetapher zur Löwenmetapher gewechselt wurde. Solche schnellen Metaphern-wechsel sind im Heb. normal und der Text also nicht problematisch, während sie im Dt. etwas kurios wirken - vgl. nur in Ps 9,4-13 die Darstellung Gottes als Streiter (V. 4), als königlicher Richter (Vv. 5f.), wieder als Streiter (V. 7), wieder als Richter (V. 9), als Zuflucht (Vv. 10f.) und als Bluträcher (V. 13). Auch hier wird im nächsten Vers wieder zur Löwenmetapher und in V. 11 wieder zur Fischermetapher zurückgewechselt. Zur Fischermetapher für Vernichtung s. noch Jer 16,16; Am 4,2; Hab 1,15f.; die Fischermetapher passt in der heb. „Metaphernwelt“ besser zur Löwenmetapher als im Dt.</w:t>
      </w:r>
    </w:p>
  </w:footnote>
  <w:footnote w:id="653">
    <w:p>
      <w:pPr>
        <w:pStyle w:val="Funote"/>
        <w:rPr/>
      </w:pPr>
      <w:r>
        <w:rPr/>
        <w:footnoteRef/>
        <w:tab/>
        <w:t>V. 10 - Die meisten gehen davon aus, dass die chelka´im in V. 10 die selben sind wie der „Verfolgte“ in Vv. 8.14 (vgl. dazu FN u; aus diesem Grund muss dann anders übersetzt werden. Für unsere Deutung muss mit Komlós 1957, S. 246, der ursprünglich vokallose Konsonantentext ein wenig anders vokalisiert werden. Nach der anderen Deutung der chelka´im ist entweder zu übersetzen: „Der bricht zusammen, sinkt nieder / und es fallen die Unglücklichen/Verfolgten in seine (=des Schlechten) Klauen/durch seine Macht“, oder (schöner): „Er duckt sich und bückt sich [wie ein Löwe vor dem Sprung] / und der Unglückliche fällt in seine Klauen“ (so z.B. Olshausen 1853; Terrien 2003). Letzters auch schon bei Saadja: „Die[se] Worte [...] stellen das Verhalten des Löwen dar. Wenn sich derselbe nämlich zum Sprunge vorbereitet, so duckt er sich erst, um sich zu sammeln [...]. Ebenso der Frevler. Siehst du ihn sich vor dir erniedrigen und dich mit Sanftmuth anreden, so hüte dich vor ihm, denn dies ist Verstellung [...].“ (Üs. nach Margulies 1884).</w:t>
      </w:r>
    </w:p>
  </w:footnote>
  <w:footnote w:id="654">
    <w:p>
      <w:pPr>
        <w:pStyle w:val="Funote"/>
        <w:rPr/>
      </w:pPr>
      <w:r>
        <w:rPr/>
        <w:footnoteRef/>
        <w:tab/>
        <w:t>Gott vergisst (V. 11) + Vergiss (V. 12) - Die Rede vom »Vergessen« Gottes meint meist sein aktives sich-Abwenden von jmdn (s. z.B. 1 Sam 1,11; Ps 13,2; 42,10; 44,25; Jes 49,14; Klg 5,20). In V. 11 schert sich der Schlechte also wieder überhaupt nicht um die Existenz Gottes und seiner Weisung; er lebt, als würde Gott seine Freveltaten einfach ignorieren. Darum ruft der Elende, weil von dem Schlechten gedrückte, Psalmist in V. 12 Gott auf, doch nun endlich einzuschreiten: Steh auf!, d.h., werde aktiv! Heb deine Hand, d.h. mach' jetzt was! Vergiss nicht!, d.h. wende dich dem Elenden gnädig zu!</w:t>
      </w:r>
    </w:p>
  </w:footnote>
  <w:footnote w:id="655">
    <w:p>
      <w:pPr>
        <w:pStyle w:val="Funote"/>
        <w:rPr/>
      </w:pPr>
      <w:r>
        <w:rPr/>
        <w:footnoteRef/>
        <w:tab/>
        <w:t>Dass Gott sein Gesicht verbirgt, ist eine häufige Metapher für den Gnadenentzug JHWHs (s. FN u zu Ps 30,8); in unserem Kontext ist es aber besser nicht als Metapher zu nehmen, sondern als alternative Formulierung für den nächsten Satz: »Gott sieht nicht«. S. zu dieser Bedeutung z.B. Ex 3,6 oder ganz ähnlich wie hier Ps 51,11.</w:t>
      </w:r>
    </w:p>
  </w:footnote>
  <w:footnote w:id="656">
    <w:p>
      <w:pPr>
        <w:pStyle w:val="Funote"/>
        <w:rPr/>
      </w:pPr>
      <w:r>
        <w:rPr/>
        <w:footnoteRef/>
        <w:tab/>
        <w:t>Sieht nicht auf immer - d.h., schert sich nicht um das Geschehen auf der Welt, so dass man ihn in seinem Handeln getrost ignorieren kann.Man beachte die Häufung an Verben in Vv. 9b-11: Die Klage über das Verhalten der Schlechten kommt hier zu ihrer Klimax, die einzelnen Anklagen überstürzen sich regelrecht im Gebet des Psalmisten.</w:t>
      </w:r>
    </w:p>
  </w:footnote>
  <w:footnote w:id="657">
    <w:p>
      <w:pPr>
        <w:pStyle w:val="Funote"/>
        <w:rPr/>
      </w:pPr>
      <w:r>
        <w:rPr/>
        <w:footnoteRef/>
        <w:tab/>
        <w:t>Textkritik: Mein Gott (Gott) - Der MT hat „Gott“; Aq, Sym, Syr und (nach einigen Handschriften) auch LXX lag aber offenbar ein heb. Text vor, in dem „mein Gott“ stand. Kissane 1953, S. 40 etwa hält das für ursprünglicher, und da MT nur von VUL und Hieronymus gestützt wird, während Tg auch „Gott“ streicht, sollte man sich dem wohl besser anschließen.</w:t>
      </w:r>
    </w:p>
  </w:footnote>
  <w:footnote w:id="658">
    <w:p>
      <w:pPr>
        <w:pStyle w:val="Funote"/>
        <w:rPr/>
      </w:pPr>
      <w:r>
        <w:rPr/>
        <w:footnoteRef/>
        <w:tab/>
        <w:t>Sehr schwieriger Satz. Am sinnvollsten ist der Deutungsvorschlag von von Lengerke 1847, S. 48: Gott soll [es, nämlich Mühsal und Leid,] in seine Hände „geben“, d.h. sammeln. Vgl. Ps 56,9: „Sammle meine Tränen in deinem Schlauch. Stehen sie nicht in deinem Buch?“ - d.h.: Gott soll über das Leid des Elenden „Buch führen“. Und vgl. Jes 49,16: „In meine Hände habe ich dich geritzt“. Gott soll Mühsal und Leid also nicht ignorieren, sondern „untersuchen“, und dann im Kopf - oder hier: in der Hand - behalten. Zu übersetzen wäre dann: „indem du [es] in deiner Hand sammelst“ oder freier etwas wie „Schließlich beachtest du Leid und verzeichnest es gar.“ Genauer: Der Satz besteht nur aus zwei Worten: latet, dem Wort natan („geben“) in der Verbform Liqtol, und bejadecha, also „deine Hand“ plus die Präposition be („in, aus, mit, durch,...“). Ein Verb im Liqtol ist „sowohl atemporal als auch apersonal“ (A-C §3.4.1); jeweils aus dem Kontext muss daher erschlossen werden, wer das Subjekt des Verbs ist, wann die mit dem Verb bezeichnete Handlung stattfindet und welche Art von Nebensatz mit dem Verb gebildet werden soll (hier am wahrscheinlichsten: Final („damit“), konsekutiv („so dass“) oder spezifikativ („indem“)). Möglich ist daher neben der obigen jede der folgenden Deutungen des Nebensatzes: Gott soll Mühsal und Leid „untersuchen“ - d.h., darauf reagieren - * „indem er [es] [dem Leidenden ab- und] in seine Hand gibt“. So z.B. NGÜ: „du nimmst das Schicksal [der Leidenden] in deine Hände.“ * „indem er [sie] (nämlich die Schlechten) in seine Hand gibt“, nämlich um sie zu bestrafen. So LXX, Sym, Syr; heute niemand mehr. * „indem er mit seiner Hand gibt“, d.h. den Leidenden sozusagen als Entschädigung für die Mühsal mit Wohltaten segnet. So z.B. TAF: „um [besser: indem] mit Deiner Hand zu geben“; so wohl auch GN: „Du siehst all das Leiden und Unheil und du kannst helfen.“ So schon Tg, auch NKJV. * oder: „indem er mit seiner Hand gibt“, d.h. dem Schlechten seine Übeltaten vergilt. So wohl NL: „Du merkst es und du bestrafst sie.“ Beides kombiniert FREE: „Du schaust auf Mühsal und Gram, um zu vergelten durch deine Hand.“ * sehr interessant, aber auch sehr unwahrscheinlich B-R und R-S, die den Nebensatz nicht zum vorigen, sondern zum nächsten Satz ziehen: B-R: „es in deine Hand zu geben [besser: indem er es in deine Hand gibt, so YLT] überläßts der Elende dir“; R-S: „indem er sich in deine Hand gibt, verlässt sich auf dich der Verfolgte.“ * auch interessant, aber nicht sehr wahrscheinlich: latet bejadeka ist gleichbedeutend mit dem dt. und engl. Idiom „etwas selbst in die Hand nehmen“: „Du schaust auf Mühsal und Leid, um [dann die Sache selbst] in die Hand zu nehmen“. So BB, Weber 2001 und einige engl. Bibeln, z.B. CEB, CJB, HCSB, wohl auch NCV, NIRV. * Vielleicht könnte man auch an Sir 2,22 denken: „Wir wollen lieber in die Hände des Herrn fallen als in die Hände der Menschen“ - und dann davon ausgehen, dass V. 14 im Kontrast zu V. 10 stehen soll, wo der Elende in die Klauen der Schlechten gefallen ist: „indem du [sie (=die Elenden)] [aus den Klauen der Schlechten] in deine Hand gibst“. Aber dafür wäre das Objekt - die Elenden - wohl zu weit weg; zuletzt wurden sie in V. 12 genannt. Oder das Objekt ist der Verfolgte in der nächsten Zeile; solche rückwirkenden Brachylogien finden sich häufiger im Heb. Diese Deutung hätte den schönen Nebeneffekt, dass die viermalige Rede von den „Händen“ in Vv. 10-15 über Kreuz läuft: Der Elende ist in die Klauen der Verfolger gefallen (V. 10), Gott soll ihn stattdessen in seine Hand geben (V. 14). Gott soll seine Hand heben, also aktiv werden (V. 12), aber die Arme der Schlechten zerbrechen, also ihre Aktivität unterbinden (V. 15).</w:t>
      </w:r>
    </w:p>
  </w:footnote>
  <w:footnote w:id="659">
    <w:p>
      <w:pPr>
        <w:pStyle w:val="Funote"/>
        <w:rPr/>
      </w:pPr>
      <w:r>
        <w:rPr/>
        <w:footnoteRef/>
        <w:tab/>
        <w:t>tFN - Die Verbformen in V. 14 (Qatal - Yiqtol - Yiqtol - Qatal) müssen nicht mit Zuber 1986 als (bedeutungsloser) T-Shift zu erklärt werden. V. 14a ist eine gnomische Aussage, 14b ein Wunsch. In 14c ist das Yiqtol ein abilitives Yiqtol und das Qatal in 14d mit der Wortstellung X-Qatal ist ein unmarkierter Nebensatz mit kausaler Sinnrichtung.</w:t>
      </w:r>
    </w:p>
  </w:footnote>
  <w:footnote w:id="660">
    <w:p>
      <w:pPr>
        <w:pStyle w:val="Funote"/>
        <w:rPr/>
      </w:pPr>
      <w:r>
        <w:rPr/>
        <w:footnoteRef/>
        <w:tab/>
        <w:t>Suche wieder i.S.v. „räche“, vgl. wieder FN w zu Ps 9,13. Gut Bonkamp 1949: „Räche sein Unrecht!“; Terrien 2003: „Pursue his crime!“, Weber 2001: „Ahnde seinen Frevel!“</w:t>
      </w:r>
    </w:p>
  </w:footnote>
  <w:footnote w:id="661">
    <w:p>
      <w:pPr>
        <w:pStyle w:val="Funote"/>
        <w:rPr/>
      </w:pPr>
      <w:r>
        <w:rPr/>
        <w:footnoteRef/>
        <w:tab/>
        <w:t>sein = „ihr“, das des Schlechten und Bösen. Theoretisch könnte man alternativ auflösen: „Zerbrich den Arm des Bösen! / Und vom Schlechten suche sein Böses (=Und suche das Böse des Schlechten), bis...“. So wollten schon die Masoreten den Vers verstanden wissen, aber das ist von der Zahl der Worte, die dann auf die einzelnen Zeilen fallen würden, recht unwahrscheinlich.</w:t>
      </w:r>
    </w:p>
  </w:footnote>
  <w:footnote w:id="662">
    <w:p>
      <w:pPr>
        <w:pStyle w:val="Funote"/>
        <w:rPr/>
      </w:pPr>
      <w:r>
        <w:rPr/>
        <w:footnoteRef/>
        <w:tab/>
        <w:t>V. 15b ist entweder so zu verstehen, dass „finden“ der Korrespondenzbegriff von „suchen“ ist („Räche so lange, bis nichts mehr zu rächen ist (weil die Übeltaten ausgegolten sind)!“). So z.B. BB: „Verfolge das Unrecht, das er begangen hat, bis du nichts mehr davon findest.“ Oder - wegen V. 16 in der Tat wahrscheinlicher -: „Räche dich so lange an den Schlechten, bis sie überhaupt nicht mehr existieren!“. So z.B. H-R: „Ahnde bis zur Vernichtung des Bösewichts Sünde!“, STAD: „Strafe den Bösen, damit er verschwinde“. Textkritik: LXX und Syr übersetzen impersonal (=erste Übersetzungsalternative). Entweder ändern sie dafür den Text oder lesen die 2. Pers. als impersonal, wie sich das bisweilen findet (vgl. GKC §144c; so z.B. Gordis 1957, S. 118). Dem folgt auch eine ganze Reihe Üss. Die zweite Übersetzungsalternative ist als Übersetzung auch ohne Textänderungen möglich und wird so von Ehrlich 1905 und R-S vertreten. Beides ist ganz unwahrscheinlich; darasch ist in Ps 9-10 ein Leitwort, mit dem das Rächen Gottes bezeichnet wird.</w:t>
      </w:r>
    </w:p>
  </w:footnote>
  <w:footnote w:id="663">
    <w:p>
      <w:pPr>
        <w:pStyle w:val="Funote"/>
        <w:rPr/>
      </w:pPr>
      <w:r>
        <w:rPr/>
        <w:footnoteRef/>
        <w:tab/>
        <w:t>Nationen - Heb. gojim, oft verwendet für Nationen qua heidnische Nationen; sinngemäßer daher „Heidenvölker“ (ähnlich z.B. Bonkamp 1949; Ehrlich 1905; Weber 2001: „Heiden“).</w:t>
      </w:r>
    </w:p>
  </w:footnote>
  <w:footnote w:id="664">
    <w:p>
      <w:pPr>
        <w:pStyle w:val="Funote"/>
        <w:rPr/>
      </w:pPr>
      <w:r>
        <w:rPr/>
        <w:footnoteRef/>
        <w:tab/>
        <w:t>die Bereitung ihres Herzens (bereite ihr Herz) meint wahrscheinlich das Gebet; die Zeile ist damit eine synonyme Formulierung der vorigen Zeile. S.u. So auch R-S: „ihres Herzens Sorgen neige hin Dein Ohr“. Textkritik: Heb. takin libam. takin ist ein Verb in der 2. Pers., das neben MT auch Tg, Aq und Hieronymus vorliegen hatten („du wirst/sollst bereiten/hast bereitet ihre Herzen“); LXX, Sym, Syr und VUL übersetzen aber mit einem Nomen, nämlich entweder „die Bereitung ihres Herzens“ (LXX, Syr), „die Aussage ihres Herzens“ (Sym) oder „das Begehren ihres Herzens“ (VUL). Alle vier lassen sich zurückführen auf hakin libam, „das Bereiten ihres Herzens“. Dem wird man besser folgen müssen: Fast alle Kommentare und Üss. übersetzen mit „stärke ihre Herzen“ oder „richte ihre Herzen auf“. Aber die Wendung „das Herz bereiten“ findet sich in der Bibel häufig und mit einer stabilen Bedeutung: kun meint entweder „zurichten“ oder „ausrichten“ und „das Herz zu-/ausrichten“ meint daher stets entweder, dass ein Herz zum Gebet „zugerichtet“, also vorbereitet ist (s. Ps 57,8; 108,2), oder dass ein Herz auf Gott oder seine Gebote „ausgerichtet“ ist (s. 1 Sam 7,3; 2 Chr 12,14; 19,3; 20,33; 30,19; Esra 7,10; Ps 78,8; 112,7; vom ausgerichtet-sein im Gebet: Ijob 11,13). Eine parallele Formulierung zum MT unserer Stelle findet sich in 1 Chr 29,18: „Richte ihr Herz zu dir!“. Diese Bedeutung hätte MT auch hier, es fügt sich aber in dieser Bedeutung nur schwerlich in den Kontext. Das tabin („nimm ihr Herz wahr“) in einigen Handschriften ist wohl darauf zurückzuführen, dass die Schreiber das schlecht passende Wort korrigieren wollten. Besser daher als hakin: Die „Ausrichtung ihres Herzens“ meint wie in Ijob 11,13 das Gebet; „Auf die Ausrichtung ihres Herzens lass dein Ohr horchen“ und „du hörst das Verlangen der Elenden“ sind also synonyme Formulierungen. So auch der Midrasch, wo unsere Stelle kommentiert wird wie folgt: „R. Josua (Samuel) bar Nachman hat gesagt: Wenn der Mensch sein Herz auf das Gebet richtet, so kann er versichert sein, dass sein Gebet erhört wird [...].“ (Üs. nach Wünsche 1892, S. 98). Auf anderem Wege zu einem ähnlichen Ergebnis kommt Gordis 1957, S. 119, der sehr unwahrscheinlich ein Substantiv takin mit der Bedeutung „Inhalt“ ansetzt („dem Inhalt ihres Herzens lausche“) und BHS und Kissane 1953, S. 41, die hegjon („Nachsinnen, Beten“) lesen wollen („dem Beten ihres Herzens lausche“), was aber die alten Übersetzungen nicht gut erklärt.</w:t>
      </w:r>
    </w:p>
  </w:footnote>
  <w:footnote w:id="665">
    <w:p>
      <w:pPr>
        <w:pStyle w:val="Funote"/>
        <w:rPr/>
      </w:pPr>
      <w:r>
        <w:rPr/>
        <w:footnoteRef/>
        <w:tab/>
        <w:t>Menschlein aus Erde - Die letzte Zeile ist sehr nahe an den den letzten beiden Zeilen von Ps 9. Wieder wählt der Dichter bewusst das Wort ´enosch, mit dem oft der Mensch qua schwaches Wesen bezeichnet wird (vgl. z.B. TWOT 136a). Das „aus der Erde“ soll dies noch zusätzlich unterstreichen.</w:t>
      </w:r>
    </w:p>
  </w:footnote>
  <w:footnote w:id="666">
    <w:p>
      <w:pPr>
        <w:pStyle w:val="Funote"/>
        <w:rPr/>
      </w:pPr>
      <w:r>
        <w:rPr/>
        <w:footnoteRef/>
        <w:tab/>
        <w:t>[Status: Zuverlässig]</w:t>
      </w:r>
    </w:p>
  </w:footnote>
  <w:footnote w:id="667">
    <w:p>
      <w:pPr>
        <w:pStyle w:val="Funote"/>
        <w:rPr/>
      </w:pPr>
      <w:r>
        <w:rPr/>
        <w:footnoteRef/>
        <w:tab/>
        <w:t>Chorleiter - Heb. menatseach; genaue Bedeutung unklar. Die Primärübersetzung „Chorleiter“ ist mehr oder weniger Konvention. Für einen guten Vorschlag zur Deutung vgl.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sondern der Vorsteher über das Ritual, bei dem der Psalm vorzuträgen war. Doch ist auch dies nur ein „educated guess“ und „Chorleiter“ ist in dt. Üss. so etabliert, dass die LF doch besser dieser Deutung folgen sollte.</w:t>
      </w:r>
    </w:p>
  </w:footnote>
  <w:footnote w:id="668">
    <w:p>
      <w:pPr>
        <w:pStyle w:val="Funote"/>
        <w:rPr/>
      </w:pPr>
      <w:r>
        <w:rPr/>
        <w:footnoteRef/>
        <w:tab/>
        <w:t>ihr sind vermutlich nicht verängstigte Freunde des Psalmisten (so die meisten Kommentatoren), sondern eine Gruppe von Feinden der Gruppe, die durch den Psalmisten repräsentiert wird: „Ihr sagt zu mir: Flieht auf ‚euren Berg‘.“ Umstritten ist, ob das folgende Zitat dieser Gruppe von V. 1 bis V. 3 geht, oder ob in V. 2 wieder der Sprecher wechselt und ab hier wieder der Psalmist spricht (so z.B. Gerstenberger 1991, S. 77f.). Aber in der Wendung ki hinneh („denn siehe,...“) hat ki („denn“, „Oh!“, „Ach!“) nie die selbe Funktion wie hinneh (also die eines Fokuspartikels: „Oh! Siehe!, ...“) und muss also als „denn“ verstanden werden. Würde demnach in V. 2 wieder der Psalmist sprechen, würde er ja sein Vertrauen in Gott damit begründen, dass die Frevler schon ihre Bogen spannen. Das liegt sicher fern. Die Sprecher sind also immer noch die selben und sie begründen in V. 2 ihre Aufforderung von V. 1 (für ähnliche mit ki hinneh eingeleitete Begründungen s. z.B. schön deutlich Jer 50,9 auf V. 8; Ps 59,4 auf V. 3; 83,3 auf V. 2). Ab V. 4 dagegen beginnt offenbar die Erwiderung auf 3b: „Was tut JHWH?“ - „Richten.“ (so gut Mannati 1979, S. 225). Die beiden Abschnitte des Psalms sind also sehr wahrscheinlich: Vv. 1b-3 - Vv. 4-7.</w:t>
      </w:r>
    </w:p>
  </w:footnote>
  <w:footnote w:id="669">
    <w:p>
      <w:pPr>
        <w:pStyle w:val="Funote"/>
        <w:rPr/>
      </w:pPr>
      <w:r>
        <w:rPr/>
        <w:footnoteRef/>
        <w:tab/>
        <w:t>zu mir (zu meiner Seele) (V. 1) + hasst er (hasst seine Seele) (V. 5) - Heb. „zu meiner nefesch“ bzw. „hasst seine nefesch (‚Seele‘)“. Eine wörtl. Üs. von nefesch ist fast nie zu empfehlen, weil es im heb. Menschenbild einen Gegensatz von Körper und Seele so nicht gab; nefesch meint hier wie meist den ganzen Menschen/Gott und wird daher hier wie häufig als Wechselbegriff für „Ich“/„Er“ verwendet.</w:t>
      </w:r>
    </w:p>
  </w:footnote>
  <w:footnote w:id="670">
    <w:p>
      <w:pPr>
        <w:pStyle w:val="Funote"/>
        <w:rPr/>
      </w:pPr>
      <w:r>
        <w:rPr/>
        <w:footnoteRef/>
        <w:tab/>
        <w:t>Wie [könnt] ihr [da] zu mir sagen - W. „Wie (´ek) sagt ihr zu mir...?“; das Fragewort ´ek dient hier wie häufig zur Einleitung eines ablehnenden Ausrufs: „Wie könnt ihr nur...!?“ (s. z.B. Gen 26,9; 39,9; Ri 16,15 u.ö). Die obige Übersetzung versucht, diesen Ton einzufangen. Ähnlich viele Üss.</w:t>
      </w:r>
    </w:p>
  </w:footnote>
  <w:footnote w:id="671">
    <w:p>
      <w:pPr>
        <w:pStyle w:val="Funote"/>
        <w:rPr/>
      </w:pPr>
      <w:r>
        <w:rPr/>
        <w:footnoteRef/>
        <w:tab/>
        <w:t>auf euren Berg - nämlich den Zion, den Berg, auf dem Gott in seinem Tempel wohnt und der daher eine sichere Zuflucht ist (vgl. z.B. Zion/Zionstheologie (WiBiLex) und s. z.B. Ps 46,1-8; 48,13-15; zum ähnlichen Motiv des Tempels als Zufluchtsort s. z.B. Ps 27,4f.; 61,4f.).</w:t>
      </w:r>
    </w:p>
  </w:footnote>
  <w:footnote w:id="672">
    <w:p>
      <w:pPr>
        <w:pStyle w:val="Funote"/>
        <w:rPr/>
      </w:pPr>
      <w:r>
        <w:rPr/>
        <w:footnoteRef/>
        <w:tab/>
        <w:t>[wie] ein Vogel, d.h. »wie ein Angsthase« (vgl. Spr 27,8; Hos 11,11). Sehr schön Delekat 1967, S. 154: »Flieh ins Gebirge wie ein Hasenfuss!«»Vogel« ist ein »generischer Singular« mit Pl.-Bed.; übersetze: »wie Vögel«.</w:t>
      </w:r>
    </w:p>
  </w:footnote>
  <w:footnote w:id="673">
    <w:p>
      <w:pPr>
        <w:pStyle w:val="Funote"/>
        <w:rPr/>
      </w:pPr>
      <w:r>
        <w:rPr/>
        <w:footnoteRef/>
        <w:tab/>
        <w:t>Textkritik: Flieht auf euren Berg [wie] ein Vogel ([wie] Vögel; flieh auf euren Berg, Vogel!, flieh/flieht ins Gebirge wie ein Vogel/wie Vögel! - Der heb. Teil der Bibel wurde ursprünglich ohne Vokale geschrieben; jüdische Schriftgelehrte trugen diese Vokale im Mittelalter nach. An dieser Stelle liegt der heb. Text daher in zwei us. Versionen vor: Der Konsonantentext bedeutet »Flieht (mask. pl.)«, die Schriftgelehrten wollten das korrigieren und haben durch die Vokale angezeigt, dass sie den Text verstanden wissen wollen als »Flieh (fem. sg.)«. Darauf folgen im Heb. die Konsonanten hrkm (»auf euren Berg«) und zpwr, das sich entweder als Sg. oder als »generischer« Sg. mit Pl.-Bed. und entweder als Vokativ (»du Vogel / ihr Vögel«) oder als adverbialer Akkusativ des Vergleichs (»[wie] ein Vogel / [wie] Vögel«) verstehen lässt. Die alten Übersetzungen übersetzen fast einheitlich: »Flieh (sg.) ins Gebirge wie ein Vogel«. Auch hier findet sich also meist die Deutung des Verbs als Sg., außerdem fehlt stets das »euer« und stets steht ein »wie«. Das könnte bedeuten, dass den alten Versionen statt den Konsonanten hrkm zpwr (»auf euren Berg [wie] ein Vogel«) die Konsonanten hr kmw zpwr (»ins Gebirge wie ein Vogel«) vorlagen. Die Unterschiede lassen sich aber auch als eine freiere, kontextuelle Übertragung erkären: Die singularische Übertragung des Verbs wäre dem »zu meiner Seele« in V. 1 geschuldet; »auf euren Berg/auf euer Gebirge« wurde als alternativer Ausdruck für »ins Gebirge« gefasst, weil das Gebirge in der Bibel oft der Ort ist, an den in Notsituationen geflohen wird, und das »wie« soll nur den adverbialen Akkusativ des Vergleichs ausdrücklich machen. Ähnlich erklärt z.B. CTAT IV, S. 42f. die Unterschiede; dieser Deutung folgen auch wir und betrachten als ursprünglich: »FliehT auf EUREN Berg [WIE] ein Vogel«. So z.B. auch B-R, MEN, SLT, STAD, TAF, TUR.</w:t>
      </w:r>
    </w:p>
  </w:footnote>
  <w:footnote w:id="674">
    <w:p>
      <w:pPr>
        <w:pStyle w:val="Funote"/>
        <w:rPr/>
      </w:pPr>
      <w:r>
        <w:rPr/>
        <w:footnoteRef/>
        <w:tab/>
        <w:t>Denn siehe leitet hier die Begründung der vorangehenden Aufforderung ein (s. ähnlich z.B. Jer 50,9 auf V. 8; Ps 59,4 auf V. 3; 83,3 auf V. 2); sinngemäßer daher: »Denn siehe die Bösen wollen [ja] den Bogen spannen«.</w:t>
      </w:r>
    </w:p>
  </w:footnote>
  <w:footnote w:id="675">
    <w:p>
      <w:pPr>
        <w:pStyle w:val="Funote"/>
        <w:rPr/>
      </w:pPr>
      <w:r>
        <w:rPr/>
        <w:footnoteRef/>
        <w:tab/>
        <w:t>tFN: wollen legen - W. »legen/haben gelegt.« Zeilen 1 und 2 von V. 2 verwenden unterschiedliche Verbformen. Nach der Logik muss man zuerst den Bogen spannen, bevor man den Pfeil auf die Sehne legen kann; laut den Verbformen von V. 2 ist es hier aber umgekehrt: »Sie werden/wollen den Bogen spannen, / sie haben den Pfeil auf die Sehne gelegt«. Das ist am besten zu erklären als T-Shift (so auch Zuber 1986, S. 26; schon von Lengerke 1847, S. 50): Aus poetischen Gründen kann in der bibl. Poesie von einer Zeile auf die nächste von einem Tempus zum nächsten gewechselt werden, ohne, dass das einen Bedeutungsunterschied machen würde (vgl. z.B. Berlin 1979, S. 23). Auch von den meisten Üss. wird daher richtig der Unterschied zwischen den beiden Verbformen eingeebnet.</w:t>
      </w:r>
    </w:p>
  </w:footnote>
  <w:footnote w:id="676">
    <w:p>
      <w:pPr>
        <w:pStyle w:val="Funote"/>
        <w:rPr/>
      </w:pPr>
      <w:r>
        <w:rPr/>
        <w:footnoteRef/>
        <w:tab/>
        <w:t>im Dunkel, also feige im Schutz der Nacht.</w:t>
      </w:r>
    </w:p>
  </w:footnote>
  <w:footnote w:id="677">
    <w:p>
      <w:pPr>
        <w:pStyle w:val="Funote"/>
        <w:rPr/>
      </w:pPr>
      <w:r>
        <w:rPr/>
        <w:footnoteRef/>
        <w:tab/>
        <w:t>Fundamente - gemeint ist wohl, »daß die Frevler sogar Fundamente und Siedlungen vernichten« (Loretz 2002, S. 112). Genauer: »Fundamente« wird von fast allen Exegeten und z.B. auch BB, GN, HfA, NeÜ, NGÜ, NL als Metapher für die »Grundlage der Gesellschaft«, nämlich die gesellschaftliche Ordnung oder die wichtigen Bürger als die »Stützen der Gesellschaft«, gedeutet; verwiesen wird dafür auf Ps 82,5; Jes 19,10; Ez 30,4. Das ist ganz unwahrscheinlich. In Jes 19,10 ist vermutlich schetiteha (»Weber«) zu vokalisieren (vgl. BHS; Eitan 1925; heute z.B. Smith 2007, S. 357). Ez 30,4 und Ps 82,5 verwenden andere Wörter als Ps 11. Auch unabhängig davon geht es in Ez 30,4 sicher nicht um »Fundamente der Gesellschaft«, sondern um Urbizid, die vollständige Schleifung einer Stadt (dazu vgl. kürzlich Wright 2015). In Ps 82,5 schließlich ist von den mosde ´arets (»Säulen der Erde«) die Rede, die hier sicher wie sonst auch die Fundamente, auf denen nach dem bib. Weltbild entweder die Erde über der Unterwelt oder der Himmel auf der Erde ruht, meinen (s. zu dieser und ähnlichen Wendungen Dtn 32,22; 2Sam 22,8.16 und Ps 18,7.15; Spr 8,29; Jes 28,18; Jer 31,37; Mi 6,2 und vgl. z.B. Muszyński 1975, S. 105f.). Damit wäre »Fundamente« als Bild für »wichtige Bürger« oder »staatliche Ordnung« also singulär und ist daher besser mit Loretz 2002, S. 112 wörtlich zu verstehen und ebenso wie Ez 30,4 auf den Brauch des Urbizids zu beziehen: Die Bösen wollen nicht nur die Gerechten niedermähen (V. 2), sondern auch ihre gesamte Stadt schleifen (V. 3a).</w:t>
      </w:r>
    </w:p>
  </w:footnote>
  <w:footnote w:id="678">
    <w:p>
      <w:pPr>
        <w:pStyle w:val="Funote"/>
        <w:rPr/>
      </w:pPr>
      <w:r>
        <w:rPr/>
        <w:footnoteRef/>
        <w:tab/>
        <w:t>der Gerechte = JHWH (so schon Ehrlich 1905; z.B. auch Auffret 1981, S. 406; Mannati 1979, S. 225): V. 7 wird sicher JHWH als „der Gerechte“ bezeichnet und es ist unwahrscheinlich, dass innerhalb dieser nur sieben Verse JHWH mit einem Begriff charakterisiert wird, mit dem zuvor schon seine Verehrer charakterisiert wurden. Für Gottes Verehrer ist in Ps 11 der Begriff jaschar („aufrecht“) reserviert. Die Übersetzung „Was kann der Gerechte tun?“ ist wegen der Verbform nicht zulässig (so richtig Kissane 1953, S. 47); gefragt wird nach dem tatsächlichen Tun des „gerechten“ Gottes: Wo bleibt denn sein gerechtes Handeln?</w:t>
      </w:r>
    </w:p>
  </w:footnote>
  <w:footnote w:id="679">
    <w:p>
      <w:pPr>
        <w:pStyle w:val="Funote"/>
        <w:rPr/>
      </w:pPr>
      <w:r>
        <w:rPr/>
        <w:footnoteRef/>
        <w:tab/>
        <w:t>der in seinem heiligen Tempel ist + der im Himmel seinen Thron hat - erklärlich durch einen faszinierenden Aspekt des altorientalischen Götterglaubens: JHWH und andere Götter hatten nach der Vorstellung ihrer alten Verehrer klar einen Körper, waren also nicht „reiner Geist“. Sie waren aber nicht an diesen ihren eigentlichen Körper gebunden, sondern konnten sich sozusagen „aufsplitten“ und zusätzlich auch andere Orte, Kultbilder, Gebäude etc. zu „Zweit-körpern“ erwählen. „Der Psalmist glaubt in Übereinstimmung mit einem Denkschema, das sich auch anderswo im Alten Orient findet, dass Gott physisch sowohl an einem Ort auf der Erde als auch im Himmel anwesend sein konnte.“ (Sommer 2009, S. 44 zu Ps 20; zu Ps 11,4 vgl. S. 235 FN 22).</w:t>
      </w:r>
    </w:p>
  </w:footnote>
  <w:footnote w:id="680">
    <w:p>
      <w:pPr>
        <w:pStyle w:val="Funote"/>
        <w:rPr/>
      </w:pPr>
      <w:r>
        <w:rPr/>
        <w:footnoteRef/>
        <w:tab/>
        <w:t>Seine Augen blicken - das Objekt auch dieses Satzes sind die „Menschenkinder“. Die Aneinanderreihung zweier alternativer Ausdrücke für dieses blickende Prüfen soll die Aussage noch steigern und emphatischer machen.</w:t>
      </w:r>
    </w:p>
  </w:footnote>
  <w:footnote w:id="681">
    <w:p>
      <w:pPr>
        <w:pStyle w:val="Funote"/>
        <w:rPr/>
      </w:pPr>
      <w:r>
        <w:rPr/>
        <w:footnoteRef/>
        <w:tab/>
        <w:t>Augen - hier wird ein anderes Wort für „Augen“ verwendet als in Zeile c. Früher wurde es oft mit „Augenlider“ oder „Wimpern“ wiedergegeben, aber vgl. Dahood 1969, S. 351f. u.a.: Alternativer Begriff für „Auge“. Sinnvoll EÜ, LUT, MEN, PAT, R-S, SLT, TUR, van Ess, ZÜR: „Seine Blicke prüfen die Menschenkinder“.</w:t>
      </w:r>
    </w:p>
  </w:footnote>
  <w:footnote w:id="682">
    <w:p>
      <w:pPr>
        <w:pStyle w:val="Funote"/>
        <w:rPr/>
      </w:pPr>
      <w:r>
        <w:rPr/>
        <w:footnoteRef/>
        <w:tab/>
        <w:t>V. 4 - Ein sog. „Casus pendens“ mit einem starken rhetorischen Effekt: Im Heb. kann ein Wort oder Satzglied (hier: die ganzen Zeilen a und b) von seiner „eigentlichen Stelle“ im Satz an den Satzanfang verschoben und dann an dieser seiner eigentlichen Stelle durch ein Pronomen vertreten werden (hier: das „seine“ vor „Augen“). Eigentlich also: „Die Augen JHWHs, der im Tempel ist, prüfen...“Auf diese Weise beginnen beide Strophen mit dem Wort „JHWH“, der Psalmist kann das Wort „JHWH“ seinen Gegenrednern in V. 4 zweimal wie einen Vorwurf entgegenschmettern, bevor er zu seiner eigentlichen Aussage kommt, und Gottes Gegenwart in seinem Tempel im Zion kann noch mal gesteigert werden mit seinem himmlischen Thronen, wie auch das „blicken“ noch mal durch „prüfen“ gesteigert wurde. „Ihr Würmer wagt es, JHWH die Stirn zu bieten? Dem auf dem Zion, dem im Himmel? Ihm, der die Menschenkinder sieht, der sie prüft!?“</w:t>
      </w:r>
    </w:p>
  </w:footnote>
  <w:footnote w:id="683">
    <w:p>
      <w:pPr>
        <w:pStyle w:val="Funote"/>
        <w:rPr/>
      </w:pPr>
      <w:r>
        <w:rPr/>
        <w:footnoteRef/>
        <w:tab/>
        <w:t>V. 5 - Möglich auch: „JHWH prüft als ein Gerechter“, d.h. „er prüft gerecht“ (so B-R). Oder: „JHWH - den Gerechten und den Bösen prüft er, / und den Gewalt Liebenden hasst seine Seele.“ (so die meisten Kommentatoren und Übersetzer; bes. Michel 1997, S. 60-65). Oder: „JHWH - den Gerechten prüft er, und den Bösen und den Gewalt Liebenden hasst seine Seele.“ Unsere Üs. folgt Alexander 1850; ähnlich auch Delekat 1967, S. 156 und Eerdmans 1947. „Gerecht“ ist in V. 7 sicher auf JHWH zu beziehen und es ist unwahrscheinlich, dass in den nur sieben Versen dieses Psalms Gott mit dem selben Wort charakterisiert wird, mit dem zuvor auch seine Anhänger charakterisiert wurden. V. 5 führt also die Aussage in V. 4 weiter und macht sie zur Drohung: „JHWHs Augen blicken, sie prüfen die Menschenkinder. JHWH prüft - und wer sich dabei als Böser oder als Gewaltliebhaber ergibt, den hasst er.“</w:t>
      </w:r>
    </w:p>
  </w:footnote>
  <w:footnote w:id="684">
    <w:p>
      <w:pPr>
        <w:pStyle w:val="Funote"/>
        <w:rPr/>
      </w:pPr>
      <w:r>
        <w:rPr/>
        <w:footnoteRef/>
        <w:tab/>
        <w:t>wird (soll) - Ein Jussiv („soll“). Unzulässig daher: „Er lässt regnen“. Der Jussiv hat hier vermutlich kommissive Sinnrichtung und wird so als Drohung verwendet; im Dt. entspricht dem: „Er wird regnen lassen.“</w:t>
      </w:r>
    </w:p>
  </w:footnote>
  <w:footnote w:id="685">
    <w:p>
      <w:pPr>
        <w:pStyle w:val="Funote"/>
        <w:rPr/>
      </w:pPr>
      <w:r>
        <w:rPr/>
        <w:footnoteRef/>
        <w:tab/>
        <w:t>Textkritik: Schlingen (Kohle?) - Die „Schlingen“ werden von fast allen Kommentatoren nach Sym korrigiert zu „Kohle“; so schon der Midrasch. Alle anderen alten Übersetzungen hatten aber offensichtlich das selbe Wort vorliegen, das sich auch im heb. Text findet; das „Kohle“ von Sym. ist also sicher selbst eine Korrektur. Delitzsch 1894, S. 133 und Eerdmans 1947, S. 130 wollen daher diese „Schlingen“ als einen metaphorischen Ausdruck für „Blitze“ verstehen, aber das ist sicher abzulehnen (so richtig schon Olshausen 1853, S. 71). Und CTAT IV, S. 47 will dem Wort pachim („Schlingen“) die allgemeinere Bed. „Unglück, Leid“ geben, aber auch das ist abzulehnen. Vielleicht also so: „Schlingen“ sind in Ps 124,7; Spr 7,23; Pred 9,12; Am 3,5 speziell Fanggeräte für Vögel. Wir könnten also hier das häufige Motiv der „Umkehrung der Verhältnisse“ vor uns haben: Nicht die Israeliten sollen „wie Vögel fliehen“ (V. 1), sondern JHWH wird dafür sorgen, dass im Gegenteil ihre Feinde wie Vögel werden: Wie diese durch Vogelfallen „besiegt“ werden, wird JHWH die Feinde der Israeliten besiegen, nämlich durch Feuer, Schwefel und Sturmwind.</w:t>
      </w:r>
    </w:p>
  </w:footnote>
  <w:footnote w:id="686">
    <w:p>
      <w:pPr>
        <w:pStyle w:val="Funote"/>
        <w:rPr/>
      </w:pPr>
      <w:r>
        <w:rPr/>
        <w:footnoteRef/>
        <w:tab/>
        <w:t>Zu Feuer und Schwefel vgl. Gen 19,24 und Ez 38,22, wo Gott seine Feinde vernichtet, indem er Feuer und Schwefel vom Himmel regnen lässt. Auch „Wind“ kommt nach bibl. Vorstellung oder nach bibl. Idiom vom Himmel herab; in Jon 1,4 z.B. kann daher Gott einen Wind auf das Meer „hinabwerfen“.</w:t>
      </w:r>
    </w:p>
  </w:footnote>
  <w:footnote w:id="687">
    <w:p>
      <w:pPr>
        <w:pStyle w:val="Funote"/>
        <w:rPr/>
      </w:pPr>
      <w:r>
        <w:rPr/>
        <w:footnoteRef/>
        <w:tab/>
        <w:t>der Anteil ihres Bechers, d.h. ihr Los. S. ähnlich Ps 16,5; Jer 49,12; Ez 23,31-33; Hab 2,16. „Zugrunde liegt dabei die Vorstellung vom Hausvater, der seinen Gästen beim Mahle ihre Trinkportion in den Becher eingießt.“ (Herkenne 1936, S. 73). Bes. in späteren Schriften wird dieser Becher oft explizit näher bestimmt als „Zorneskelch“: Was den Empfängern dieses „Zorneskelches“ zukommt, ist der Zorn JHWHs. Das ist auch hier gemeint.</w:t>
      </w:r>
    </w:p>
  </w:footnote>
  <w:footnote w:id="688">
    <w:p>
      <w:pPr>
        <w:pStyle w:val="Funote"/>
        <w:rPr/>
      </w:pPr>
      <w:r>
        <w:rPr/>
        <w:footnoteRef/>
        <w:tab/>
        <w:t>wird - Eigentlich ein Plural-Verb, da „der Aufrechte“ ein „generischer Singular“ mit Pl.-Bed. ist. Sinngemäß also: „Werden Aufrechte sein Gesicht sehen“.</w:t>
      </w:r>
    </w:p>
  </w:footnote>
  <w:footnote w:id="689">
    <w:p>
      <w:pPr>
        <w:pStyle w:val="Funote"/>
        <w:rPr/>
      </w:pPr>
      <w:r>
        <w:rPr/>
        <w:footnoteRef/>
        <w:tab/>
        <w:t>sein Gesicht sehen meint wohl: Von ihm gesegnet werden. Das „Sehen von Gottes Gesicht“ ist etwas innerweltlich Geschehendes (s. Ps 17,15), also nichts, was erst nach einer „Auferstehung“ o.Ä. geschehen würde. Wahrscheinlich handelt es sich also um den Korrespondenz-ausdruck von „JHWH lässt sein Gesicht über jmdn leuchten“, das gleichfalls für JHWHs Segen steht (s. z.B. Num 6,25; Ps 41,17; 67,2; 80,4.8.20; 119,135): JHWH lässt sein Angesicht über jmdm leuchten ≙ Jmd sieht das Angesicht JHWHs. Zum ersten Ausdruck vgl. bes. Smith 1988b, zum zweiten z.B. Aaronitischer Segen (WiBiLex). Gemeint ist sowohl: „Aufrechte werden sein Gesicht sehen“, d.h. „Er wird seinen Anhängern schon helfen“, als auch: „[Nur] Aufrechte werden sein Gesicht sehen“, d.h. „euch Bösen steht ein schlimmes Geschick bevor“.</w:t>
      </w:r>
    </w:p>
  </w:footnote>
  <w:footnote w:id="690">
    <w:p>
      <w:pPr>
        <w:pStyle w:val="Funote"/>
        <w:rPr/>
      </w:pPr>
      <w:r>
        <w:rPr/>
        <w:footnoteRef/>
        <w:tab/>
        <w:t>[Status: Zuverlässig]</w:t>
      </w:r>
    </w:p>
  </w:footnote>
  <w:footnote w:id="691">
    <w:p>
      <w:pPr>
        <w:pStyle w:val="Funote"/>
        <w:rPr/>
      </w:pPr>
      <w:r>
        <w:rPr/>
        <w:footnoteRef/>
        <w:tab/>
        <w:t>Genaue Bedeutung unklar. Die gewählte Übersetzung ist mehr oder weniger Konvention, obwohl es nicht an alternativen Übersetzungsvorschlägen mangelt.</w:t>
      </w:r>
    </w:p>
  </w:footnote>
  <w:footnote w:id="692">
    <w:p>
      <w:pPr>
        <w:pStyle w:val="Funote"/>
        <w:rPr/>
      </w:pPr>
      <w:r>
        <w:rPr/>
        <w:footnoteRef/>
        <w:tab/>
        <w:t>Bis wann (wie lange) - Einige Exegeten denken, dass mit „bis wann“ eingeleitete rhetorische Fragen sich in der Bibel besonders in „vorwurfsvoller Rede“ fänden und daher als eine ungeduldigere Variante zum üblichen „Wie lange noch“ aufzufassen sei (so z.B. Gerstenberger 1991, S. 84; Herkenne 1936, S. 75f.; Zenger 1987, S. 75). Auf einige Stellen mag das auch passen, aber vgl. zum vorwurfsvollen „Bis wann“ vs. „Wie lange“ z.B. Jos 18,3; Ijob 18,2 vs. Ps 82,2; 94,8 und zum wohl eher „vorwurfslosen“ und unserem Vers ähnlicheren „Bis wann“ vs. „Wie lange“ z.B. Jer 47,6; Hab 1,2 vs. Ps 6,4; 74,10; 80,5; 90,13; 94,3 - „Bis wann“ und „Wie lange“ sind daher wohl doch eher schlicht gleichbedeutende Ausdrucksvarianten, die beide sowohl vorwurfsvollen als auch vorwurfslosen Unterton haben können.</w:t>
      </w:r>
    </w:p>
  </w:footnote>
  <w:footnote w:id="693">
    <w:p>
      <w:pPr>
        <w:pStyle w:val="Funote"/>
        <w:rPr/>
      </w:pPr>
      <w:r>
        <w:rPr/>
        <w:footnoteRef/>
        <w:tab/>
        <w:t>[so] gänzlich (für immer, fortwährend) - Deutung umstritten; s. die Anmerkung zum Text a. Nach unserem Verständnis hat das Wort superlativische Funktion und soll das „vergessen“ noch zusätzlich steigern; vgl. bes. Ehrlich 1905, S. 25; Thomas 1956; so auch ALB; EÜ; H-R; HER05; Kissane 1953, S. 52; LUT; MEN; NeÜ; Nötscher 1959, S. 34; SLT; STAD; TUR; van Ess; Zenger 1987, S. 73; ZÜR.</w:t>
      </w:r>
    </w:p>
  </w:footnote>
  <w:footnote w:id="694">
    <w:p>
      <w:pPr>
        <w:pStyle w:val="Funote"/>
        <w:rPr/>
      </w:pPr>
      <w:r>
        <w:rPr/>
        <w:footnoteRef/>
        <w:tab/>
        <w:t>vergessen ist nicht wörtlich zu verstehen - als hätte Gott ein schlechtes Gedächtnis. Ähnlich, wie die Rede davon, dass Israel Gott oder seine Gebote „vergisst“, fast stets meint, dass es sich von Gott und seinen Geboten abgewandt hat, meint auch die Rede von Gottes „Vergessen“ ein aktives sich-Abwenden Gottes (s. noch 1Sam 1,11; Ps 10,12; 42,10; 44,25; Jes 49,14; Klg 5,20): Gott entzieht jenem, den er „vergisst“, seine Huld und lässt so zu (vielleicht sogar: sorgt dafür), dass ihm Schlimmes zustößt; vgl. gut Janowski 2001, S. 27f; Wöhrle 2011, S. 228.230.</w:t>
      </w:r>
    </w:p>
  </w:footnote>
  <w:footnote w:id="695">
    <w:p>
      <w:pPr>
        <w:pStyle w:val="Funote"/>
        <w:rPr/>
      </w:pPr>
      <w:r>
        <w:rPr/>
        <w:footnoteRef/>
        <w:tab/>
        <w:t>dein Gesicht vor mir verbergen - Die Rede davon, dass Gott „sein Angesicht vor jemandem verbirgt“, hat exakt die selbe Bedeutung wie die, dass er jemanden „vergisst“ (s. vorige FN): Gott verbirgt sein Gesicht vor jemandem = Gott schaut jemanden nicht mehr gnädig an (und lässt so zu, dass Unheil über ihn hereinbricht); vgl. FN u zu Ps 30,8; ad loc. gut auch Kraus 1961, S. 100; Nötscher 1959, S. 34f; Prinsloo 2013, S. 793.</w:t>
      </w:r>
    </w:p>
  </w:footnote>
  <w:footnote w:id="696">
    <w:p>
      <w:pPr>
        <w:pStyle w:val="Funote"/>
        <w:rPr/>
      </w:pPr>
      <w:r>
        <w:rPr/>
        <w:footnoteRef/>
        <w:tab/>
        <w:t>Pläne (Auflehnung?, Schmerzen?, Kummer?, Sorgen?) - Bedeutung umstritten; vgl. Anmerkung zum Text b. Am Besten ist der Sticho nach der alten Erklärung von Baethgen 1892, S. 34 zu verstehen, „der Sänger mach[e] sich Pläne, wie er den Gefahren[, die in V. 3c genannt werden,] entrinne.“Gelegentlich wurde eingewandt, dass „Pläne“ nicht zu nefesch (hier traditionell - und ungenau - übersetzt mit: „Seele“) passen würde, weil nefesch nicht den Verstand des Menschen, sondern seine Emotionen bezeichne (zu nefesch als Sitz der Emotionen vgl. z.B. Wolff 1973, S. 33). Das greift nicht: Wenn - was in der Tat richtig ist - nefesch den Menschen in seinem Streben und Sehnen beschreibt, heißt das ja nur, dass „Wie lange muss ich noch Pläne in meine nefesch legen?“ nicht nach dem rationalen Überdenken möglicher Auswege aus der Notsituation fragt, sondern nach dem Streben nach einem solchen Ausweg; sinngemäß also: „Wie lange muss ich mich noch nach einem Ausweg sehnen?“ Recht gut daher R-S („Wie lange soll ich meinen Geist mit Sinnen quälen?“); Zenger 1987, S. 73 („Bis wann muß ich mit Gedanken quälen meine Seele?“).</w:t>
      </w:r>
    </w:p>
  </w:footnote>
  <w:footnote w:id="697">
    <w:p>
      <w:pPr>
        <w:pStyle w:val="Funote"/>
        <w:rPr/>
      </w:pPr>
      <w:r>
        <w:rPr/>
        <w:footnoteRef/>
        <w:tab/>
        <w:t>in meine Seele - dazu s. vorige FN.</w:t>
      </w:r>
    </w:p>
  </w:footnote>
  <w:footnote w:id="698">
    <w:p>
      <w:pPr>
        <w:pStyle w:val="Funote"/>
        <w:rPr/>
      </w:pPr>
      <w:r>
        <w:rPr/>
        <w:footnoteRef/>
        <w:tab/>
        <w:t>Wobei Kummer in meinem Herzen ist (Wie lange wird sein/muss ich legen Kummer in meinem Herz) - Beide Auflösungen sind hier gleichermaßen möglich; die eingeklammerte erfordert allerdings die Ergänzung (-&gt;Brachylogie) von „wird sein“ und „muss ich legen“ aus dem vorigen Sticho, was aber nicht problematisch ist. Dass dieser Sticho der einzige in Vv. 2f ist, in dem das einleitende „Bis wann“ fehlt, ist aber so auffällig, dass die primäre Übersetzung doch etwas wahrscheinlicher ist.</w:t>
      </w:r>
    </w:p>
  </w:footnote>
  <w:footnote w:id="699">
    <w:p>
      <w:pPr>
        <w:pStyle w:val="Funote"/>
        <w:rPr/>
      </w:pPr>
      <w:r>
        <w:rPr/>
        <w:footnoteRef/>
        <w:tab/>
        <w:t>[sogar] am Tag (täglich?, den ganzen Tag?, Tag [und Nacht]?, am Tag?) - Deutung umstritten; s. Anmerkung zum Text d. Vermutlich ist das „am Tag“ steigernd zu verstehen: Während die übliche Zeit, zu der man Kummer besonders intensiv „im Herzen“ empfindet, eigentlich die Nacht ist (so schon Olshausen 1853, S. 75), ist der Kummer des Psalmisten besonders groß - so groß ist er, dass er sogar noch am Tag seinen Kummer gar nicht verdrängen kann (Barthélemy 1982, S. 54; Janowski 2001, S. 26; mit „[sogar]“ übersetzen auch Wöhrle 2011 und Zenger 1987; vielleicht aus diesem Grund auch Deissler 1989, S. 62: „am hellen Tag“).</w:t>
      </w:r>
    </w:p>
  </w:footnote>
  <w:footnote w:id="700">
    <w:p>
      <w:pPr>
        <w:pStyle w:val="Funote"/>
        <w:rPr/>
      </w:pPr>
      <w:r>
        <w:rPr/>
        <w:footnoteRef/>
        <w:tab/>
        <w:t>Mein Feind (meine Feinde) + Lass meine Augen leuchten - An der Deutung dieser beiden Ausdrücke hängt die Deutung des gesamten Psalms. „Mein Feind“ - im Hebräischen Singular - ließe sich auch deuten als sog. „kollektiver Singular“ (so z.B. Anderson 1972, S. 129), müsste dann treffender als Plural „Meine Feinde“ übersetzt werden und würde dann wie „Meine Bedränger“ in V. 5 die vielen Feinde des Psalmisten meinen. Oder aber „Mein Feind“ steht bewusst im Singular und ist ein Schimpfwort für den Tod, den Erzfeind des Menschen (so Craigie 1983, S. 142; Dahood 1965, S. 76; Zenger 1987, S. 80f). Die Frage nach der Bedeutung von „Lass meine Augen leuchten“ ist etwas komplexer: Im Hebräischen gibt es zwei Idiome, die sich hier nahelegen: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19,9). Ein weiteres häufiges Idiom ist die Rede davon, dass Gott sein Gesicht „über jemandem leuchten“ lässt; eine geprägte Wendung dafür, dass er allgemein gnädig an jemandem handelt (s. Num 6,25; Ps 31,17; 67,2; 80,4.8.20; 119,135 (vgl. Vv. 134.136); Dan 9,17). - Dass wir hier Idiom (1) vor uns haben, ist ganz deutlich. Einige denken aber - geleitet davon, dass in V. 2 vom „Verbergen des Gesichts Gottes“ die Rede ist, dass auch in V. 4 das Verb „leuchten“ verwendet wird und dass auch „schau her, antworte mir!“ in V. 4 in etwa die selbe Bedeutung hat wie das zweite Idiom (dazu s. dort) -, dass diese zweite Bedeutung mindestens mitgemeint sei (so bes. Janowski 2001, S. 35f; z.B. auch Craigie 1983, S. 142; Kraus 1961, S. 101f; NIDOTTE, S. 325). - Fraglich ist also: Bedeutet „Lass meine Augen leuchten“ nur „Lass mich wieder gesunden“, meint es gleichzeitig auch allgemein „Erbarme dich meiner“ oder fragt der Psalmist mit diesem Ausdruck gar ausschließlich allgemein nach dem Erbarmen Gottes? Abhängig von der Deutung der beiden Ausdrücke lassen sich zwei Gesamtbedeutungen für den Psalm konstruieren - die Unterschiede sind im folgenden kursiviert: # Gott ist dem Psalmisten nicht mehr gnädig (V. 2), darum schwebt er in Todesgefahr: er wird von seinem Erzfeind - dem Tod - bedroht und sucht verzweifelt nach einer Rettung (V. 3). Mit letzter Kraft und zum wiederholten Male ruft er zum Herrn um Rettung (4a): Er soll ihn wieder gesunden lassen (4b), da ja sonst sein Erzfeind - der Tod - über ihn triumphiert (4c.5a). # Gott ist dem Psalmisten nicht mehr gnädig (V. 2), darum ist Unheil über ihn hereingebrochen: Seine Gegner sind ihm überlegen und er sucht verzweifelt nach einer Rettung (V. 3). Mit letzter Kraft und zum wiederholten Male ruft er zum Herrn um Rettung (4a): Er soll ihm wieder gnädig sein (4b), da sonst seine Gegner endgültig über ihn triumphieren (4c.5). Nach der ersten Deutung wäre Ps 13 also ein „allgemeines“ Gebet um die Errettung vom Tod, nach der zweiten Deutung ein Gebet um die Errettung von Feinden, die dem Psalmisten so sehr überlegen sind, dass er in Todesgefahr schwebt. Es ist recht schwierig, zu entscheiden, welche von beiden hier vorzuziehen ist. Etwas mehr in Richtung von Deutung (1) scheint aber zu weisen, dass erst dann der Singular von „mein Feind/meine Feinde“ wirklich motiviert wäre, während im Falle von Deutung (2) unerklärlich bliebe, warum der Psalmist zweimal von „den Feinden“ im Singular (Vv. 3.4) und einmal im Plural (V. 5) spricht; außerdem die Tatsache, dass in besagten beiden Idiomen das „Licht des Gesichts Gottes“ und das „Licht der Menschenaugen“ eigentlich nichts miteinander zu tun haben und nicht zuletzt natürlich, dass das zweite Idiom („Lass dein Gesicht über mir leuchten“) einfach nicht in unserem Psalm steht. Der „Feind“ ist daher wohl tatsächlich besser als Ausdruck für den Tod zu lesen und „Lass meine Augen leuchten“ als Idiom für „Lass mich wieder gesunden“, was dann darauf hindeutet, dass der Psalm in der Situation einer langen Krankheit gesprochen ist (als Gebet eines Kranken wird er z.B. auch gedeutet von Gerstenberger 1991, S. 85; Steck 1980, S. 60f.; Schmidt 1934, S. 22).</w:t>
      </w:r>
    </w:p>
  </w:footnote>
  <w:footnote w:id="701">
    <w:p>
      <w:pPr>
        <w:pStyle w:val="Funote"/>
        <w:rPr/>
      </w:pPr>
      <w:r>
        <w:rPr/>
        <w:footnoteRef/>
        <w:tab/>
        <w:t>überlegen sein (erhoben sein, erhaben sein, triumphieren) - „überlegen sein“ gut nach Ges18. Die Übersetzung „erhaben sein“ ist nicht sinnvoll, da der Begriff einen „sittlich-ästhetischen Wertbegriff“ bezeichnet, der hier sicher nicht gemeint ist, und dass der Feind noch nicht über den Psalmisten „triumphiert“ hat, wird in V. 5 ja deutlich gesagt. Sehr gut daher Fokkelman 2001, S. 92: „How long will my enemy have the upper hand?“. Möglich wäre außerdem die Deutung als „erhoben sein“; der Fokus läge dann nicht auf der schieren Überlegenheit des Feindes über den Psalmisten, sondern darauf, dass Gott ihm diese Überlegenheit verliehen und den Psalmisten so an ihn ausgeliefert hat.</w:t>
      </w:r>
    </w:p>
  </w:footnote>
  <w:footnote w:id="702">
    <w:p>
      <w:pPr>
        <w:pStyle w:val="Funote"/>
        <w:rPr/>
      </w:pPr>
      <w:r>
        <w:rPr/>
        <w:footnoteRef/>
        <w:tab/>
        <w:t>Schau ([auf mich]) ist entweder eine sog. „phatische Äußerung“ - d.h. eine Äußerung, die die Aufmerksamkeit des Hörers auf den Sprecher lenken soll (vergleichbar etwa einem gehobenerem Deutschen „Hey!,...“, „Hör mal:...“; vgl. dazu z.B. Jenni 2005, S. 242), oder man muss ein „auf mich“ aus dem folgenden „antworte mir“ ergänzen (-&gt; Brachylogie; so auch AOAT; Barnes 1869; Buttenwieser 1938; Christensen 2005.13; Dahood 1965; Dolson-Andrew 2004; FENZ; Fokkelman 2001, S. 92; Limburg 2000; NW; Terrien 2003; Zenger 1987). Bedeutungsmäßig besteht kein großer Unterschied zwischen beiden Analysen: Im ersten Falle würde das „Schau!“ das folgende „Antworte mir!“ (dazu s. nächste FN) noch zusätzlich unterstreichen, im zweiten wäre es gleichbedeutend mit dem folgenden „Antworte mir!“ - nämlich würde in diesem Fall der Psalmist mit dem Idiom „Schau auf mich“ darum bitten, dass Gott sich des Elends des Beters annimmt (vgl. THAT II, S. 696f) - und würde auf diese Weise das folgende „antworte mir“ verstärken. In beiden Fällen wäre eine Übersetzung mit „Schau her!“ oder „Sieh auf mich!“ irreführend; im ersten Fall besser etwas wie „Sieh her [Ach,] erhöre mich [doch], JHWH!“; im zweiten etwas wie „Erbarme dich meiner! Erhöre mich, JHWH!“. Beide Analysen sind hier gleichermaßen möglich; weil aber rückwirkende Brachylogien (d.h. unvollständige Konstruktionen, die man nicht aus einer vorangegangenen Konstruktion „vervollständigen“ muss, sondern aus einer erst noch folgenden Konstruktion - wie hier dem folgenden „antworte mir“) auch im Hebräischen eher selten sind, sollte man sich vielleicht doch eher für Analyse (1) entscheiden.</w:t>
      </w:r>
    </w:p>
  </w:footnote>
  <w:footnote w:id="703">
    <w:p>
      <w:pPr>
        <w:pStyle w:val="Funote"/>
        <w:rPr/>
      </w:pPr>
      <w:r>
        <w:rPr/>
        <w:footnoteRef/>
        <w:tab/>
        <w:t>Die Strukturierung von Vv. 4f ist in der Exegese umstritten; s. Anmerkung zum Text f. Mit der Aufteilung von V. 4 zwischen „JHWH“ und „mein Gott“ folgen wir Fokkelman 2000, S. 87; Fokkelman 2001, S. 92; Weber 2005, S. 121 und Zenger 1987, mit der Parallelisierung von 5b mit 6a Kissane 1953, S. 53; Steck 1980, S. 62; Zenger 1987, S. 73f und Zorell 1928, S. 17.</w:t>
      </w:r>
    </w:p>
  </w:footnote>
  <w:footnote w:id="704">
    <w:p>
      <w:pPr>
        <w:pStyle w:val="Funote"/>
        <w:rPr/>
      </w:pPr>
      <w:r>
        <w:rPr/>
        <w:footnoteRef/>
        <w:tab/>
        <w:t>zum Tod entschlafe (im Tod schlafe, tot schlafe, den [Schlaf des] Tod[es] schlafe) - Analyse umstritten; s. Anmerkung zum Text g. Der primäre Vorschlag ist die Mehrheitsmeiung und ist auch als der einfachste vorzuziehen. „Schlaf“ wird hier - wie öfter (vgl. z.B. Lanckau 2010) - als Metapher für „Tod“ verwendet; „zum Tod entschlafen“ ist also eine Art „semantische figura etymologica“ (vgl. gut Ehrlich 1905, S. 25) und meint „des Todes sterben“ oder schlicht „sterben“ (so daher z.B. GNT, GW, HfA, NCV, NIRV, NL, NLT, STAD). Eine Nachahmung der bildl. Rede versuchen Gerstenberger 1972 („damit ich nicht in den Tod hinüberdämmere“), GN („damit ich nicht in Todesnacht versinke!“) und NeÜ („dass ich nicht in Todesnacht falle“).</w:t>
      </w:r>
    </w:p>
  </w:footnote>
  <w:footnote w:id="705">
    <w:p>
      <w:pPr>
        <w:pStyle w:val="Funote"/>
        <w:rPr/>
      </w:pPr>
      <w:r>
        <w:rPr/>
        <w:footnoteRef/>
        <w:tab/>
        <w:t>Ich habe ihn übermocht (Ich habe ihn ausgetilgt?, Ich habe es geschafft?) - Bedeutung umstritten; s. Anmerkung zum Text h. Nach unserer Deutung ist das Wort vom Hebräischen jakal abzuleiten, das sowohl »überlegen sein« als auch »siegen« bedeuten kann; der Sticho greift damit gleichzeitig den Gedanken aus Sticho 3c (»Bis wann wird mein Feind mir überlegen sein?«) und Sticho 4c (»damit ich nicht sterbe«) wieder auf. Im Deutschen laufen beide Bedeutungen wohl am besten zusammen im Wort »übermögen«, doch ist das vielleicht schon zu alt für die LF (?) - in diesem Fall vielleicht besser: »Ich habe ihn überwältigt«.</w:t>
      </w:r>
    </w:p>
  </w:footnote>
  <w:footnote w:id="706">
    <w:p>
      <w:pPr>
        <w:pStyle w:val="Funote"/>
        <w:rPr/>
      </w:pPr>
      <w:r>
        <w:rPr/>
        <w:footnoteRef/>
        <w:tab/>
        <w:t>Zum Wanken vgl. FN r zu Ps 30,7: „Wanken“ ist eine häufige Metapher für eine Gefährdung, aus der direkt Vernichtung und Tod folgt. Wer dagegen „nicht wankt“ ist sicher und geschützt und wird daher ewig bestehen. Meist handelt es sich bei diesem nicht-Wanken um eine Gnadengabe Gottes, beim Wanken dagegen um eine direkte Folge aus einem Gnadenentzug (einer „Gesichtsverbergung“; s. V. 2; Ps 30,7f) Gottes.</w:t>
      </w:r>
    </w:p>
  </w:footnote>
  <w:footnote w:id="707">
    <w:p>
      <w:pPr>
        <w:pStyle w:val="Funote"/>
        <w:rPr/>
      </w:pPr>
      <w:r>
        <w:rPr/>
        <w:footnoteRef/>
        <w:tab/>
        <w:t>Die Funktion der Verbformen in V. 6 (Jussiv + Kohortativ) und von V. 6 insgesamt ist umstritten; s. Anmerkung zum Text i. Nach unserer Deutung sind sie als Kommissive, also als Versprechen, zu verstehen: Wenn JHWH dem Beter hilft, wird er ihn dafür auch dereinst besingen. Das „Er hat an mir [Gutes] getan!“ ist dann ein Ausschnitt aus dem Gesang, den der Beter im Gegenzug für JHWHs Hilfe bieten wird. Solche Proben von im Falle der Erhörung abzuleistenden Dankgesängen sollen Gott zur Erhörung motivieren und finden sich häufiger in den Klagepsalmen, s. z.B. Ps 22,24f.; 59,17f.; wohl auch große Teile von Ps 9.</w:t>
      </w:r>
    </w:p>
  </w:footnote>
  <w:footnote w:id="708">
    <w:p>
      <w:pPr>
        <w:pStyle w:val="Funote"/>
        <w:rPr/>
      </w:pPr>
      <w:r>
        <w:rPr/>
        <w:footnoteRef/>
        <w:tab/>
        <w:t>Mein Herz (Ich) - Das „Herz“ - wie auch viele andere „Teile“ des Menschen, z.B. seine „Seele“, sein „Kopf“ etc. - werden im Hebräischen sehr häufig fast wie reine Personalpronomen verwendet. So sicher auch hier; „Mein Herz soll jubeln“ = „Ich will jubeln“.</w:t>
      </w:r>
    </w:p>
  </w:footnote>
  <w:footnote w:id="709">
    <w:p>
      <w:pPr>
        <w:pStyle w:val="Funote"/>
        <w:rPr/>
      </w:pPr>
      <w:r>
        <w:rPr/>
        <w:footnoteRef/>
        <w:tab/>
        <w:t>JHWH (dich) + Er hat (Du hast) - Vor allem in der biblischen Poesie kann ein hebräischer Autor ohne erkennbare Gründe von einem Sticho auf den anderen von einer Person zur anderen wechseln; man bezeichnet diese stilistische Eigenart als „P-Shift“. Das Deutsche kennt solche Shifts nicht; besser sollte man hier daher auch mit direkter Anrede übersetzen; also nicht: „Ich will JHWH besingen“, sondern „Ich will dich besingen, JHWH“.</w:t>
      </w:r>
    </w:p>
  </w:footnote>
  <w:footnote w:id="710">
    <w:p>
      <w:pPr>
        <w:pStyle w:val="Funote"/>
        <w:rPr/>
      </w:pPr>
      <w:r>
        <w:rPr/>
        <w:footnoteRef/>
        <w:tab/>
        <w:t>[Status: Zuverlässig]</w:t>
      </w:r>
    </w:p>
  </w:footnote>
  <w:footnote w:id="711">
    <w:p>
      <w:pPr>
        <w:pStyle w:val="Funote"/>
        <w:rPr/>
      </w:pPr>
      <w:r>
        <w:rPr/>
        <w:footnoteRef/>
        <w:tab/>
        <w:t>Chorleiter (Dirigenten, Singenden, Musizierenden) - Genaue Bedeutung unklar. Die gewählte Übersetzung ist mehr oder weniger Konvention, obwohl es nicht an alternativen Übersetzungsvorschlägen mangelt. Hier ist die Bezeichnung übrigens recht glücklich: Vermutlich leitet sich das Wort her vom hebräischen netsach („glänzen, strahlen“); menatseach ist dann der „Glänzende, Strahlende“ (vgl. z.B. Delitzsch 1894, S. 83f), was sich in unserem Psalm gut zu den sonstigen Vokabeln aus dem Wortfeld „Licht“ fügt.</w:t>
      </w:r>
    </w:p>
  </w:footnote>
  <w:footnote w:id="712">
    <w:p>
      <w:pPr>
        <w:pStyle w:val="Funote"/>
        <w:rPr/>
      </w:pPr>
      <w:r>
        <w:rPr/>
        <w:footnoteRef/>
        <w:tab/>
        <w:t>verkünden - heb. safar; v.a in den Psalmen wird dieses Verb bes. dann verwendet, wenn jemand von großen Taten Gottes berichtet (vgl. THAT II, S. 168): Der Himmel wird hier vorgestellt als ein Prediger.</w:t>
      </w:r>
    </w:p>
  </w:footnote>
  <w:footnote w:id="713">
    <w:p>
      <w:pPr>
        <w:pStyle w:val="Funote"/>
        <w:rPr/>
      </w:pPr>
      <w:r>
        <w:rPr/>
        <w:footnoteRef/>
        <w:tab/>
        <w:t>Himmel ist im Hebräischen ein Pluralwort; damit erklärt sich der Plural „Die Himmel“, der in vielen Übersetzungen zu finden ist. Ins Deutsche muss mit Singular übertragen werden.</w:t>
      </w:r>
    </w:p>
  </w:footnote>
  <w:footnote w:id="714">
    <w:p>
      <w:pPr>
        <w:pStyle w:val="Funote"/>
        <w:rPr/>
      </w:pPr>
      <w:r>
        <w:rPr/>
        <w:footnoteRef/>
        <w:tab/>
        <w:t>Zur Vorstellung der „Herrlichkeit“ s. die Anmerkungen.</w:t>
      </w:r>
    </w:p>
  </w:footnote>
  <w:footnote w:id="715">
    <w:p>
      <w:pPr>
        <w:pStyle w:val="Funote"/>
        <w:rPr/>
      </w:pPr>
      <w:r>
        <w:rPr/>
        <w:footnoteRef/>
        <w:tab/>
        <w:t>Walten (Werk) - meist übersetzt als: »seiner Hände Werk« i.S.v. »das, was er geschaffen hat«. Einige Exegeten (z.B. Baethgen 1892, S. 56; Dohmen 1983, S. 508; Oesch 1985, S. 71f) wenden ein: Weil Himmel und Firmament aber ja selbst zu diesem Werk von Gottes Händen zählen, würden sie nach dieser Übersetzung nicht Gott verkünden, sondern sich selbst - gemeint ist daher hier allgemein das »Walten« Gottes. Vermutlich gehört dies aber schon zu der in den Anmerkungen beschriebenen Mehrdeutigkeit: Wegen der Stichwortverknüpfung »Ihr (=der Himmel und des Firmaments) [Verkündigungs-]Klang geht aus« - »Sie (=die Sonne) ist wie ein Bräutigam, der ausgeht« - »Am einen Ende des Himmels ist ihr Ausgang« (vgl. gut Dohmen 1983, S. 505) lassen sich Vv. 5-7 so lesen, dass das, was Himmel und Firmament verkündigen, die Sonne - als Symbol für die »Herrlichkeit« Gottes - ist. Liest man unseren Vers mit den Vv. 5-7 zusammen, legte sich auch hier diese Deutung nahe: Das »Werk seiner Hände« ist die Sonne (s. auch FNn h.k) - ähnlich, wie in Ps 8,2 der »Himmel« als das »Werk seiner Finger« und in Ps 8,7 die ganze Schöpfung als das »Werk seiner Hände« bezeichnet wird. Und gleichzeitig ist eben auch möglich: »Die Himmel verkünden das Walten Gottes (=der Sonne)«, s. wieder die Anmerkungen. Außerdem theoretisch möglich: »Der Himmel verkündet die Herrlichkeit Gottes / und das Werk seiner Hände (=der Himmelsbogen) macht [sie] kund: das Firmament.«. So allerdings noch kein Exeget und es ist auch recht unwahrscheinlich: V. 2 ist sicher bewusst chiastisch gebaut: SUBJEKT: Der Himmel - VERB: verkündet - OBJEKT: Die Herrlichkeit Gottes / OBJEKT: Sein Walten - VERB: macht kund - SUBJEKT: Das Firmament.</w:t>
      </w:r>
    </w:p>
  </w:footnote>
  <w:footnote w:id="716">
    <w:p>
      <w:pPr>
        <w:pStyle w:val="Funote"/>
        <w:rPr/>
      </w:pPr>
      <w:r>
        <w:rPr/>
        <w:footnoteRef/>
        <w:tab/>
        <w:t>das Walten seiner Hände (sein Walten) + die Reden meines Mundes (mein Reden) + das sich-Äußern meines Herzens (mein sich-Äußern) + vor deinem Gesicht (vor dir) - Sehr oft wird im Hebräischen als »Aktant« einer Handlung nicht die handelnde Person, sondern der hauptsächlich involvierte Körperteil dieser Person genannt - ein rein stilistischer Strukturunterschied, den leider selbst viele kommunikative Übersetzungen nicht eindeutschen. Übersetze durchaus natürlicher: Im Deutschen handeln weder »Hände«, noch redet ein »Mund«, noch sinnt ein »Herz«, noch ist etwas einem »Gesicht« wohlgefällig - sondern einer Person.</w:t>
      </w:r>
    </w:p>
  </w:footnote>
  <w:footnote w:id="717">
    <w:p>
      <w:pPr>
        <w:pStyle w:val="Funote"/>
        <w:rPr/>
      </w:pPr>
      <w:r>
        <w:rPr/>
        <w:footnoteRef/>
        <w:tab/>
        <w:t>Firmament (Himmelsgewölbe) - In der israelitischen Kosmologie hat Gott die Welt geschaffen, indem er die Fluten, die anfangs die Erde bedeckten, hinter einen festen Himmelsbogen - vorgestellt als eine Art »metallener Deckel in Form einer Halbkugel« (Soggin 1997, S. 33) - gesperrt hat (s. Gen 1,6; dazu FN p; für eine schöne grafische Darstellung des hebräischen Weltbildes s. hier). Mit Hieronymus hat sich für dieses »Schalenförmige« die Bezeichnung »Firmament« eingebürgert (von lat. firmamentum, »Das Festgefügte«); dieses ist hier gemeint. In der Bibel wird es allerdings häufig auch nur als Wechselbegriff für »Himmel« verwendet und kann daher meist auch ohne großen Bedeutungsverlust derart ins Deutsche übertragen werden (was viele Übersetzungen auch tun); in unserem Psalm ist das wg. Vv. 5c.6a aber unglücklich.</w:t>
      </w:r>
    </w:p>
  </w:footnote>
  <w:footnote w:id="718">
    <w:p>
      <w:pPr>
        <w:pStyle w:val="Funote"/>
        <w:rPr/>
      </w:pPr>
      <w:r>
        <w:rPr/>
        <w:footnoteRef/>
        <w:tab/>
        <w:t>äußert es (strahlt es hervor, sprudelt es hervor?, äußert man?) - Wortspiel im Hebräischen: Das hebräische nava („äußern“) meint in Sir 43,2 auch: „hervorstrahlen lassen“ (vgl. Ges18, S. 776). Auch dieser Satz lässt sich also in die Richtung auslegen, dass der Inhalt der Verkündigung von Himmel und Firmament die Sonne ist (s. FN e), obwohl er eigentlich natürlich gelesen werden müsste als „das Firmament äußert Rede“. Häufig heißt es, das Verb bedeute eigentlich „sprudeln“ und es solle so eine besonders ekstatische Redeweise bezeichnet werden (z.B. Kraus 1961, S. 154; Kruger 2002, S. 114; Vos 2004, S. 260). Das ist irreführend: Sprachgeschichtlich mag das Wort tatsächlich einmal primär „sprudeln“ gemeint haben; in der Bibel ist das aber ausschließlich in Spr 18,4 merklich (und auch hier nur im Rahmen eines Wortspiels). An den übrigen Stellen ist es stets abgeblasst zur Bedeutung „reden, äußern“. Unsere Stelle legt im Gegenteil sogar nahe, dass mit dem Wort speziell das Äußern weiser Lehren bezeichnet werden soll (nava von „weisen Reden“ noch in Ps 78,2; Spr 1,23), da im nächsten Satz das Verb chawah folgt, das oft speziell „unterweisen, lehren“ meint (s. noch Ijob 15,17; 32,6; 36,2) - erst recht, wenn es (wie hier) zusammen mit da`ath („Wissen“) verwendet wird.</w:t>
      </w:r>
    </w:p>
  </w:footnote>
  <w:footnote w:id="719">
    <w:p>
      <w:pPr>
        <w:pStyle w:val="Funote"/>
        <w:rPr/>
      </w:pPr>
      <w:r>
        <w:rPr/>
        <w:footnoteRef/>
        <w:tab/>
        <w:t>Tag für Tag äußert es (Ein Tag äußert gegenüber dem nächsten Tag) + Nacht für Nacht lehrt es (eine Nacht lehrt der nächsten Nacht) - Grammatisch sind beide Auflösungen möglich; nach der als Primärübersetzung angeführten Deutung ist Subjekt der Verben das Firmament, nach der als Alternativübersetzung angeführten Deutung jeweils das erste „Tag“ und „Nacht“. Die zweite Deutung findet sich häufiger in Übersetzungen, hat aber das Problem, dass sie vielen Exegeten teils recht fantasievolle Erklärungen abgenötigt hat, wie denn ein Tag mit dem nächsten Tag in Kontakt treten will, wenn doch zwischen beiden die Nacht liegt, und umgekehrt. Auch findet sich das Bild von „sprechenden Tagen“ und „lehrenden Nächten“ sonst nirgends in der Bibel; dass das Firmament aber in der Tat verkündigen kann, steht ja direkt im vorhergehenden Vers. Theoretisch außerdem möglich: Verben in der 3. Pers. sing. mask. können im Hebräischen auch als impersonale Verben verwendet werden: „Man äußert“ (vgl. GKC §144d); die Struktur von Vv. 2-3 würde dann der z.B. von Ps 8,2 entprechen: „Auf der ganzen Erde wirst du verehrt, / im Himmel, da wirst du besungen!“ &lt;-&gt; hier: V. 2: Die Himmel verkünden Gott, V. 3: Auch auf der ganzen Erde spricht man über ihn. So aber m.W. bisher kein Exeget.</w:t>
      </w:r>
    </w:p>
  </w:footnote>
  <w:footnote w:id="720">
    <w:p>
      <w:pPr>
        <w:pStyle w:val="Funote"/>
        <w:rPr/>
      </w:pPr>
      <w:r>
        <w:rPr/>
        <w:footnoteRef/>
        <w:tab/>
        <w:t>eine Nacht lehrt [der nächsten] Nacht Kenntnis, Nacht für Nacht lehrt man Kenntnis? - s. FN i; diese beiden Alternativen sind unwahrscheinlich, aber möglich.</w:t>
      </w:r>
    </w:p>
  </w:footnote>
  <w:footnote w:id="721">
    <w:p>
      <w:pPr>
        <w:pStyle w:val="Funote"/>
        <w:rPr/>
      </w:pPr>
      <w:r>
        <w:rPr/>
        <w:footnoteRef/>
        <w:tab/>
        <w:t>(1) Nicht [ist es eine] Rede [und] nicht [sind es] Worte, deren Klang nicht gehört würde-(2) Oder: »Nicht [ist es] Rede [und] nicht [sind es] Worte; ihr Klang wird nicht gehört.« (3) Oder: »Nicht [ist es] Rede [und] nicht [sind es] Worte. Ohne, dass ihr Klang gehört würde, ...« (4) Oder: »Nicht [gibt es] eine Sprache [und] nicht [gibt es] eine Zunge, worin ihr Klang nicht gehört würde.« Entgegen gegenteiliger Beteuerungen einiger Exegeten ist jede dieser Auflösungen grammatisch möglich (gegen Gegenargumente gegen (1) und (4) vgl. gut König 1927, S. 95f). (2) und (3) haben die Schwierigkeit, dass nach diesen Deutungen ohne Not ein Widerspruch zwischen V. 4 und Vv. 3.5 aufgebaut würde: (+) Tag für Tag äußert er Rede: &lt;-&gt; (-) Es ist keine Rede! Ihr Klang ist unhörbar. &lt;-&gt; (+) Ihr Klang dringt in die ganze Welt. Duhm 1899 denkt deshalb doch ernsthaft (ähnlich Gowen 1929 und Klein 2013 (!)), dass es sich bei dem Satz um die nachträgliche Einfügung eines Gelehrten handle, der »nicht allzu scharfsinnige Leser« darüber aufklären wollte, dass es sich hier nur um bildliche Rede handle. Sinnvoller sollte man daher entweder von (1) oder (4) ausgehen. Wir geben (1) den Vorzug, da sich diese Deutung so auch in sämtlichen alten Üss. findet (LXX, Aq, Sym, Theod, VUL, Syr, Tg) und auch in einigen deutschen Üss. gebräuchlich ist (ALB, ELB, FREE, MÜN, R-S, SLT, TEX, van Ess); letztendlich spricht aber nichts gegen die ebenfalls schöne Deutung (4). Vielleicht gehört aber auch dies zur in den Anmerkungen beschriebenen Mehrdeutigkeit und der scheinbare Widerspruch zwischen Vv. 3.5 und V. 4 soll eben gerade signalisieren, dass nicht tatsächlich Worte, sondern die Sonne die »Weise« der Verkündigung von Himmel und Firmament sind (s. FNn e.h), und gleichzeitig soll der Satz auch so gelesen werden können, dass die Aussage ist: Des Himmels und des Firmaments Rühmen des Sonnengottes erschallt auf der ganzen Erde.</w:t>
      </w:r>
    </w:p>
  </w:footnote>
  <w:footnote w:id="722">
    <w:p>
      <w:pPr>
        <w:pStyle w:val="Funote"/>
        <w:rPr/>
      </w:pPr>
      <w:r>
        <w:rPr/>
        <w:footnoteRef/>
        <w:tab/>
        <w:t>Textkritik: Der hebräische Text hat qaw (geschrieben: qw), „Schnur“. Trotz einiger Versuche, dieses „Schnur“ hier sinnvoll zu erklären (am besten wohl Herkenne 1936, S. 97: „Schnur“ = Maßeinheit („Messschnur“) = „Reichweite“) emendiere besser mit BHS, Arneth 2007, Cheyne 1904, Craigie 1983, Donner 1967, Dohmen 1983, Duhm 1899, Ehrlich 1905, Kissane 1953, Kittel 1914, Meinhold 1983, Morgenstern 1946b, Wyatt 1995 nach qol (geschrieben: qwl), „ihr Klang“ - das selbe Wort wie im vorigen Vers. Das scheinen auch LXX, Sym und VUL nahezulegen (LXX: ftogos, „Laut, Ton“; Sym: ächos „Schall, Getöse“; VUL: sonus, „Klang“). Dass LXX qol sonst nicht mit ftogos wiedergegeben habe, ist nun wirklich kein Gegenargument, weil sich ftogos insgesamt einzig hier (und Weish 19,18, dem kein heb. Urtext zugrunde liegt) in der LXX findet. Für weitere Emendationsvorschläge vgl. Grund 2004, S. 26f. Einige Exegeten haben außerdem vorgeschlagen, dass es ein zweites qaw mit der Bedeutung „Ruf, Verkündigung, Nachricht“ geben könnte (Anderson 1972, S. 169; Barth 1893 S. 29f.; Barthélemy 2005, S. 17f; Dahood 1965, S. 121f.; Kissane 1953, S. 86; Kön 403 (anders König 1927, S 97); Wagner 1999, S. 251); allerdings ist unsere Stelle die einzige, die zu dieser Annahme nötigen würde.</w:t>
      </w:r>
    </w:p>
  </w:footnote>
  <w:footnote w:id="723">
    <w:p>
      <w:pPr>
        <w:pStyle w:val="Funote"/>
        <w:rPr/>
      </w:pPr>
      <w:r>
        <w:rPr/>
        <w:footnoteRef/>
        <w:tab/>
        <w:t>[geht aus] - Brachylogie aus V. 5a.</w:t>
      </w:r>
    </w:p>
  </w:footnote>
  <w:footnote w:id="724">
    <w:p>
      <w:pPr>
        <w:pStyle w:val="Funote"/>
        <w:rPr/>
      </w:pPr>
      <w:r>
        <w:rPr/>
        <w:footnoteRef/>
        <w:tab/>
        <w:t>Der Sonne (dem Sonnenball) - Einige Üss. und Exegeten übersetzen ab 5c mit „Sonnenball“ statt „Sonne“, weil dann das grammatische Geschlecht besser zum Vergleich mit dem Bräutigam und dem Helden in V. 6 passt. BB dagegen behält „Sonne“ bei und macht aus dem Bräutigam die „Braut“ und aus dem Helden die „Heldin“. Beides wäre erwägenswert für die LF - eine Entscheidung für den LF-Übersetzer.</w:t>
      </w:r>
    </w:p>
  </w:footnote>
  <w:footnote w:id="725">
    <w:p>
      <w:pPr>
        <w:pStyle w:val="Funote"/>
        <w:rPr/>
      </w:pPr>
      <w:r>
        <w:rPr/>
        <w:footnoteRef/>
        <w:tab/>
        <w:t xml:space="preserve">hat er gebaut ([ist (gehört)] dort) - Wortspiel im Hebräischen. Der Masoretische Text hat hier ßam stehen: „er hat gebaut“ (geschrieben mit dem Buchstaben „Sin“: </w:t>
      </w:r>
      <w:r>
        <w:rPr>
          <w:rtl w:val="true"/>
          <w:lang w:bidi="he-IL"/>
        </w:rPr>
        <w:t>שָׂם</w:t>
      </w:r>
      <w:r>
        <w:rPr/>
        <w:t xml:space="preserve">). Im Hebräischen gibt es neben dem Buchstaben „Sin“ auch den sehr ähnlichen Buchstaben „Schin“, und schreibt man dies </w:t>
      </w:r>
      <w:r>
        <w:rPr>
          <w:rtl w:val="true"/>
          <w:lang w:bidi="he-IL"/>
        </w:rPr>
        <w:t>שָׂם</w:t>
      </w:r>
      <w:r>
        <w:rPr/>
        <w:t xml:space="preserve"> </w:t>
      </w:r>
      <w:r>
        <w:rPr/>
        <w:t xml:space="preserve">ßam mit Schin statt Sin, ergibt das </w:t>
      </w:r>
      <w:r>
        <w:rPr>
          <w:rtl w:val="true"/>
          <w:lang w:bidi="he-IL"/>
        </w:rPr>
        <w:t>שָׁם</w:t>
      </w:r>
      <w:r>
        <w:rPr/>
        <w:t xml:space="preserve"> </w:t>
      </w:r>
      <w:r>
        <w:rPr/>
        <w:t>scham („dort“) - der Unterschied ist nur, dass bei scham der kleine Punkt rechts statt links über dem ersten Buchstaben steht. Diese Punkte wurden erst im Mittelalter in den Bibeltext eingetragen, vorher gab es in der Schreibweise - und zur Zeit des Bibelhebräisch vermutlich auch in der Aussprache - keinen Unterschied zwischen den beiden Buchstaben. Für einen bibelhebräisch sprechenden Leser waren also ßam („er baute“) und scham („dort“) nicht auseinanderzuhalten, und also konnte er den Satz gleichzeitig lesen als Verbalsatz („Der Sonne baute er ein Zelt“) und als dativischen verblosen Satz („Der Sonne [war] dort ein Zelt“). Auch dies gehört zu der in den Anmerkungen beschriebenen Mehrdeutigkeit: Der Satz konnte also entweder so gelesen werden, dass JHWH der Sonne ihr Zelt zuwies, oder so, dass der Sonne unabhängig von einem anderen Gott dort ein Zelt gehörte.</w:t>
      </w:r>
    </w:p>
  </w:footnote>
  <w:footnote w:id="726">
    <w:p>
      <w:pPr>
        <w:pStyle w:val="Funote"/>
        <w:rPr/>
      </w:pPr>
      <w:r>
        <w:rPr/>
        <w:footnoteRef/>
        <w:tab/>
        <w:t>aus (an) ihm - Das „ihm“ bezieht sich auf den Himmel in V. 2. Auch dieser Satz ist wohl bewusst mehrdeutig formuliert (s. die Anmerkungen): Das hebräische bahem kann sowohl bedeuten: „an/auf ihm (=dem Himmel - als Bauplatz)“ als auch: „aus ihm (=dem Himmel - als Material)“. Nach der ersten Deutung ist an folgendes zu denken: Im Alten Orient war die Vorstellung verbreitet, der Sonnengott lebe im Himmel in einem Palast (für eine Abbildung s. hier, vorletzte Seite), und von diesem Palast würde der Dichter hier als einem „Zelt“ sprechen und also wieder die Bilderwelt der altorientalischen Sonnengott-mythologie aufgreifen. Nach der zweiten Deutung dagegen hätte man davon auszugehen, dass der Himmel selbst besagtes „Zelt“ ist, wie wir das im Deutschen ja auch im Ausdruck „Himmelszelt“ kennen und wie er auch in Ps 104,2; Jes 40,22 bezeichnet wird; der Satz wäre dann einfach metaphorisch für „Gott hat der Sonne den Himmel als den ihr eigenen Ort zugewiesen“ zu lesen (s. Gen 1,17; so z.B. NeÜ: „Und am Himmel hat er die Sonne hingestellt“; NGÜ: „Gott hat der Sonne ihren Ort am Himmel gegeben“; NL, NLT: „Die Sonne wohnt am Himmel, wo Gott sie hingestellt hat“) - und dann gehörte auch dieser Sticho in die Reihe der Texte, die betonen, dass JHWH die Sonne geschaffen habe und ihr übergeordnet sei, um so die Sonne zu depotenzieren.</w:t>
      </w:r>
    </w:p>
  </w:footnote>
  <w:footnote w:id="727">
    <w:p>
      <w:pPr>
        <w:pStyle w:val="Funote"/>
        <w:rPr/>
      </w:pPr>
      <w:r>
        <w:rPr/>
        <w:footnoteRef/>
        <w:tab/>
        <w:t>(1) Und sie [ist] wie ein Bräutigam, [der] ausgeht - (2) Oder: „Und sie - wie ein Bräutigam geht sie aus aus ihrem Zelt.“ Beide Auflösungen sind grammatisch möglich, und auch dies gehört wieder zu der in den Anmerkungen beschriebenen Mehrdeutigkeit: Entweder ist das „Zelt“ wieder der Palast des Sonnengottes, von dem im letzten Vers die Rede gewesen sein könnte (s. vorige FN), und hinter der Bezeichnung „Bräutigam“ steht die Vorstellung, dass der Sonnengott eine Braut gehabt habe - wie z.B. der mesopotamische Sonnengott Schamasch mit seiner „Braut“ Aya liiert war (vgl. z.B. Sarna 1965, S. 171f.). Oder aber der Satz ist „nur“ metaphorisch zu lesen: Im Alten Israel war es Brauch, dass Braut und Bräutigam ihre Hochzeitsnacht in einem Brautzelt - der „Chuppa“ - vollzogen (vgl. Dalman 1939, S. 36; Homann 2002, S. 80; s. noch 2Sam 16,22; Joel 2,16 und häufig im rabbinischen Schrifttum; noch heute existiert dieser Brauch in abgewandelter Form, s. Wikipedia/Chuppa). Wenn man den Sticho nach Art der Deutung (1) auflöst, könnte man ihn also auch so lesen, dass die Sonne mit einem Bräutigam nach dessen Hochzeitsnacht verglichen wird und überhaupt keine mythologischen Bezüge hat; das tertium comparationis wäre dann wohl die Freudigkeit des Bräutigams nach der vollzogenen Hochzeitsnacht.</w:t>
      </w:r>
    </w:p>
  </w:footnote>
  <w:footnote w:id="728">
    <w:p>
      <w:pPr>
        <w:pStyle w:val="Funote"/>
        <w:rPr/>
      </w:pPr>
      <w:r>
        <w:rPr/>
        <w:footnoteRef/>
        <w:tab/>
        <w:t>Brautzelt (Zelt) - Hierzu s. letzte FN.</w:t>
      </w:r>
    </w:p>
  </w:footnote>
  <w:footnote w:id="729">
    <w:p>
      <w:pPr>
        <w:pStyle w:val="Funote"/>
        <w:rPr/>
      </w:pPr>
      <w:r>
        <w:rPr/>
        <w:footnoteRef/>
        <w:tab/>
        <w:t>freut sich wie ein Held [darüber] (freut sich, wie ein Held [sich darüber freut]) - Wortspiel im Hebräischen: Ebenso, wie im vorigen Sticho (s. vorige FN) offen bleibt, ob die Sonne gleich einem Bräutigam ihr Zelt verlässt oder ob sie einem Bräutigam gleicht, der sein Zelt verlässt, bleibt hier offen, ob (1) die Sonne sich gleich einem Helden darüber freut, ihre Bahn - die Sonnenbahn - durchlaufen zu können, oder ob sie sich »schlechthin« freut - wie auch ein Held sich darüber freut, seine Bahn - die Rennbahn - berennen zu können. Auch das Bild der Schnelligkeit des spurtenden Sonnengottes und ebenso die Bezeichnung »Held« für den Sonnengott war in der altorientalischen Mythologie weit verbreitet (vgl. wieder bes. Sarna 1965, S. 172) und würde nach der ersten Deutung hier aufgegriffen; nach der zweiten Deutung wäre das tertium comparationis wieder »nur« die Freudigkeit des spurtenden »Helden« und das freudige Strahlen der Sonne. Speziell mit dem »Helden« würde die Sonne in diesem Fall nur verglichen, weil sportliche Wettbewerbe im Alten Israel offenbar v.a. unter Kriegern verbreitet waren (vgl. z.B. Noegel 2007, S. 521); ein funktionales Äquivalent zum »Helden« wäre deshalb heute eigentlich eher »Athlet« (so z.B. CJB, EVD, GNB, HCSB, MSG, NAB, NCV, NLT), was allerdings gerade hier wieder das Wortspiel zerstören würde.</w:t>
      </w:r>
    </w:p>
  </w:footnote>
  <w:footnote w:id="730">
    <w:p>
      <w:pPr>
        <w:pStyle w:val="Funote"/>
        <w:rPr/>
      </w:pPr>
      <w:r>
        <w:rPr/>
        <w:footnoteRef/>
        <w:tab/>
        <w:t>Ende - der äußerste Ort der Welt, an dem der Himmel auf den „Pfeilern des Himmels“ aufruht (für eine schöne grafische Darstellung des hebräischen Weltbildes s. hier). Die Sonne beginnt ihre Reise entlang des Firmaments also am östlichen „Ende des Himmels“ und vollendet ihn am westlichen Ende.</w:t>
      </w:r>
    </w:p>
  </w:footnote>
  <w:footnote w:id="731">
    <w:p>
      <w:pPr>
        <w:pStyle w:val="Funote"/>
        <w:rPr/>
      </w:pPr>
      <w:r>
        <w:rPr/>
        <w:footnoteRef/>
        <w:tab/>
        <w:t>der Himmel - hierzu vgl. FN c.</w:t>
      </w:r>
    </w:p>
  </w:footnote>
  <w:footnote w:id="732">
    <w:p>
      <w:pPr>
        <w:pStyle w:val="Funote"/>
        <w:rPr/>
      </w:pPr>
      <w:r>
        <w:rPr/>
        <w:footnoteRef/>
        <w:tab/>
        <w:t>ihrer Glut (Hitze, seiner Sonne) - Wortspiel im Hebräischen: Das Wort chamat bedeutet sonst stets »Sonne«; man sollte also meinen, dass chamato hier »seine - d.i., JHWHs - Sonne« meint (so daher z.B. Briggs 1906, S. 167f; Taylor 1993, S. 223). Sehr viel natürlicher ist aber das Possessivpronomen auf die Sonne zu beziehen, dann müsste chamat gedeutet werden als »ihre Glut/Hitze«. Auch dies gehört zum in den Anmerkungen beschriebenen Mehrdeutigkeit; nach der ersten Deutung würde die Sonne wieder depotenziert, indem sie als sein Geschöpf JHWH zu- und untergeordnet wird; im zweiten Fall spräche der Satz von der Allgegenwart des Sonnengottes, ein weiteres häufiges Motiv aus der altorientalischen Sonnengottliteratur (vgl. Sarna 1965, S. 172).</w:t>
      </w:r>
    </w:p>
  </w:footnote>
  <w:footnote w:id="733">
    <w:p>
      <w:pPr>
        <w:pStyle w:val="Funote"/>
        <w:rPr/>
      </w:pPr>
      <w:r>
        <w:rPr/>
        <w:footnoteRef/>
        <w:tab/>
        <w:t>Gesetz + Gebot + Weisungen + Satzung + Wort + Rechtssätze - In den Vv. 8-10 stehen fünf Begriffe, die alle in etwa die selbe Bedeutung haben. Programmatisch beginnt die Begriffsreihe mit torah jhwh, „Tora JHWHs“ - eine Formel für den (meist schon schriftlich, mindestens aber satzhaft) fixierten Gesamtwillen Gottes. Damit wird noch nicht der Pentateuch gemeint sein, der erst zur Zeit Esras kanonisch wurde, aber einzelne Sammlungen von Geboten existierten schon Jahrhunderte vorher. Meist wird es übersetzt mit „Weisung“, aber da dies in V. 9a die angemessenste Übersetzung ist, sollte man hier besser „Gesetz“ o.Ä. wählen. V. 8b ist die Rede vom edut JHWHs, was in der Bibel meist als terminus technicus für die 10 Gebote fungiert - die Übersetzung „Zeugnisse“, die sich häufig in Üss. findet, ist zwar möglich, hier aber unpassend. piqudim (V. 9a) als Ausdruck für die Anweisungen Gottes findet sich neben unserer Stelle nur in den späten Psalmen 103 (V. 18), Ps 111 (V. 7) und oft in Ps 119. Auffällig ist, dass das Wort oft zusammen mit derek („Weg“) steht und als etwas geschildert wird, dem man „folgen“ kann (s. Ps 119,15.27.45.104.110.128) und kontrastiert wird mit Lügen und Betrug (Ps 119,69.78.104) - die piqudim werden vorgestellt als eine Art „gute Wegbeschreibung“ (Ps 119,110.128!). Diese Vorstellung könnte auch hinter unserer Stelle stehen, denn die piqudim JHWHs sind jescharim, „richtig, eben, angenehm zu befolgen“. Will man diese Vorstellung auch in der Übersetzung herauskommen lassen, empfähle sich die Übersetzung „Weisungen“. Die „Satzung“ (9b) und die „Rechtssätze“ (10b) dürften selbsterklärend sein; erwähnenswert ist, dass auch sie meist als satzhafte Vorgaben aufzufassen sind. Zum „Wort JHWHs“ s. ad loc.</w:t>
      </w:r>
    </w:p>
  </w:footnote>
  <w:footnote w:id="734">
    <w:p>
      <w:pPr>
        <w:pStyle w:val="Funote"/>
        <w:rPr/>
      </w:pPr>
      <w:r>
        <w:rPr/>
        <w:footnoteRef/>
        <w:tab/>
        <w:t>Vv. 8-10 sind in einem auffällig anderem Rhythmus verfasst. Bonkamp 1949, Delitzsch 1894 und andere haben versucht, das in Schriftbild und Rythmus auch der dt. Übersetzung nachzuahmen; auch für die LF wäre das eine Überlegung wert. Ansonsten einfach: Das Gesetz JHWHs ist vollkommen, : es bringt zurück Lebenskraft. - und ähnlich in den nächsten Stichen.</w:t>
      </w:r>
    </w:p>
  </w:footnote>
  <w:footnote w:id="735">
    <w:p>
      <w:pPr>
        <w:pStyle w:val="Funote"/>
        <w:rPr/>
      </w:pPr>
      <w:r>
        <w:rPr/>
        <w:footnoteRef/>
        <w:tab/>
        <w:t>bringt zurück Lebenskraft (gibt neue Lebenskraft, bekehrt {die Seele}) - Wortspiel im Hebräischen: Die Wendung „die nefesch zurückbringen“ meint im Hebräischen oft „Leben(skraft) (nicht: »Seele«) zurückbringen“ (s. 1Kön 17,21f; Ijob 33,30; Ps 23,3; Spr 25,13). nefesch ist im Hebräischen aber häufiger als nicht nur ein Wechselbegriff für das Pronomen „ich“, und „zurückbringen“ kann auch „bekehren“ bedeuten, dann: „Das Gesetz JHWHs ist vollkommen: es bekehrt.“ (so z.B. VUL: „convertens animas“, „es konvertiert die Seele“; so auch CAB, Coverdale, EJ2000, Geneva-Bible, KJV, LITV, NKJV, Tyndale, Webster, Wycliffe). Die Aussage des Satzes könnte also entweder sein, dass das Gesetz JHWHs jemandem frische Lebenskraft verleiht - eine Leistung, die auch für altorientalische Sonnengötter typisch war - oder, dass es „bekehrt“ - z.B. von der sündigen Verehrung von Sonnengöttern zum rechten JHWH-Glauben, was gut zusammenstimmen würde mit dem folgenden „glaubwürdig“ und „macht den Einfältigen weise“ in V. 8b und dem „erleuchtet den Geist“ in V 9a; s. die Anmerkungen.</w:t>
      </w:r>
    </w:p>
  </w:footnote>
  <w:footnote w:id="736">
    <w:p>
      <w:pPr>
        <w:pStyle w:val="Funote"/>
        <w:rPr/>
      </w:pPr>
      <w:r>
        <w:rPr/>
        <w:footnoteRef/>
        <w:tab/>
        <w:t>erfreuen das Herz (erhellen den Geist) - Wortspiel im Hebräischen: Die beiden Glieder der geprägten Formel „das Herz erfreuen“ - d.h. „den Menschen erfreuen“, denn „Herz“ ist im Hebräischen häufig nur Wechselbegriff für den Menschen als Ganzen - lassen sich je auch anders deuten: Das Wort für „erfreuen“ meint eigentlich „erhellen“ (vgl. Greenfield 1959, S. 147f.; Klouda 2000, S. 18; Sarna 1965, S. 174), und das „Herz“ ist in der israelitischen Anthropologie wesentlich häufiger vorgestellt als der Sitz des Verstandes als als Sitz der Emotionen (vgl. z.B. Wolff 1973, S. 77-84). Erstens ist also auch hier die in den Anmerkungen beschriebene „Solarisierung“ des Gesetzes merklich, zweitens wird auch hier - wie in V. 8a („bekehrt“) und 8b („macht den einfältigen weise“) - auf die „bekehrende“ Wirkung der Gebote JHWHs angespielt (s. FN y).</w:t>
      </w:r>
    </w:p>
  </w:footnote>
  <w:footnote w:id="737">
    <w:p>
      <w:pPr>
        <w:pStyle w:val="Funote"/>
        <w:rPr/>
      </w:pPr>
      <w:r>
        <w:rPr/>
        <w:footnoteRef/>
        <w:tab/>
        <w:t>lauter (licht) - Wortspiel im Hebräischen: Das Wort bar kann sowohl als gleichbedeutend aufgefasst werden mit dem „vollkommen/makellos“ in 9a und hat auch meist diese Bedeutung; gleichzeitig lässt es sich aber auch verstehen als „brilliant, hell, licht“ (vgl. Eaton 1968, S. 604f.; Dahood 1965, S. 122; Nel 2004, S 109; Vos 2004, S. 263; Wagner 1999, S. 255; auch Clines 2013, Deissler 1989 und Kissane 1953 übersetzen mit „radiant“, „bright“ und „hell“). Auch dies trägt zur in den Anmerkungen beschriebene „Solarisierung“ des Gesetzes bei.</w:t>
      </w:r>
    </w:p>
  </w:footnote>
  <w:footnote w:id="738">
    <w:p>
      <w:pPr>
        <w:pStyle w:val="Funote"/>
        <w:rPr/>
      </w:pPr>
      <w:r>
        <w:rPr/>
        <w:footnoteRef/>
        <w:tab/>
        <w:t>macht die Augen hell -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13,4). So verstanden ist der Ausdruck also gleichbedeutend mit dem „Lebenskraft zurückbringen“ in V. 8a und dem „das Herz erfreuen“ in V. 9a. Gleichzeitig trägt der Ausdruck aber auch zur nun schon mehrfach genannten Solarisierung der Gebote JHWHs bei (s. wieder die Anmerkungen).</w:t>
      </w:r>
    </w:p>
  </w:footnote>
  <w:footnote w:id="739">
    <w:p>
      <w:pPr>
        <w:pStyle w:val="Funote"/>
        <w:rPr/>
      </w:pPr>
      <w:r>
        <w:rPr/>
        <w:footnoteRef/>
        <w:tab/>
        <w:t>Textkritik: Der hebräische Text hat hier stehen: jir´at JHWH, die „Furcht vor JHWH“. Wenn man es beibehielte, hätte diese Wendung sicher - wie meist - den Sinn von „die Ehrfurcht vor JHWH, die Verehrung JHWHs“. Hier fällt der Begriff aber deutlich aus der Reihe der sechs Begriffe heraus, in der die anderen fünf Begriffe stets für satzhafte Gebote und Anweisungen stehen; auch wäre es unter den sechs Phrasen die einzige, die als Genitivus objektivus statt Genitivus subjectivus konstruiert wäre (also nicht: „Die Furcht JHWHs“ i.S.v. „die Furcht, die JHWH empfindet“, sondern „die Furcht vor JHWH“). Emendiere daher mit BHS, Briggs 1906, Herkenne 1936, Kraus 1961 und Wyatt 1995 nach imrat JHWH, „das Wort JHWHs“ (wie z.B. in Ps 119,38). Vielleicht noch sanfter: Der Buchstabe Mem von enajim („die Augen“) ist als Haplographie zu fassen (d.h., ein Schreiber hat es versehentlich nur einmal - nämlich am Ende von enajim - geschrieben statt zweimal, d.h. am Ende von enajim und am Anfang von jir´at); dann lies mir´at JHWH, „das Gebot JHWHs“ - so aber nur Dahood 1965, S. 123 und man müsste davon ausgehen, dass mir´at ein in der Bibel sonst unbelegter Aramäismus ist; besser daher doch die erste Alternative. Exegeten, die an der Lesung jir´at („Furcht“) festhalten wollen, erklären es dann i.d.R. so, dass es tatsächlich „Verehrung JHWHs“ bedeute, dann aber nicht die subjektiv ausgeübte, sondern das objektive Gesamt von religiösen Regeln, und deshalb doch einigermaßen in die Reihe der anderen fünf Begriffe passe. Das ist schon eine sehr gezwungene Erklärung, vielleicht aber wirklich auch eine mögliche Deutung.</w:t>
      </w:r>
    </w:p>
  </w:footnote>
  <w:footnote w:id="740">
    <w:p>
      <w:pPr>
        <w:pStyle w:val="Funote"/>
        <w:rPr/>
      </w:pPr>
      <w:r>
        <w:rPr/>
        <w:footnoteRef/>
        <w:tab/>
        <w:t>rein (leuchtend) - Wortspiel im Hebräischen: Das hierige hebräische tahor hat in etwa den selben Bedeutungsumfang wie das hebräische bar („lauter, licht“) in V. 9b, wobei bar mehr die ethisch-moralische Reinheit, tahor mehr die kultische und die materielle Reinheit meint. Und ebenso wie bar kann auch tahor „hell, leuchtend“ meinen (s. Ex 24,10: „glänzend“; Hld 6,10: „hell“; möglicherweise auch Ex 31,8; Lev 24,4: „die hellen Leuchter“; so daher Craigie 1983, Eaton 1968, Klouda 2000 Wagner 1999) und trägt so ebenso wie jenes zur Solarisierung der Gebote JHWHs bei.</w:t>
      </w:r>
    </w:p>
  </w:footnote>
  <w:footnote w:id="741">
    <w:p>
      <w:pPr>
        <w:pStyle w:val="Funote"/>
        <w:rPr/>
      </w:pPr>
      <w:r>
        <w:rPr/>
        <w:footnoteRef/>
        <w:tab/>
        <w:t>Wahrheit (wahr) - Subst. verwendet als Adj. (häufig im Heb.); übersetze: „wahr“.</w:t>
      </w:r>
    </w:p>
  </w:footnote>
  <w:footnote w:id="742">
    <w:p>
      <w:pPr>
        <w:pStyle w:val="Funote"/>
        <w:rPr/>
      </w:pPr>
      <w:r>
        <w:rPr/>
        <w:footnoteRef/>
        <w:tab/>
        <w:t>Wörtlich: „11 Die Begehrenswerteren als Gold [...]. 12 Auch dein Sklave wird gewarnt durch sie.“ V. 11 ist offensichtlich kein vollständiger Satz; entweder ist also V. 11 zu V. 10 zu ziehen und so zu analysieren, dass der Artikel noch einmal das Substantiv „Rechtssätze“ aufgreift, woran sich dann ein unmarkierter Relativsatz anschließt (zur Konstruktion vgl. GKC §126b); also „Die Rechssätze JHWHs sind wahr und allesamt gerecht - sie, die begehrenswerter sind als...“ (so z.B. B-R; Baethgen 1892; Ehrlich 1905; ELB; FREE; Gunkel 1968; König 1927; Kraus 1961), oder man versteht Vv. 11f als Casus pendens-Konstruktion: Ein Nomen oder Pronomen - etwa hier: „Die Begehrenswerteren...“ wird von seiner syntaktischen „Stelle“ in einem Satz an den Anfang des Satzes verschoben und seine Stelle durch ein Pronomen - etwa hier: „durch sie“ - gefüllt (sehr schön erklärt z.B. von Harper 1886); also eigentlich „Auch dein Sklave wird belehrt durch die Begehrenswerteren als Gold...“. So m.W. nur Kissane 1953; aber da sich das „durch sie“ in V. 12 sicher wieder auf V. 11 zurückbezieht, ist diese Auflösung vorzuziehen und V. 11 entgegen der Mehrheitsmeinung zu Vv. 12-15 zu ziehen, wohin ohnehin die dreimalige Wiederholung von „reichlich“ in Vv. 11-14 weist. Vielleicht weist dahin außerdem die Tatsache, dass im folgenden V. 13 direkt noch eine Casus pendens-Konstruktion folgt.</w:t>
      </w:r>
    </w:p>
  </w:footnote>
  <w:footnote w:id="743">
    <w:p>
      <w:pPr>
        <w:pStyle w:val="Funote"/>
        <w:rPr/>
      </w:pPr>
      <w:r>
        <w:rPr/>
        <w:footnoteRef/>
        <w:tab/>
        <w:t>Honig des Honigs - Der Psalmist verwendet in Vv. 11cd drei verschiedene Wörter mit der Bedeutung »Honig«: »süßer als Honig 1, / ja, als Honig 2 des Honig 3´s«. Diese Konstruktion dient der Intensivierung der gesamten Aussage - ähnlich, wie im häufigen »der Himmel und der Himmel der Himmel« (Dtn 10,14; 8,27; 2Chr 2,5; 6,18) nicht neben dem »gewöhnlichen Himmel« noch zusätzlich von einem »Super-Himmel« die Rede ist, sondern die Aussage noch einmal intensiviert werden soll (»Der Himmel und der Himmel der Himmel können ihn nicht fassen« = »Der Himmel kann ihn nicht fassen - nicht ansatzweise kann er das!«). Sinngemäß wäre daher vielleicht etwas wie: »süßer als Honig - ja, unendlich viel süßer!«</w:t>
      </w:r>
    </w:p>
  </w:footnote>
  <w:footnote w:id="744">
    <w:p>
      <w:pPr>
        <w:pStyle w:val="Funote"/>
        <w:rPr/>
      </w:pPr>
      <w:r>
        <w:rPr/>
        <w:footnoteRef/>
        <w:tab/>
        <w:t>Oder adversativ: „sie, die begehrenswerter sind als Gold... / Obwohl dein Sklave durch sie gewarnt wird [und] in ihrer Befolgung reichlich großer Lohn liegt: ‚Wer bemerkt schon Verirrungen!?‘“; so aber nur Ehrlich 1905 und Schökel 1980. Oder: „sie, die begehrenswerter sind als Gold ... / Auch wird dein Knecht...“; so viele eng. Üss.</w:t>
      </w:r>
    </w:p>
  </w:footnote>
  <w:footnote w:id="745">
    <w:p>
      <w:pPr>
        <w:pStyle w:val="Funote"/>
        <w:rPr/>
      </w:pPr>
      <w:r>
        <w:rPr/>
        <w:footnoteRef/>
        <w:tab/>
        <w:t>dein Sklave ist in der Bibel und v.a. in der biblischen Poesie oft nur ein höflicher Ersatz für Personalpronomen und sollte ins Deutsche besser nicht wörtlich übersetzt werden (vgl. FN g zu Lk 1,48). Auch hier meint „dein Sklave“ sehr sicher nur „ich“ (ad loc. vgl. Dahood 1965, S. 124; Gunkel 1968, S. 80; König 1927, S. 104). Hier kommt durch das „dein Sklave“ aber gleichzeitig zum Ausdruck, dass der Beter sich den Geboten JHWHs unterordnet; wenn diese Aussage in der LF bei einer Übertragung durch „ich“ nicht zum Ausdruck kommt, sollte man besser darauf verzichten und das „dein Sklave“ beibehalten.</w:t>
      </w:r>
    </w:p>
  </w:footnote>
  <w:footnote w:id="746">
    <w:p>
      <w:pPr>
        <w:pStyle w:val="Funote"/>
        <w:rPr/>
      </w:pPr>
      <w:r>
        <w:rPr/>
        <w:footnoteRef/>
        <w:tab/>
        <w:t>gewarnt (erleuchtet) - Wortspiel im Hebräischen: Mit „gewarnt“ ist gemeint, dass der Beter sich vorsieht, JHWHs Gebote nicht zu übertreten, wohin dann auch noch kommt, dass ihm dann großer Lohn versprochen ist, wenn ihm die Einhaltung der Gebote gelingt. Das Verb zahar meint zugleich aber erleuchten, was wieder zur in den Anmerkungen genannten Solarisierung der Gebote JHWHs gehört; so auch Craigie 1983, Dahood 1965, Dahood 1982, Eaton 1968, Meinhold 1983, Sarna 1965, Vos 2004, Wagner 1999.</w:t>
      </w:r>
    </w:p>
  </w:footnote>
  <w:footnote w:id="747">
    <w:p>
      <w:pPr>
        <w:pStyle w:val="Funote"/>
        <w:rPr/>
      </w:pPr>
      <w:r>
        <w:rPr/>
        <w:footnoteRef/>
        <w:tab/>
        <w:t>Oder: Der Sticho ist der wörtliche Inhalt der Warnung: »Durch sie ... wird auch dein Sklave gewarnt: ‚In ihrer Befolgung liegt reichlich Lohn!‘«.</w:t>
      </w:r>
    </w:p>
  </w:footnote>
  <w:footnote w:id="748">
    <w:p>
      <w:pPr>
        <w:pStyle w:val="Funote"/>
        <w:rPr/>
      </w:pPr>
      <w:r>
        <w:rPr/>
        <w:footnoteRef/>
        <w:tab/>
        <w:t>[Doch] - Der Zhg. von Vv. 12.13 ist sicher adversativ; das muss man in der LF wohl besser durch die Einfügung eines „Doch“ o.Ä. ausdrücklich machen.</w:t>
      </w:r>
    </w:p>
  </w:footnote>
  <w:footnote w:id="749">
    <w:p>
      <w:pPr>
        <w:pStyle w:val="Funote"/>
        <w:rPr/>
      </w:pPr>
      <w:r>
        <w:rPr/>
        <w:footnoteRef/>
        <w:tab/>
        <w:t>Versehen (versehentliche Fehler) - Bedeutung unsicher (-&gt; Hapax legomenon); vermutlich meint es in etwa das selbe wie das folgende „Verborgene (ungewollte Sünden)“; vgl. z.B. König 1927, S. 104; Kittel 1914, S. 78; Wagner 1999, S. 258; Nel 2004, S. 113f.</w:t>
      </w:r>
    </w:p>
  </w:footnote>
  <w:footnote w:id="750">
    <w:p>
      <w:pPr>
        <w:pStyle w:val="Funote"/>
        <w:rPr/>
      </w:pPr>
      <w:r>
        <w:rPr/>
        <w:footnoteRef/>
        <w:tab/>
        <w:t>Versehentliche Fehler - wer bemerkt sie - d.h. „Wer bemerkt versehentliche Fehler?“: Casus pendens-Konstruktion; s. FN af. Die Konstruktion soll eine stärkere Emphase auf diese „versehentliche Fehler“ legen: Gegen bewusste Sünden kann man sich verwahren, indem man auf JHWHs Gebote achtet - versehentliche Fehler jedoch...</w:t>
      </w:r>
    </w:p>
  </w:footnote>
  <w:footnote w:id="751">
    <w:p>
      <w:pPr>
        <w:pStyle w:val="Funote"/>
        <w:rPr/>
      </w:pPr>
      <w:r>
        <w:rPr/>
        <w:footnoteRef/>
        <w:tab/>
        <w:t>Verborgenen (ungewollte Sünden) ist ein Begriff aus der israelitischen Rechtsterminologie; man bezeichnet damit Vergehen und Sünden, die ein Sünder unwissentlich begangen hat. Vgl. z.B. Lev 4-5.</w:t>
      </w:r>
    </w:p>
  </w:footnote>
  <w:footnote w:id="752">
    <w:p>
      <w:pPr>
        <w:pStyle w:val="Funote"/>
        <w:rPr/>
      </w:pPr>
      <w:r>
        <w:rPr/>
        <w:footnoteRef/>
        <w:tab/>
        <w:t>Mit dem Wort für Vermessenheit werden in der Bibel sonst stets Personen bezeichnet. Meist bezeichnet das Wort die „Gattung“ von Feinden des einzelnen Beters, die sich besonders durch anmaßende Wortsünden (s. bes. Spr 21,24; auch Jes 13,11; Jer 43,2; Mal 3,15 (vgl. V. 14)) und eine prinzipielle Missachtung der Gebote Gottes (Ps 119,21.85) auszeichnen - es sind die „Vermessenen, Anmaßenden“. Das in Üss. häufig zu findende „Übermütige“ ist wohl noch ein Relikt aus der Zeit, zu der „übermütig sein“ im Dt. noch „anmaßend sein“ bedeutete. Viele Exegeten gehen aber davon aus, dass das Wort hier entgegen seinem gewöhnlichen Gebrauch nicht Menschen, sondern personifizierte Sünden meine (Barnes 1869, S. 175; Terrien 2003, S. 206; Wagner 1999, S. 258: „presumptuous sins“, Deissler 1989, S. 81: „Vermessenes“; Harrelson 1999, S. 143: „proud thoughts“; König 1927, S. 104: „Übermütigkeiten“), was dann speziell - im Gegensatz zu den unwillentlich begangenen Sünden in V. 14 - die willentlichen Sünden meinen soll (so z.B. Buttenwieser 1938, S. 853; Christensen 2005.19, S. 2: „wilful sins“; Ehrlich 1905, S. 40: „mutwillige Übertretungen“; fast alle eng. Üss.; wohl auch VUL: „ab occultis meis ... et ab alienis“: „von meinen verborgenen und von anderen“). Diese Deutung ist grammatisch auch unproblematisch und passt wirklich besser zum vorigen Vers; allerdings wohl weniger zum folgenden Teilvers; denn es ist doch fraglich, wie „anmaßende Taten“ über jemanden „herrschen“ sollen. Daher dann doch noch besser zu deuten als Abstraktplural: Der Psalmist kann sich nicht beherrschen (Spr 16,32), sondern wird beherrscht von „Anmaßung, Vermessenheit“ (vgl. HER05, NeÜ: „Hochmut“; Kissane 1953, S. 85: „pride“) - der Bereitschaft und gar dem Willen zum willentlichen Übertreten der Gebote Gottes (sehr gut daher EEB: „Stop your servant from wanting to sin“).</w:t>
      </w:r>
    </w:p>
  </w:footnote>
  <w:footnote w:id="753">
    <w:p>
      <w:pPr>
        <w:pStyle w:val="Funote"/>
        <w:rPr/>
      </w:pPr>
      <w:r>
        <w:rPr/>
        <w:footnoteRef/>
        <w:tab/>
        <w:t>Von ungewollten Sünden mache mich rein / Auch von Vermessenheit halte zurück deinen Sklaven - Wenn die Deutung von »Vermessenheit« als Ausdruck von Gesinnungssünden richtig ist, sind die beiden Verse wohl ein hyperbatischer (-&gt; Hyperbaton) Merismus zu deuten: »Von Sünden - sowohl unwillentlichen Sünden als auch Gesinnungssünden - reinige mich (wenn ich sie schon begangen habe) und halte mich zurück (damit ich sie zukünftig nicht begehe).« - Der Psalmist bittet um Beistand Gottes beim Streben nach vollkommener Sündenfreiheit; denn dann wird er in der Tat »vollkommen sein«.</w:t>
      </w:r>
    </w:p>
  </w:footnote>
  <w:footnote w:id="754">
    <w:p>
      <w:pPr>
        <w:pStyle w:val="Funote"/>
        <w:rPr/>
      </w:pPr>
      <w:r>
        <w:rPr/>
        <w:footnoteRef/>
        <w:tab/>
        <w:t>reichlich [großes] Vergehen - Bed. unsicher: Entweder ist mit Dahood 1982, Moran 1959, Rabinowitz 1959 und Wagner 1999 davon auszugehen, dass der Dichter hier einen mit dem Ausruck »reichlich [große] Sünde« (Gen 20,9; Ex 32,21.30f; 2Kön 7,21) verwandten Rechtsterminus aus dem ägyptischen und ugaritischen Raum verwendet, der speziell Götzenverehrung bezeichnet, oder der Psalmist nennt in Vv. 13.14ab.14cd nacheinander die »unwillentliche Sünden«, die »Gesinnungssünden« und allgemein die »schweren Sünden« als einzelne »Sündengattungen«, wobei die ersten beiden als Vorstufen der dritten gedacht sind und derart, dass sie unweigerlich zur dritten führen müssen: Steht Gott dem Beter dabei bei, selbst diese nicht zu begehen, wird er sich automatisch auch jener nicht schuldig machen. Anm. d. Üs. (S.W.): Im zweiten Fall wäre übrigens spannenderweise schon die Vorstellung der katholischen Sündenlehre vorweggenommen, dass erst dann eine schwere Sünde vorliege, wenn sie mit voller Kenntnis und aus böser Gesinnung begangen wird; vgl. z.B. KKK 1860: »Unverschuldete Unkenntnis kann die Verantwortung für ein schweres Vergehen vermindern, wenn nicht sogar aufheben. [...] Auch Triebimpulse [und] Leidenschaften [...] können die Freiheit und die Willentlichkeit eines Vergehens vermindern. Die Sünde aus Bosheit, aus überlegter Entscheidung für das Böse, wiegt am schwersten.«</w:t>
      </w:r>
    </w:p>
  </w:footnote>
  <w:footnote w:id="755">
    <w:p>
      <w:pPr>
        <w:pStyle w:val="Funote"/>
        <w:rPr/>
      </w:pPr>
      <w:r>
        <w:rPr/>
        <w:footnoteRef/>
        <w:tab/>
        <w:t>Es seien zum Wohlgefallen die Reden meines Mundes / und das sich-Äußern meines Herzens vor deinem Gesicht - Hyperbaton; natürliche Wortfolge: »Es seien zum Wohlgefallen vor deinem Gesicht die Reden meines Mundes und das sich-Äußern meines Herzens« (vgl. Ex 28,38). Das Hyperbaton dient hier nur dem Zweck, die beiden parallelen Phrasen »die Reden meines Mundes« und »das sich-Äußern meines Herzens« auf zwei Stichen verteilen zu können; die Ergänzung von »möge kommen« o.Ä. im zweiten Sticho ist unnötig. Der Sinn ist: »Mein Reden und mein Denken sei dir wohlgefällig.« V. 15 ist daher wohl auch weniger eine »abschließende Spendeformel« (Meinhold 1983, S. 133; ähnlich Bonkamp 1949, S. 117; Gerstenberger 1991, S. 100 Gese 1991, S. 145; Oesch 1985, S. 84) zu werten, sondern wiederholt noch einmal die Bitte aus Vv. 13f: Der Psalmist bittet in Strophe 3 darum, auch über die äußerliche Gesetzestreue hinaus Gott wohlgefällig zu sein - in Gedanken, Worten und Werken; ganz und gar - und bittet dafür um Gottes Beistand.</w:t>
      </w:r>
    </w:p>
  </w:footnote>
  <w:footnote w:id="756">
    <w:p>
      <w:pPr>
        <w:pStyle w:val="Funote"/>
        <w:rPr/>
      </w:pPr>
      <w:r>
        <w:rPr/>
        <w:footnoteRef/>
        <w:tab/>
        <w:t>[Status: Zuverlässig]</w:t>
      </w:r>
    </w:p>
  </w:footnote>
  <w:footnote w:id="757">
    <w:p>
      <w:pPr>
        <w:pStyle w:val="Funote"/>
        <w:rPr/>
      </w:pPr>
      <w:r>
        <w:rPr/>
        <w:footnoteRef/>
        <w:tab/>
        <w:t>Chorleiter - Heb. menatseach; genaue Bedeutung unklar. Die Primärübersetzung „Chorleiter“ ist mehr oder weniger Konvention. S. noch nächste FN.</w:t>
      </w:r>
    </w:p>
  </w:footnote>
  <w:footnote w:id="758">
    <w:p>
      <w:pPr>
        <w:pStyle w:val="Funote"/>
        <w:rPr/>
      </w:pPr>
      <w:r>
        <w:rPr/>
        <w:footnoteRef/>
        <w:tab/>
        <w:t>Nach „Hirschkuh der Morgenröte“ ([Vorzutragen vom] Vorsteher [über das Ritual] „Hirschkuh der Morgenröte“) - Ein weiterer Begriff mit unbekannter Bedeutung. Für gewöhnlich werden diese und ähnliche Angaben in anderen Psalmen so verstanden, dass damit die Melodie eines bekannten Liedes genannt werde, nach der auch dieser Psalm zu singen sei, zu übersetzen wäre also etwa: „[vorzutragen] nach [der Melodie] ‚Hirschkuh der Morgenröte‘“. Einen wahrscheinlicheren Vorschlag zum Verständnis der sog. „Psalmenüberschriften“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die „Hirschkuh der Morgenröte“ nicht die Melodie, sondern der menatseach wäre Vorsteher über das Ritual mit dem Namen „Hirschkuh der Morgenröte“, bei dem der Psalm vorzuträgen wäre. Doch ist auch dies nur ein „educated guess“ und „Chorleiter“ und „[nach der Melodie]“ sind in dt. Üss. so etabliert, dass die LF doch besser den Primärüss. folgen sollte.</w:t>
      </w:r>
    </w:p>
  </w:footnote>
  <w:footnote w:id="759">
    <w:p>
      <w:pPr>
        <w:pStyle w:val="Funote"/>
        <w:rPr/>
      </w:pPr>
      <w:r>
        <w:rPr/>
        <w:footnoteRef/>
        <w:tab/>
        <w:t>fern von meiner Rettung (von meinem Schreien) - Eine häufige biblische Metapher: Not wird erfahren als Abwesenheit Gottes; Gott hilft dem Notleidenden nicht, sondern „hat ihn verlassen“ und „hält sich fern“ von ihm - ist gar zu entfernt, um seine Klageworte zu empfangen und helfend darauf zu reagieren (s. ähnlich Ps 10,1; 35,22; 38,22; 71,12; Jes 59,9.11 u.ö.; vgl. z.B. TWAT II, Sp. 770).Textkritik: Die Worte „von meiner Rettung“ (Heb. mischu`ati) werden häufig korrigiert zu „von meinem Schreien“ (Heb. mischaw`ati) (so z.B. BHS; Deissler 1981, S. 102; Kselman 1982, S. 173-5); daher erklärt sich z.B. die Übersetzung „Warum bist du fern von meinem Flehen“ von EÜ und HER05. Doch das ist ganz unnötig. In der LF muss dieser Vers wohl freier übersetzt werden; gut z.B. GN: „Warum hilfst du nicht, wenn ich schreie, warum bist du so fern?“; ähnlich NL.</w:t>
      </w:r>
    </w:p>
  </w:footnote>
  <w:footnote w:id="760">
    <w:p>
      <w:pPr>
        <w:pStyle w:val="Funote"/>
        <w:rPr/>
      </w:pPr>
      <w:r>
        <w:rPr/>
        <w:footnoteRef/>
        <w:tab/>
        <w:t>Antworten ist in Zhgg. wie diesem fast stets ein stehender Begriff für die Gebetserhörungen Gottes.</w:t>
      </w:r>
    </w:p>
  </w:footnote>
  <w:footnote w:id="761">
    <w:p>
      <w:pPr>
        <w:pStyle w:val="Funote"/>
        <w:rPr/>
      </w:pPr>
      <w:r>
        <w:rPr/>
        <w:footnoteRef/>
        <w:tab/>
        <w:t>doch [es gibt] nicht Ruhe für mich - dumijah („Schweigen“) bezieht sich hier wohl nicht auf das „Schweigen“ des Leids, sd. auf das Schweigen des Psalmisten: Im hierigen Sinne findet es sich nur noch in Ps 39,3, wo deutlich vom Verstummen des Psalmisten die Rede ist. S. auch R-S: „Stillschweigen ist mir nicht vergönnt“; Weiser 1959: „und ich kann doch nicht schweigen“ u.ö.Der Vers ist also als „meristisches Hyperbaton“ strukturiert (wie z.B. auch Ps 19,14 (dazu s. FN aq)): Ähnlich, wie deutlich „Ich rufe Tag“ und „und Nacht“ zusammengehören, gehören auch „du antwortest nicht“ und „es gibt keine Ruhe für mich“ zusammen, beide Paare sind aber aus poetischen Gründen in zwei Zeilen aufgeteilt worden. Die Bedeutung ist dann: „Ich rufe Tag und Nacht, aber du antwortest nicht und [also] ist es mir nicht vergönnt, mit dem Rufen aufhören zu können“. Textkritik: Syr und Äth hatten offenbar einen anderslautenden hebräischen Text vor sich, nämlich statt dumijah li („Ruhe für mich“) dimitha li („du denkst nicht an mich“); Zorell 1926, S. 311 und Kissane 1953, S. 98 wollen daher auch den hebräischen Text nach dimitha korrigieren (=&gt; Textkritik). Doch er macht Sinn, wie er steht, und wird von den anderen alten Üss. gestützt.</w:t>
      </w:r>
    </w:p>
  </w:footnote>
  <w:footnote w:id="762">
    <w:p>
      <w:pPr>
        <w:pStyle w:val="Funote"/>
        <w:rPr/>
      </w:pPr>
      <w:r>
        <w:rPr/>
        <w:footnoteRef/>
        <w:tab/>
        <w:t>[Auf] - W. „Aber du, der Heilige, der du thronst über den Lobgesängen Israels - auf dich vertrauten...“. Ein sog. „Casus pendens“: Ein Satzglied (hier: „du, der Heilige, der du thronst über den Lobgesängen Israels“) wird aus seinem eigentlichen Zusammenhang im Satz herausgenommen, unverbunden vor den Satz gestellt und an seine „eigentliche“ Stelle im Satz wird als Platzhalter ein Pronomen gesetzt (hier: „auf dich“). Gut Eerdmans 1947, S. 172: „And thou, holy one, that inhabitest the praises of Israel, / our fathers trusted in thee.“</w:t>
      </w:r>
    </w:p>
  </w:footnote>
  <w:footnote w:id="763">
    <w:p>
      <w:pPr>
        <w:pStyle w:val="Funote"/>
        <w:rPr/>
      </w:pPr>
      <w:r>
        <w:rPr/>
        <w:footnoteRef/>
        <w:tab/>
        <w:t>den Heiligen, der du thronst über den Lobgesängen Israels! - Mit dem Ausdruck der Heilige ist hier wie z.B. auch in Jes 5,16; 5,19 (vgl. V. 20); 41,20 (vgl. V. 21); 48,17 (vgl. V. 18) die übermenschliche Gerechtigkeit Gottes bezeichnet (so gut Herkenne 1936, S. 105), aufgrund der er als „der Heilige Israels“ auch stets auf der Seite seines Volkes steht. Vv. 4-6 sind sehr wahrscheinlich keine Vertrauensäußerung, wie das z.B. Gerstenberger 1991 und Janowski 2003 sehen. V. 7 zeigt deutlich, dass der Hinweis auf die früheren Rettungstaten Gottes der Kontrastierung dient: Ihnen hat Gott geholfen, ihm aber hilft er nicht - ihm, dem „Wurm“. Vv. 4-6 meinen also nicht: „[Warum hilfst du mir nicht?] Aber du bist ja der Heilige, [also wird schon alles gut werden -] du hast ja auch unseren Vorfahren geholfen.“, sondern sie dienen der Unterstreichung der in V. 2 ausgedrückten Verständnislosigkeit: „Warum hilfst du mir nicht? ... Du bist doch der Heilige, der schon unseren Vorfahren, die dich [wie ich] verehrten, geholfen hat!“ Die Argumentation in Vv. 2-6 geht damit ganz ähnlich wie die in Hab 1,12f.: „Bist du nicht von alters her mein Heiliger? Wir werden nicht sterben, JHWH - das hast du, oh Fels, als Gesetz festgesetzt und als Gebot bestimmt (≙ Vv. 4-6)... Warum aber schaust du dann Räubern zu und schweigst, wenn ein Gesetzloser den verschlingt, der gerechter ist als er? (≙ Vv. 2f.)“ Vgl. gut Charney 2013, S. 47; Davis 1992, S. 97; Kissane 1953, S. 99.</w:t>
      </w:r>
    </w:p>
  </w:footnote>
  <w:footnote w:id="764">
    <w:p>
      <w:pPr>
        <w:pStyle w:val="Funote"/>
        <w:rPr/>
      </w:pPr>
      <w:r>
        <w:rPr/>
        <w:footnoteRef/>
        <w:tab/>
        <w:t>Reißen die Lippe[n] auf, schütteln den Kopf - Zwei Gesten der Verachtung. Zur ersten Geste s. noch Ijob 16,10; Ps 35,21; zur zweiten Ps 44,14; 64,8.</w:t>
      </w:r>
    </w:p>
  </w:footnote>
  <w:footnote w:id="765">
    <w:p>
      <w:pPr>
        <w:pStyle w:val="Funote"/>
        <w:rPr/>
      </w:pPr>
      <w:r>
        <w:rPr/>
        <w:footnoteRef/>
        <w:tab/>
        <w:t>[und spotten:] - das Folgende ist eine Spottrede der der „Leute“, die dem Psalmisten absprechen, dass Gott Wohlgefallen an ihm habe. Vgl. z.B. Gordis 1949, S. 167f.</w:t>
      </w:r>
    </w:p>
  </w:footnote>
  <w:footnote w:id="766">
    <w:p>
      <w:pPr>
        <w:pStyle w:val="Funote"/>
        <w:rPr/>
      </w:pPr>
      <w:r>
        <w:rPr/>
        <w:footnoteRef/>
        <w:tab/>
        <w:t>Wälze (Er hat gewälzt) [es (dich)] - Ausdruck dafür, etwas jmds. Fürsorge anzuvertrauen, auf dass der sich darum kümmere; s. Ps 37,5; Spr 16,3; 1 Pet 5,7. Weil »wälzen« im Dt. unverständlich ist, folgen viele der freieren Üs. von Mt 27,43: »Vertrau auf JHWH!« Erwägenswert vielleicht BB: »Soll er doch seine Last auf den HERRN abwälzen!«, ASTADLER: »Der soll seine Sorgen auf Gott abschieben!«Textkritik: LXX, Syr, Hieronymus und Mt 27,43 lasen statt gol (»Wälz«) gal (»Er hat gewälzt«). Der urspr. heb. Text bot beide Deutungsmöglichkeiten; viele Exegeten folgen daher dieser Lesart, weil nach ihr kein Perspektivwechsel (Sprechen zum Psalmisten =&gt; Spotten über den Psalmisten) in der Rede der Leute stattfinden muss. Angesichts der beiden obigen atl. Parallelen und Ps 55,23, die alle im Imp. formuliert sind, liegt aber auch hier die Lesung als Imperativ näher (so richtig Gordis 1949, S. 167, FN 21).</w:t>
      </w:r>
    </w:p>
  </w:footnote>
  <w:footnote w:id="767">
    <w:p>
      <w:pPr>
        <w:pStyle w:val="Funote"/>
        <w:rPr/>
      </w:pPr>
      <w:r>
        <w:rPr/>
        <w:footnoteRef/>
        <w:tab/>
        <w:t>Er hat ja Gefallen an ihm (er ist ja so gläubig) - stark übersetzt von GN, HfA, R-S: „[Er ist] ja sein Liebling!“ Auch möglich: „Er ist ja so gläubig“, s. z.B. Ps 73,25, wo mit dem „Gefallen“ des Psalmisten an Gott seine Ganzhingabe ausgedrückt wird. Im Kontext macht das vielleicht sogar mehr Sinn, s. den dreimaligen Hinweis auf das „Vertrauen“ der Vorfahren in Vv. 5f. und die Rede vom Gottesverhältnis „von Geburt an“ des Psalmisten. Das ki („doch“) zu Beginn von V. 10 könnte dann mit „Ja!...“, „So ist es!...“ o.Ä. übersetzt werden: In der Tat ist der Psalmist schon von Geburt an tiefgläubig und ergo müsste Gott ihm daher hold sein (vgl. Ps 91,14!); völlig unverständlich ist daher jetzt Gottes plötzliche Abwesenheit. So aber nur wenige ältere Exegeten; erwogen noch z.B. von Olshausen 1853, S. 122f. Vv. 10f. sind daher besser für die LF zu verstehen wie Vv. 4-6: „Früher warst du mir doch gut - [warum also jetzt nicht mehr]?“</w:t>
      </w:r>
    </w:p>
  </w:footnote>
  <w:footnote w:id="768">
    <w:p>
      <w:pPr>
        <w:pStyle w:val="Funote"/>
        <w:rPr/>
      </w:pPr>
      <w:r>
        <w:rPr/>
        <w:footnoteRef/>
        <w:tab/>
        <w:t>aus dem Schoß hervorbrechen ließ - d.h. der bei meiner Geburt Hebammendienst leistete. V. 10 spricht davon, wie Gott sich schon von Geburt an um den Psalmisten kümmerte, V. 11 davon, wie der Psalmist dafür schon von Geburt an Gott tief verbunden war.</w:t>
      </w:r>
    </w:p>
  </w:footnote>
  <w:footnote w:id="769">
    <w:p>
      <w:pPr>
        <w:pStyle w:val="Funote"/>
        <w:rPr/>
      </w:pPr>
      <w:r>
        <w:rPr/>
        <w:footnoteRef/>
        <w:tab/>
        <w:t>Textkritik: der mir Vertrauen einflößte (dem ich vertraute - LXX, Syr, VUL, Hieronymus und Tg hatten offenbar statt dem Text mabtichi („der mir Vertrauen einflößte“) mibtachi („der mein Vertrauen [war]“) vorliegen, der auch in einigen Handschriften zu finden ist. Das ist eine sehr starke Bezeugung; warum dem nur Ehrlich 1905, S. 44 und Kissane 1953, S. 98 folgen, ist nicht ganz verständlich. Wir folgen MT nur, weil dies eine starke Mehrheitsmeinung ist.</w:t>
      </w:r>
    </w:p>
  </w:footnote>
  <w:footnote w:id="770">
    <w:p>
      <w:pPr>
        <w:pStyle w:val="Funote"/>
        <w:rPr/>
      </w:pPr>
      <w:r>
        <w:rPr/>
        <w:footnoteRef/>
        <w:tab/>
        <w:t>Auf dich bin ich geworfen - Vergleichbarer Ausdruck nur noch in Ps 55,23. Da diese Stelle wiederum stark an Ps 22,9; 37,5 und Spr 16,3 gemahnt, legt sich die Annahme nahe, dass „etwas auf JHWH werfen“ und „etwas auf JHWH wälzen“ gleichbedeutend sind und also bedeuten: „Etwas unter JHWHs Hut stellen.“ Hier aber wird nicht „etwas“ unter JHWHs Hut gestellt, sondern der Psalmist selbst. Sehr gut daher HER05: „Dir bin ich zu Eigen von Anbeginn“; HfA: „Du bist mein Gott, seitdem mein Leben im Mutterleib begann“. Glücklich Fügung übrigens, wie dieser Vers vor dem Hintergrund des Existentialismus gelesen werden kann, wo die „Geworfenheit“ die schutzlose Ausgeliefertheit des Menschen an die Welt meint. Nein, sagt Psalm 22: Von Geburt an ist der Mensch auf Gott geworfen und gerade daher der Welt eben nicht schutzlos ausgeliefert.</w:t>
      </w:r>
    </w:p>
  </w:footnote>
  <w:footnote w:id="771">
    <w:p>
      <w:pPr>
        <w:pStyle w:val="Funote"/>
        <w:rPr/>
      </w:pPr>
      <w:r>
        <w:rPr/>
        <w:footnoteRef/>
        <w:tab/>
        <w:t>Enge (Bedrängnis) ist nahe - dazu s. Ps 4,2 (dazu FN f); 25,17: Not wird in der Bibel des Öfteren mit der Metapher des Beengt-seins ausgedrückt. Hier gleich doppelt: „die Enge ist nahe“ - ganz im Gegensatz zum „fernen“ Gott, der den Psalmisten verlassen hat.</w:t>
      </w:r>
    </w:p>
  </w:footnote>
  <w:footnote w:id="772">
    <w:p>
      <w:pPr>
        <w:pStyle w:val="Funote"/>
        <w:rPr/>
      </w:pPr>
      <w:r>
        <w:rPr/>
        <w:footnoteRef/>
        <w:tab/>
        <w:t>Baschan[stiere] - Baschan war eine äußerst fruchtbare Region; die „Baschanstiere“ sind daher hier noch mal als Steigerung der bloßen „Stiere“ erwähnt: als besonders gut genährte und daher besonders gefährliche Vertreter ihrer Art. Vgl. Dtn 32,14 und Ez 39,18, wo die „Baschanstiere“ als besonders nahrhafte Vertreter ihrer Art genannt werden, und Am 4,1, wo sie gar zur Metapher für trinkfreudige Bonzen werden.</w:t>
      </w:r>
    </w:p>
  </w:footnote>
  <w:footnote w:id="773">
    <w:p>
      <w:pPr>
        <w:pStyle w:val="Funote"/>
        <w:rPr/>
      </w:pPr>
      <w:r>
        <w:rPr/>
        <w:footnoteRef/>
        <w:tab/>
        <w:t>reißende, brüllende Löwen ([wie] ein reißender, brüllender Löwe) steht im heb. Text im Sg. Viele denken daher, dass Subjekt des „Maul-Aufsperrens“ die (selbst schon metaphorischen) Baschanstiere wären, die danach noch einmal mit dem Vergleich „[wie] ein Löwe“ näher spezifiziert würden. Wahrscheinlicher ist, dass Löwe hier ein sog. „kollektiver Singular“ mit Pluralbedeutung ist und als ein solcher mit dem Pluralverb „sie sperren ihr Maul gegen mich auf“ konstruiert wird. Das „Maul-aufsperren“ ist hier nicht wie in V. 8 als Spottgeste zu verstehen, sondern wörtlich als Bild für die von den Löwen ausgehende Gefahr.</w:t>
      </w:r>
    </w:p>
  </w:footnote>
  <w:footnote w:id="774">
    <w:p>
      <w:pPr>
        <w:pStyle w:val="Funote"/>
        <w:rPr/>
      </w:pPr>
      <w:r>
        <w:rPr/>
        <w:footnoteRef/>
        <w:tab/>
        <w:t>{das} (V. 15); {der} [ein] (V. 17) - Vergleiche werden im Heb. häufig auch dort mit best. Artikel konstruiert, wo das Dt. einen unbest. Artikel verwenden würde.</w:t>
      </w:r>
    </w:p>
  </w:footnote>
  <w:footnote w:id="775">
    <w:p>
      <w:pPr>
        <w:pStyle w:val="Funote"/>
        <w:rPr/>
      </w:pPr>
      <w:r>
        <w:rPr/>
        <w:footnoteRef/>
        <w:tab/>
        <w:t>Eine Reihe starker Metaphern zur Beschreibung der Not: Aus lauter Furcht verflüssigt sich der Psalmist regelrecht.</w:t>
      </w:r>
    </w:p>
  </w:footnote>
  <w:footnote w:id="776">
    <w:p>
      <w:pPr>
        <w:pStyle w:val="Funote"/>
        <w:rPr/>
      </w:pPr>
      <w:r>
        <w:rPr/>
        <w:footnoteRef/>
        <w:tab/>
        <w:t>Textkritik: Kraft (Kehle) - Sehr viele Exegeten wollen den Text von kochi („meine Kraft“) nach chiki („mein Gaumen, meine Kehle“) korrigieren (z.B. auch BHS), aber vgl. Ijob 30,30; Ps 32,4; 102,4f.; 119,83: das Verbrennen bis zum Ausgetrocknet-sein eines Menschen gehört zu den Standardmetaphern heb. Lyrik zur Beschreibung von Leid, was für die Lyrik eines so heißen Landes wie Israel eigentlich nicht überraschen sollte. Und man beachte, dass in V. 15 zunächst die Flüssigkeit von einem Ganzheitsbegriff („ich“) und dann einem Teilbegriff („mein Herz“) ausgesagt wird; Entsprechendes findet sich hier von der Trockenheit: zunächst der Ganzheitsbegriff („meine Kraft“) und dann der Teilbegriff („meine Zunge“).</w:t>
      </w:r>
    </w:p>
  </w:footnote>
  <w:footnote w:id="777">
    <w:p>
      <w:pPr>
        <w:pStyle w:val="Funote"/>
        <w:rPr/>
      </w:pPr>
      <w:r>
        <w:rPr/>
        <w:footnoteRef/>
        <w:tab/>
        <w:t>Zwei weitere Metaphern. Man beachte, dass sie genau das Gegenteilige sagen: Fühlte der Dichter sich in V. 15 noch wie „ausgeschüttetes Wasser“ und sein Herz „zerschmolz“, ist seine Kraft in V. 16 „trocken wie eine Scherbe“ und „seine Zunge klebt ihm am Gaumen“ (W.: „an den beiden Kiefern“). Der Effekt ist der selbe wie im dt. „Vor Panik ist mir heiß und kalt zugleich“.</w:t>
      </w:r>
    </w:p>
  </w:footnote>
  <w:footnote w:id="778">
    <w:p>
      <w:pPr>
        <w:pStyle w:val="Funote"/>
        <w:rPr/>
      </w:pPr>
      <w:r>
        <w:rPr/>
        <w:footnoteRef/>
        <w:tab/>
        <w:t>in den Staub des Todes legen - Heb. Idiom für „tot sein“, s. ähnlich Ijob 7,21; 17,16; 20,11; 21,26; Ps 22,30; Jes 26,19; Dan 12,2. Dass hier - anders als in den obigen Stellen - davon die Rede ist, dass JHWH den Beter in den Staub legen können wird, soll unterstreichen, dass es JHWHs Schuld sein wird, wenn er stirbt.</w:t>
      </w:r>
    </w:p>
  </w:footnote>
  <w:footnote w:id="779">
    <w:p>
      <w:pPr>
        <w:pStyle w:val="Funote"/>
        <w:rPr/>
      </w:pPr>
      <w:r>
        <w:rPr/>
        <w:footnoteRef/>
        <w:tab/>
        <w:t>Aufgegraben sind ([wie] ein Löwe, gebunden sind) - zu diesen Alternativen s. die nächste FN.</w:t>
      </w:r>
    </w:p>
  </w:footnote>
  <w:footnote w:id="780">
    <w:p>
      <w:pPr>
        <w:pStyle w:val="Funote"/>
        <w:rPr/>
      </w:pPr>
      <w:r>
        <w:rPr/>
        <w:footnoteRef/>
        <w:tab/>
        <w:t>Vv. 17-18a: Eine der umstrittensten Stellen in der Bibel überhaupt; hier sind etwas ausführlichere Anmerkungen angebracht. Sie sind dennoch möglichst knapp gehalten; für eine sehr schön verständliche Zfsg. s. z.B. den kürzlich erschienenen Eintrag auf dem Blog Is that in the Bible von Paul Davidson. Das Wort „aufgegraben sind“ findet sich in den verschiedenen Handschriften hauptächlich in zwei Varianten: Als Substantiv ka´ari („wie ein Löwe“) im MT, als Verb ka´ru (s.u.) in anderen Handschriften, u.a. auch in der ältesten existenten Handschrift dieses Verses, XHev/Se4 (für eine Foto der entspr. Stelle s. Hopkin 2005, S. 167). Den Text von MT hatten offenbar auch Tg und Saadja vorliegen; LXX, Sym, Aq, Syr, VUL und Hieronymus dagegen ebenfalls ein Verb. Das ist Schwierigkeit (1). Schwierigkeit (2) ist, dass der Text der Variante ka´ari auf den ersten Blick keinen Sinn macht, gleichzeitig das Wort ka´ru in der zweiten Variante aber nicht zu existieren scheint und wir zu seinem Verständnis auf die alten Übersetzungen angewiesen sind. Schwierigkeit (3) ist dann aber, dass diese das Verb jeweils unterschiedlich verstanden; am wichtigsten: LXX, Syr, VUL: „Sie durchbohrten/gruben auf meine Hände und Füße“; Sym, Aq, Hieronymus: „Sie banden meine Hände und Füße“. Diese textkritische Unsicherheit wird v.a. deshalb so stark diskutiert, weil das „sie durchbohrten meine Hände und Füße“ noch heute sehr häufig als auf Jesus vorausweisender, prophetischer Vers aufgefasst wird. Die Übersetzung „sie durchbohrten/gruben auf“ lässt sich am leichtesten so erklären, dass LXX, Syr und VUL ebenfalls ka´ru vorliegen hatten und dies verstanden als karu mit einem sog. „intrusiven Alef“ (dazu vgl. z.B. Delitzsch 1920 §31; zur Stelle Barré 2004, S. 288) von der Wurzel karah I („graben, bohren“). Die Übersetzung „sie banden“ ist entweder ebenso zu erklären und auf eine sonst in der Bibel nicht verwendete, mit karah I gleichlautende Wurzel karah IV („zusammenbinden“) zurückzuführen (vgl. z.B. KBL3, S. 473; ZLH, S. 350) oder so, dass der ursprüngliche Text nicht ka´ru, sondern ´asru („sie haben gebunden“) gelautet hatte. Dies also sind die ersten drei möglichen Deutungen: * (1) „... wie ein Löwe meine Hände und Füße ...“ - auch durch eine alternative syntaktische Analyse nur schwer erklärlich, für einige Versuche s. aber Alexander 1850, S. 103; Eerdmans 1947, S. 172 nach Ross 1905 und König 1905; Rendsburg 2002b; Swenson 2004, S. 642; Weber 2001, S. 121. * (2) „... sie gruben meine Hände und Füße auf ...“ - so z.B. Gren 2005; Houston/Waltke 2010, S. 393f.; Patterson 2004, S. 223; auch schon Houbigant 1777, S. 14. * (3) „... sie banden meine Hände und Füße ...“ - nach obiger Erklärung (1) z.B. Deissler 1981, S. 103f.; Driver 1946, S. 139; Nõmmik 2014, S. 100; nach Erklärung (2) z.B. Halévy 1893b, S. 292; Vall 1997. Daneben haben einige weitere Vorschläge Schule gemacht und Eingang in dt. Üss. gefunden: * (4) „... meine Hände und Füße sind eingegangen / kurz geworden ...“: ka´ru sei abzuleiten von einer hypothetischen, sonst nicht verwendeten Wurzel karah V („eingehen, kurz werden“); so z.B. Roberts 1973; Kselman 1982, S. 178; zuletzt offenbar Brueggemann/Bellinger 2014. * (5) „... meine Hände und Füße sind aufgebraucht (=erschöpft) ...“: Im ursprünglichen Text habe weder ka´ari noch ka´ru gestanden, sondern ka´lu; so z.B. Craigie 1983, S. 196; Kissane 1953, S. 98.100f. * (6) „... meine Hände und Füße schmerzen ...“: Im ursprünglichen Text habe weder ka´ari noch ka´ru gestanden, sondern ka´abu; so z.B. Weiser 1959, S. 147. Für zwei weitere, zu Unrecht in Vergessenheit geratene Deutungsvorschläge s. Stuart 1852 und Barnes 1936, S. 386. Daneben gibt es weitere, z.T. ganz abwegige Vorschläge. Darüber, dass im ursprünglichen Text ein Verb stand, können wir uns recht sicher sein. Erstens fehlt in 17c nach der Version des MT offensichtlich ein Verb; die alten Ausleger Rashi, Ibn Ezra und Saadja etwa haben aus diesem Grund jeweils ein Verb ergänzen müssen. Zweitens würde nach der Version des MT hier für „Löwe“ eine andere Schreibweise verwendet als in Vv. 14.22, nämlich ´ari statt ´arjeh - was mindestens sehr selten wäre. Drittens werden die Gegner des Psalmisten im Verlauf des Psalms je zweimal mit dem selben Tier verglichen: a: Stiere (V. 13) =&gt; b: Löwen (V. 14) =&gt; c: Hunde (V. 17) =&gt; c': Hunde (V. 21) =&gt; b': Löwen (V. 22a) =&gt; a': Wildstiere (V. 22b). Stünde in V. 17c tatsächlich „Löwe“, wäre dieser Chiasmus zerstört und nur „Löwe“ würde dreimal genannt. Und viertens ist das Gewicht der Handschriften und vielen Übersetzungen, die hier ein Verb haben, sehr stark. Keines dieser Argumente ist zwingend; zusammen weisen sie aber doch recht deutlich darauf, dass im ursprünglichen Text ein Verb stand.Von den obigen Alternativen ist dann sicher (2) vorzuziehen, da (3) - (6) entweder keinen Rückhalt in den alten Übersetzungen und Handschriften haben oder von einem Wort ausgehen müssen, das sich nicht belegen lässt. Außerdem lässt sich nur nach dieser Variante 18a erklären: Gerade deshalb, weil die Gegner dem Psalmisten „Arme und Beine aufgegraben“ haben, kann er nun „all seine Knochen zählen“ - weil ihm das Fleisch von den Knochen gerissen wurde. Auch dieses Verb lässt sich aber nicht mit „durchbohren“ übersetzen, sondern bedeutet „graben“ und wirst meist vom Ausheben eines Brunnen oder eines Grabes verwendet; in diesem Kontext vielleicht am besten „aufreißen“. Sehr überzogen die Üs. von Houston/Waltke 2010, S. 393 („Sie haben Löcher in meine Hände und Füße gebohrt“), die damit spielt, dass man im Dt. und Eng. Brunnen auch „bohren“ kann. Eine eindeutige Parallele zur Kreuzigung Jesu liegt hier also nicht vor. Sie sind aber ja auch so deutlich genug.</w:t>
      </w:r>
    </w:p>
  </w:footnote>
  <w:footnote w:id="781">
    <w:p>
      <w:pPr>
        <w:pStyle w:val="Funote"/>
        <w:rPr/>
      </w:pPr>
      <w:r>
        <w:rPr/>
        <w:footnoteRef/>
        <w:tab/>
        <w:t>Das Aufteilen der Kleidung ist wohl eine Anspielung auf eine Hinrichtungsszene, s. Mk 15,24 parr., Sanh 6,3; vgl. Deissler 1981, S. 111. Der Psalmist schwebt in unmittelbarer Todesgefahr.</w:t>
      </w:r>
    </w:p>
  </w:footnote>
  <w:footnote w:id="782">
    <w:p>
      <w:pPr>
        <w:pStyle w:val="Funote"/>
        <w:rPr/>
      </w:pPr>
      <w:r>
        <w:rPr/>
        <w:footnoteRef/>
        <w:tab/>
        <w:t>Zu sei nicht fern s.o. FN c.</w:t>
      </w:r>
    </w:p>
  </w:footnote>
  <w:footnote w:id="783">
    <w:p>
      <w:pPr>
        <w:pStyle w:val="Funote"/>
        <w:rPr/>
      </w:pPr>
      <w:r>
        <w:rPr/>
        <w:footnoteRef/>
        <w:tab/>
        <w:t>Meine Hilfe, eile zu meiner Hilfe! - Wortspiel: Zwei us. Wörter mit der Bed. „Hilfe“ werden hier verwendet; das erste als Bezeichnung für Gott, das zweite zur Bezeichnung dessen, wozu Gott heraneilen soll. Ein Hilfeschrei in Potenz. Zum ersten Wort (´ejalut), das sich nur hier in der Bibel findet, vgl. das syr. ´ijaluta („Hilfe“). Vgl. auch das verwandte ´ejal in Ps 88,5, das dort auch von LXX, Syr und VUL mit „Hilfe“ übersetzt wird, und auch dazu das syr. Äquivalent (´ijala, „Hilfe“). LXX daher richtig: „meine Hilfe“; VUL kannte es offenbar nicht und übersetzt „meine Stärke“. Letzterem folgen leider die meisten Üss.</w:t>
      </w:r>
    </w:p>
  </w:footnote>
  <w:footnote w:id="784">
    <w:p>
      <w:pPr>
        <w:pStyle w:val="Funote"/>
        <w:rPr/>
      </w:pPr>
      <w:r>
        <w:rPr/>
        <w:footnoteRef/>
        <w:tab/>
        <w:t>der Hunde - W. „des Hundes“, kollektiver Sg. mit Pl.-Bed.</w:t>
      </w:r>
    </w:p>
  </w:footnote>
  <w:footnote w:id="785">
    <w:p>
      <w:pPr>
        <w:pStyle w:val="Funote"/>
        <w:rPr/>
      </w:pPr>
      <w:r>
        <w:rPr/>
        <w:footnoteRef/>
        <w:tab/>
        <w:t>Einzige - wohl poet. Wechselbegriff für „Leben“, s. ebenso Ps 35,17.</w:t>
      </w:r>
    </w:p>
  </w:footnote>
  <w:footnote w:id="786">
    <w:p>
      <w:pPr>
        <w:pStyle w:val="Funote"/>
        <w:rPr/>
      </w:pPr>
      <w:r>
        <w:rPr/>
        <w:footnoteRef/>
        <w:tab/>
        <w:t>der Löwen - W. „des Löwen“, kollektiver Sg. mit Pl.-Bed.</w:t>
      </w:r>
    </w:p>
  </w:footnote>
  <w:footnote w:id="787">
    <w:p>
      <w:pPr>
        <w:pStyle w:val="Funote"/>
        <w:rPr/>
      </w:pPr>
      <w:r>
        <w:rPr/>
        <w:footnoteRef/>
        <w:tab/>
        <w:t>Textkritik: mein Elendes (erhöre mich, du erhörst mich/hast mich erhört) - Laut MT „du erhörst mich/hast mich erhört“. Viele Üss. und Kommentare wollen das ernsthaft so verstehen, dass mitten im Sticho ein Heilsorakel, ein Heilshandeln Gottes o.Ä. anzusetzen ist und der Beter also mitten im Sticho aus einer ganz anderen Situation heraus zu reden beginnt: „Rette mich aus dem Rachen der Löwen / und von den Hörnern der Wildstiere! ... Du hast mir geantwortet.“ Das liegt sehr fern. Entweder haben wir hier einen T-Shift (ein sog. „prekatives Qatal“) vor uns und das Verb mit vermeintlicher Vergangenheits-/Präsensbedeutung wird hier aus poet. Gründen wie ein Imperativ verwendet („antworte mir!“, so Buttenwieser 1938, S. 606; Goldingay 2006, S. 335; Houston/Waltke 2010, S. 394; viele Üss.), oder: LXX, Syr, Sym hatten offenbar in dem ihnen vorliegenden Text nicht anithani („du antwortest mir/hast mir geantwortet“) stehen, sondern anijathi („mein Elendes“), einen weiteren poet. Wechselbegriff für „mein Leben“. Vermutlich ist eher dies der ursprüngliche Text, denn das natürlichste Verständnis des MT („Von den Hörnern der Wildstiere hast du mir geantwortet“) wäre das, dass Gott sich auf den Hörnern des Wildstieres befindet und von dort dem Schreien des Psalmisten antwortet. So auch Kissane 1953, S. 98; Spieckermann 1989, S. 241; Terrien 2003, S. 233 u.a., auch EÜ, GRAIL, HER05. Schön WEIN: „Hole mich aus dem Rachen des Löwen, / mich Armen vom Gehörn der Stiere...!“ Fun Fact: Bei den „Wildstieren“ handelt es sich laut LXX um „Einhörner“; in einigen Üss. hat sich das tatsächlich durchgehalten, z.B. TAF: „Von des Einhorns Hörnern antworte mir!“</w:t>
      </w:r>
    </w:p>
  </w:footnote>
  <w:footnote w:id="788">
    <w:p>
      <w:pPr>
        <w:pStyle w:val="Funote"/>
        <w:rPr/>
      </w:pPr>
      <w:r>
        <w:rPr/>
        <w:footnoteRef/>
        <w:tab/>
        <w:t>deinen Namen - Der „Name“ Gottes steht in Kontexten wie diesem fast stets für „Gott im Menschenmund“: Der Psalmist verspricht, Gott vor seinen Glaubensbrüdern zu preisen, wenn er ihm hilft. Der Übergang von der Bitte zum Dankgelübde kommt hier wie oft sehr plötzlich; mitgedacht werden muss: „[Wenn du dies alles tust,] will ich dich vor meinen Brüdern preisen.“ Gut daher MEN, R-S: „Dann will ich deinen Namen meinen Brüdern kundtun“; vielleicht sogar etwas wie die Übersetzungsempfehlung der T4T: „If you save me from them, I will declare to my fellow Israelis...“</w:t>
      </w:r>
    </w:p>
  </w:footnote>
  <w:footnote w:id="789">
    <w:p>
      <w:pPr>
        <w:pStyle w:val="Funote"/>
        <w:rPr/>
      </w:pPr>
      <w:r>
        <w:rPr/>
        <w:footnoteRef/>
        <w:tab/>
        <w:t>Es folgt eine „Probe der Rede, ... welche der Dichter nach V. 23 zum Ruhme JHVHes im Verein seiner Gesinnungsgenossen halten will, wenn er ihn aus seiner Not gerettet hat.“ (Ehrlich 1905, S. 47)</w:t>
      </w:r>
    </w:p>
  </w:footnote>
  <w:footnote w:id="790">
    <w:p>
      <w:pPr>
        <w:pStyle w:val="Funote"/>
        <w:rPr/>
      </w:pPr>
      <w:r>
        <w:rPr/>
        <w:footnoteRef/>
        <w:tab/>
        <w:t>Nachkommen Jakobs - Häufiger Wechselbegriff für die »Israeliten«, die Nachfahren ihres Stammvaters Jakob/Israel (vgl. Jakob (WiBiLex)). Der Psalmist verspricht, als Bindeglied zwischen der in Vv. 4-6 berichteten Verehrung der »Vorfahren« und der Verehrung der aktuellen Kultgemeinde, den »Nachkommen Jakobs«, zu fungieren: Schon diese haben Gott verehrt und auch deren Nachkommen will nun der Psalmist zur Verehrung Gottes aufrufen.</w:t>
      </w:r>
    </w:p>
  </w:footnote>
  <w:footnote w:id="791">
    <w:p>
      <w:pPr>
        <w:pStyle w:val="Funote"/>
        <w:rPr/>
      </w:pPr>
      <w:r>
        <w:rPr/>
        <w:footnoteRef/>
        <w:tab/>
        <w:t>Erschauert, nämlich in Ehrfurcht.</w:t>
      </w:r>
    </w:p>
  </w:footnote>
  <w:footnote w:id="792">
    <w:p>
      <w:pPr>
        <w:pStyle w:val="Funote"/>
        <w:rPr/>
      </w:pPr>
      <w:r>
        <w:rPr/>
        <w:footnoteRef/>
        <w:tab/>
        <w:t>Ein unnatürlich langer Sticho; vermutlich soll so stilistisch nachgebildet werden, dass der Psalmist hier seine eigene wörtliche Rede zitiert.</w:t>
      </w:r>
    </w:p>
  </w:footnote>
  <w:footnote w:id="793">
    <w:p>
      <w:pPr>
        <w:pStyle w:val="Funote"/>
        <w:rPr/>
      </w:pPr>
      <w:r>
        <w:rPr/>
        <w:footnoteRef/>
        <w:tab/>
        <w:t>Er hat nicht sein Gesicht vor ihm verborgen - 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27,9; 30,8; 44,25; 69,18; 88,15; 102,3; 104,29; 143,7; Jes 8,17; 54,8; 59,2; 64,6; Jer 33,5; Ez 39,23f.29; Mic 3,4): JHWH verbirgt sein Gesicht vor jemandem = JHWH schaut jemanden nicht mehr gnädig an (und lässt so zu, dass Unheil über ihn hereinbricht). Der zur Probe gegebene Lobpreis ist suggestiv formuliert: Gott hat nicht verachtet, nicht verabscheut und nicht sein Gesicht verborgen; erst mit dem vierten Verb folgt eine positive Formulierung. Das macht Sinn: V. 25 ist immer noch Teil des Bittgebets, mit dem der Beter JHWH zur Umkehr bewegen will: Er soll doch bitte aufhören, sein Gesicht vor ihm zu verbergen.</w:t>
      </w:r>
    </w:p>
  </w:footnote>
  <w:footnote w:id="794">
    <w:p>
      <w:pPr>
        <w:pStyle w:val="Funote"/>
        <w:rPr/>
      </w:pPr>
      <w:r>
        <w:rPr/>
        <w:footnoteRef/>
        <w:tab/>
        <w:t>Von dir [wird sein] mein Lobgesang in großer Kultgemeinde - d.h. Du wirst mir durch deine Hilfe Anlass zum Lobgesang geben (Driver 1898, S. 58 FN 2). Noch mal wird der Bestechungsversuch deutlich gemacht: JHWH muss helfen, dann wird der Psalmist im Gegenzug besagten Lobgesang anstimmen. Gut übersetzt NGÜ: „Du, Her, gibst mir Grund dafür, dich zu loben inmitten der großen Gemeinde.“</w:t>
      </w:r>
    </w:p>
  </w:footnote>
  <w:footnote w:id="795">
    <w:p>
      <w:pPr>
        <w:pStyle w:val="Funote"/>
        <w:rPr/>
      </w:pPr>
      <w:r>
        <w:rPr/>
        <w:footnoteRef/>
        <w:tab/>
        <w:t>V. 27c („euer Herz“) zeigt, dass auch V. 27 eine „Probe einer später zu haltenden Rede“ ist; worin also das Gelübde besteht, lässt sich aus V. 27 erschließen: Der Psalmist gelobt ein Todah-Mahl - ein Dankopfermahl, das der Dankende im Vorhof des Tempels für bis zu 200 andere JHWH-Gläubige spendierte. Vgl. z.B. Deissler 1981, S. 116. Gut wieder WEIN: „...und vor den Augen aller, die dich fürchten, / das Opfer bringen, das ich dir gelobt.“ Textkritik: LXX und Syr haben den Text offenbar nicht als „Rede-probe“ verstanden und daher „euer Herz“ geändert nach „ihr Herz“; dem folgen auch einige Üss.</w:t>
      </w:r>
    </w:p>
  </w:footnote>
  <w:footnote w:id="796">
    <w:p>
      <w:pPr>
        <w:pStyle w:val="Funote"/>
        <w:rPr/>
      </w:pPr>
      <w:r>
        <w:rPr/>
        <w:footnoteRef/>
        <w:tab/>
        <w:t>Elende - urspr. Bed. d. Wortes: »elend, arm«; in späteren bib. Texten auch ein terminus technicus für JHWH-Verehrer. Diese beiden Bedd. lassen sich oft nicht völlig trennen; auch hier ist wohl beides gemeint.</w:t>
      </w:r>
    </w:p>
  </w:footnote>
  <w:footnote w:id="797">
    <w:p>
      <w:pPr>
        <w:pStyle w:val="Funote"/>
        <w:rPr/>
      </w:pPr>
      <w:r>
        <w:rPr/>
        <w:footnoteRef/>
        <w:tab/>
        <w:t>die ihn verehren - W. »die ihn suchen«; in späteren Texten aber terminus technicus für den JHWH-Glauben (vgl. THAT I, Sp. 464: »sich zu Jahwe halten«).</w:t>
      </w:r>
    </w:p>
  </w:footnote>
  <w:footnote w:id="798">
    <w:p>
      <w:pPr>
        <w:pStyle w:val="Funote"/>
        <w:rPr/>
      </w:pPr>
      <w:r>
        <w:rPr/>
        <w:footnoteRef/>
        <w:tab/>
        <w:t>Aufleben soll euer Herz für immer scheint eine Art „Banquet-Toast“ (Gordis 1949, S. 171) gewesen zu sein. Die ersten beiden Zeilen sind offen in die Runde gesprochen - wohl einleitend vor Beginn des Todah-Mahls, um das „Ziel“ des Mahl zum Ausdruck zu bringen -, die letzte Zeile als Toast zur Eröffnung des Mahls selbst.</w:t>
      </w:r>
    </w:p>
  </w:footnote>
  <w:footnote w:id="799">
    <w:p>
      <w:pPr>
        <w:pStyle w:val="Funote"/>
        <w:rPr/>
      </w:pPr>
      <w:r>
        <w:rPr/>
        <w:footnoteRef/>
        <w:tab/>
        <w:t>[davon] - schwierige Stelle; der Zusammenhang von Vv. 28-32 mit vorigen Teil des Psalms ist nicht leicht zu erkennen. Häufig hält man diese Verse daher für eine spätere Hinzufügung. Wahrscheinlich lassen sie sich aber auch so erklären: So, wie der Psalmist laut Vv. 23-25 den JHWH-gläubigen Israeliten von JHWHs Heilshandeln berichtet hat, wird dieser Bericht auch an die andersgläubigen Nationen dringen und beeindruckt von Gottes Macht werden sie sich zu JHWH bekehren. S. zum Gedanken z.B. Ps 51,15f. und vgl. gut Kissane 1953, S. 102.</w:t>
      </w:r>
    </w:p>
  </w:footnote>
  <w:footnote w:id="800">
    <w:p>
      <w:pPr>
        <w:pStyle w:val="Funote"/>
        <w:rPr/>
      </w:pPr>
      <w:r>
        <w:rPr/>
        <w:footnoteRef/>
        <w:tab/>
        <w:t>Alle Enden der Erde = „die ganze Welt“.</w:t>
      </w:r>
    </w:p>
  </w:footnote>
  <w:footnote w:id="801">
    <w:p>
      <w:pPr>
        <w:pStyle w:val="Funote"/>
        <w:rPr/>
      </w:pPr>
      <w:r>
        <w:rPr/>
        <w:footnoteRef/>
        <w:tab/>
        <w:t>Textkritik: vor dir (vor ihm) - „vor dir“ nach MT; vor ihm nach einigen Handschriften, LXX, Syr, Hieronymus. Häufig wird daher in Kommentaren und Üss. davon ausgegangen, dass Letzteres die ursprüngliche Version war, und der Text zu „vor ihm“ geändert. Wohl unnötig; der unvermittelte Wechsel von einer Person zur anderen ist in der bib. Poesie ein häufiges Stilmittel („P-Shift“); die Üs. von LXX, Syr und Hieronymus lassen sich auch damit erklären, dass sie das erkannt und idiomatscher in ihre Sprachen übertragen haben.</w:t>
      </w:r>
    </w:p>
  </w:footnote>
  <w:footnote w:id="802">
    <w:p>
      <w:pPr>
        <w:pStyle w:val="Funote"/>
        <w:rPr/>
      </w:pPr>
      <w:r>
        <w:rPr/>
        <w:footnoteRef/>
        <w:tab/>
        <w:t>[mit den Worten] - Auch V. 29 ist wahrscheinlich ein Zitat; hier das Zitat von „allen Sippen der Völker“, die damit Gott als rechtmäßigen Herrscher über die Völker anerkennen. Das ki („Ja!“, „denn“) ist dann wohl ein sog. „ki recitativum“ und dient genau dem Zweck, das folgende als wörtliche Rede zu markieren.</w:t>
      </w:r>
    </w:p>
  </w:footnote>
  <w:footnote w:id="803">
    <w:p>
      <w:pPr>
        <w:pStyle w:val="Funote"/>
        <w:rPr/>
      </w:pPr>
      <w:r>
        <w:rPr/>
        <w:footnoteRef/>
        <w:tab/>
        <w:t>Textkritik: Die alternative Üs. ist die wörtliche Üs. des MT, der offensichtlich keinen Sinn macht. Beinahe allgemein anerkannt ist daher die Textkorrektur von ´aklu wajischtachawu („Es aßen und warfen sich nieder“; Konsonanten: ´klw wjschtchw) zu ´ak lo jischtachawu („Ja, vor ihm warfen sich nieder“; Konsonanten: ´k lw jschtchw). Für eine noch schonendere Textkorrektur s. die übernächste FN.</w:t>
      </w:r>
    </w:p>
  </w:footnote>
  <w:footnote w:id="804">
    <w:p>
      <w:pPr>
        <w:pStyle w:val="Funote"/>
        <w:rPr/>
      </w:pPr>
      <w:r>
        <w:rPr/>
        <w:footnoteRef/>
        <w:tab/>
        <w:t>seinem Gesicht - d.h. „vor ihm“.</w:t>
      </w:r>
    </w:p>
  </w:footnote>
  <w:footnote w:id="805">
    <w:p>
      <w:pPr>
        <w:pStyle w:val="Funote"/>
        <w:rPr/>
      </w:pPr>
      <w:r>
        <w:rPr/>
        <w:footnoteRef/>
        <w:tab/>
        <w:t>Vv. 30f. - Wir folgen hier der Deutung von Keel-Leu 1970, der auch Kselman 1982, S. 189 und Davis 1992, S. 101, FN 2 folgen: Laut mehrfachem Zeugnis der Bibel können Gestorbene JHWH gar nicht preisen (s. Ps 6,6; 30,10; 88,11f.; 115,17; Jes 38,18; Sir 17,22f.). Vv. 30c darf daher nicht zu 30b gezogen werden („Es werden sich verbeugen alle Fetten der Erde vor seinem Gesicht / und der, der seine Seele nicht am Leben erhalten konnte.“), sondern muss als Nebensatz von V. 31a gedeutet werden: „[Von dem,] der seine Seele nicht am Leben erhalten konnte, / werden [seine] Nachkommen ihm dienen“. Die „Fetten“, die, die „in den Staub sinken“ (dazu s.o. FN v) und die, die „ihre Seele nicht am Leben erhalten konnten“ bilden einen dreifachen Merismus, mit dem die Gesamtheit der andersgläubigen Völker bezeichnet werden: Die „Fetten“ sind dabei die Gesunden und Reichen unter ihnen (sicher in Abgrenzung von den „elenden“ Israeliten in V. 27); die, die „in den Staub sinken“ die Sterbenden und die, die „ihre Seele nicht am Leben erhalten konnten“ die bereits Gestorbenen. Sogar sie werden über den „Umweg“ ihrer Nachfahren in die allgemeine JHWH-Verehrung eingegliedert. tFN: Diese Deutung ist übrigens vielleicht auch mit einer noch schonenderen Textkorrektur als der in 30a möglich: Das Wayyiqtol wajischtachawu ist umzupunktieren zum Weyiqtol wejischtachawu; das we fungiert dabei als „Waw apodoseos“. ´aklu ist ein independenter asyndetischer Relativsatz wie z.B. auch in Jes 41,24, dann: Wer aß, wird sich niederwerfen, (gemeint sind die zum Mahl geladenen Armen aus V. 27) : Alle Fetten der Erde (sc. die Reichen) werden sich vor seinem Gesicht verbeugen; Und von allen, die hinabgestiegen sind in den Staub - : Von dem, der seine Seele nicht am Leben erhalten konnte - : Werden [seine] Nachkommen ihm dienen.</w:t>
      </w:r>
    </w:p>
  </w:footnote>
  <w:footnote w:id="806">
    <w:p>
      <w:pPr>
        <w:pStyle w:val="Funote"/>
        <w:rPr/>
      </w:pPr>
      <w:r>
        <w:rPr/>
        <w:footnoteRef/>
        <w:tab/>
        <w:t>Textkritik: W. „sie werden kommen“; das Wort gehört wie in der LXX noch zum letzten Vers („der Generation, [die noch kommen wird]“); so fast alle Exegeten; eine neuere Ausnahme z.B. Houston/Waltke 2010, S. 396.</w:t>
      </w:r>
    </w:p>
  </w:footnote>
  <w:footnote w:id="807">
    <w:p>
      <w:pPr>
        <w:pStyle w:val="Funote"/>
        <w:rPr/>
      </w:pPr>
      <w:r>
        <w:rPr/>
        <w:footnoteRef/>
        <w:tab/>
        <w:t>[Status: Sehr gut]</w:t>
      </w:r>
    </w:p>
  </w:footnote>
  <w:footnote w:id="808">
    <w:p>
      <w:pPr>
        <w:pStyle w:val="Funote"/>
        <w:rPr/>
      </w:pPr>
      <w:r>
        <w:rPr/>
        <w:footnoteRef/>
        <w:tab/>
        <w:t>E. Zenger übersetzt in seinem Kommentar: „»Mein Hirte ist der Herr« (und niemand sonst)“ (Hossfeld/Zenger 1993, 153). Psalm 23 vergleicht Gottes Fürsorge mit der eines Hirten für seine Schafe.</w:t>
      </w:r>
    </w:p>
  </w:footnote>
  <w:footnote w:id="809">
    <w:p>
      <w:pPr>
        <w:pStyle w:val="Funote"/>
        <w:rPr/>
      </w:pPr>
      <w:r>
        <w:rPr/>
        <w:footnoteRef/>
        <w:tab/>
        <w:t>Freier formuliert: „Mir fehlt nie etwas“. Der Gedanke des „nie“ scheint durch die Formulierung mit Ipf. ausgedrückt zu werden (Vgl. LUT, REB, SLT, EÜ). Unter Umständen auch möglich: „Ich werde nicht fehlen“ i.S.v. „ich werde nicht verloren gehen“,vgl. 1Kön 17,14 („Das Öl soll nicht fehlen“); Jes 32,6 („Der Trank des Durstigen fehlt“); vgl. auch Dahood 1965, S. 146</w:t>
      </w:r>
    </w:p>
  </w:footnote>
  <w:footnote w:id="810">
    <w:p>
      <w:pPr>
        <w:pStyle w:val="Funote"/>
        <w:rPr/>
      </w:pPr>
      <w:r>
        <w:rPr/>
        <w:footnoteRef/>
        <w:tab/>
        <w:t>so Waltke 2010, S. 434</w:t>
      </w:r>
    </w:p>
  </w:footnote>
  <w:footnote w:id="811">
    <w:p>
      <w:pPr>
        <w:pStyle w:val="Funote"/>
        <w:rPr/>
      </w:pPr>
      <w:r>
        <w:rPr/>
        <w:footnoteRef/>
        <w:tab/>
        <w:t>Die Constructus-Verbindung hier kann verschieden aufgelöst werden. Diese Übersetzung ist wörtlicher; s.a. NGÜ, GNB.</w:t>
      </w:r>
    </w:p>
  </w:footnote>
  <w:footnote w:id="812">
    <w:p>
      <w:pPr>
        <w:pStyle w:val="Funote"/>
        <w:rPr/>
      </w:pPr>
      <w:r>
        <w:rPr/>
        <w:footnoteRef/>
        <w:tab/>
        <w:t>„</w:t>
      </w:r>
      <w:r>
        <w:rPr/>
        <w:t>Er sorgt dafür, dass ich mich ... ausruhen kann“ Auf Hebräisch eine einzige Verbform im Hifil. Das Hifil drückt aus, dass JHWH hier dafür sorgt, dass etwas geschieht; also die Handlung ermöglicht. Wenn Schafe sich hinlegen und ausruhen, dann schlafen oder wiederkäuen sie. Das ist hier im Blick. Nur im Stehen fressen sie. vgl. Clines 2007, S. 70f.; vgl. auch NAB: „In green pastures you let me graze“</w:t>
      </w:r>
    </w:p>
  </w:footnote>
  <w:footnote w:id="813">
    <w:p>
      <w:pPr>
        <w:pStyle w:val="Funote"/>
        <w:rPr/>
      </w:pPr>
      <w:r>
        <w:rPr/>
        <w:footnoteRef/>
        <w:tab/>
        <w:t>Gelegentlich wird dies verstanden i.S.v. „Wasser, an denen man rasten kann“ - so z.B. Deissler 1989: „Wasser der Rastplätze“; Nötscher 1959: „Wasser mit Ruheplätzen“; Zenger 1987: „Ruhe an Wassern“; Zuber 1986: „Wassern der Ruheplätze“. Dag. Ehrlich 1905, S. 60: „[... Der Ausdruck] ist weder Wasser der Erquickung [...], noch Wasser, an denen man ruhen kann, was doch alle Wasser sind. Der Ausdruck bezeichnet ruhige, nicht reissende Wasser. Denn tiefe, reissende Wasser scheuen die Tiere, namentlich Schafe, wenn sie das Maul zum Trinken oder auch nur den Fuss hineintun.“ Der Sinn von „gut trinkbarem Wasser“ legt sich auch deshalb nahe, weil der Halbvers parallel steht zu v. 2a, in dem es um schmackhaftes - d.h., „gut essbares“ - Gras geht; vgl. auch Clines 2007, S. 73. Die nächste deutsche Entsprechung ist daher vermutlich etwas wie „murmelnde Bächlein“ oder etwas Ähnliches.</w:t>
      </w:r>
    </w:p>
  </w:footnote>
  <w:footnote w:id="814">
    <w:p>
      <w:pPr>
        <w:pStyle w:val="Funote"/>
        <w:rPr/>
      </w:pPr>
      <w:r>
        <w:rPr/>
        <w:footnoteRef/>
        <w:tab/>
        <w:t xml:space="preserve">Das Wort </w:t>
      </w:r>
      <w:r>
        <w:rPr>
          <w:rtl w:val="true"/>
          <w:lang w:bidi="he-IL"/>
        </w:rPr>
        <w:t>נֶפֶשׁ</w:t>
      </w:r>
      <w:r>
        <w:rPr/>
        <w:t xml:space="preserve"> </w:t>
      </w:r>
      <w:r>
        <w:rPr/>
        <w:t xml:space="preserve">bezeichnet den Atem eines Lebewesens, die Kehle, mit der man atmet, sowie die grundsätzliche Lebenskraft/Lebendigkeit/Vitalität, den Personenkern. Die traditionelle Übersetzung „Seele“ erinnert an einen vermeintlichen Körper-Seele-Gegensatz, an den im hebräischen Urtext überhaupt nicht gedacht ist. (Vgl. Wibilex.de, Art. „Leben“, und Gesenius, Art. </w:t>
      </w:r>
      <w:r>
        <w:rPr>
          <w:rtl w:val="true"/>
          <w:lang w:bidi="he-IL"/>
        </w:rPr>
        <w:t>נֶפֶשׁ</w:t>
      </w:r>
      <w:r>
        <w:rPr/>
        <w:t>). Im Kontext dieses Psalms ließe sich das Wort sowohl auf Bildebene ( „Meine Kehle erfrischt er.“) als auch auf Sachebene („Mein innerstes Wesen erneuert er.“) übersetzen. Die gewählte Formulierung („Meine Lebenskraft bringt er zurück“) ist sowohl für die Bildebene als auch für die Sachebene offen.</w:t>
      </w:r>
    </w:p>
  </w:footnote>
  <w:footnote w:id="815">
    <w:p>
      <w:pPr>
        <w:pStyle w:val="Funote"/>
        <w:rPr/>
      </w:pPr>
      <w:r>
        <w:rPr/>
        <w:footnoteRef/>
        <w:tab/>
        <w:t>Die Einheitsübersetzung hat: „Er stillt mein Verlangen.“ E. Zenger schlägt in seinem Kommentar als Alternative hierzu vor: „Er stellt meine Lebenskraft wieder her.“ (Hossfeld/Zenger 1993, 153)</w:t>
      </w:r>
    </w:p>
  </w:footnote>
  <w:footnote w:id="816">
    <w:p>
      <w:pPr>
        <w:pStyle w:val="Funote"/>
        <w:rPr/>
      </w:pPr>
      <w:r>
        <w:rPr/>
        <w:footnoteRef/>
        <w:tab/>
        <w:t>Wir folgen den meisten wissenschaftlichen Kommentaren mit der wörtlichen Übersetzung „Tal des Todesschattens“. Gemeint ist vermutlich ein Tal mit lebensgefährlich tiefem Schatten (Kraus 61989, 339) bzw. ein Tal, auf dem ein Schatten von Todesgefahr liegt (Clines 2007, 76). Eine andere etymologische Ableitung des hebräischen Textes ergäbe die Übersetzung „Tal der extremen Dunkelheit“.</w:t>
      </w:r>
    </w:p>
  </w:footnote>
  <w:footnote w:id="817">
    <w:p>
      <w:pPr>
        <w:pStyle w:val="Funote"/>
        <w:rPr/>
      </w:pPr>
      <w:r>
        <w:rPr/>
        <w:footnoteRef/>
        <w:tab/>
        <w:t>vgl. Ehrlich 1905, S. 60: „</w:t>
      </w:r>
      <w:r>
        <w:rPr>
          <w:rtl w:val="true"/>
          <w:lang w:bidi="he-IL"/>
        </w:rPr>
        <w:t>ילך</w:t>
      </w:r>
      <w:r>
        <w:rPr/>
        <w:t xml:space="preserve"> </w:t>
      </w:r>
      <w:r>
        <w:rPr/>
        <w:t>kann nur ein Hingehen oder Hineingehen, nicht aber eine Bewegung innerhalb gegebener Grenzen bezeichnen.“</w:t>
      </w:r>
    </w:p>
  </w:footnote>
  <w:footnote w:id="818">
    <w:p>
      <w:pPr>
        <w:pStyle w:val="Funote"/>
        <w:rPr/>
      </w:pPr>
      <w:r>
        <w:rPr/>
        <w:footnoteRef/>
        <w:tab/>
        <w:t>vgl. Sabottka 1972, S. 129</w:t>
      </w:r>
    </w:p>
  </w:footnote>
  <w:footnote w:id="819">
    <w:p>
      <w:pPr>
        <w:pStyle w:val="Funote"/>
        <w:rPr/>
      </w:pPr>
      <w:r>
        <w:rPr>
          <w:rtl w:val="true"/>
          <w:lang w:bidi="he-IL"/>
        </w:rPr>
        <w:footnoteRef/>
        <w:tab/>
        <w:t>שֵבֶט</w:t>
      </w:r>
      <w:r>
        <w:rPr/>
        <w:t xml:space="preserve"> </w:t>
      </w:r>
      <w:r>
        <w:rPr/>
        <w:t xml:space="preserve">und </w:t>
      </w:r>
      <w:r>
        <w:rPr>
          <w:rtl w:val="true"/>
          <w:lang w:bidi="he-IL"/>
        </w:rPr>
        <w:t>מִשעֶנֶת</w:t>
      </w:r>
      <w:r>
        <w:rPr/>
        <w:t xml:space="preserve"> </w:t>
      </w:r>
      <w:r>
        <w:rPr/>
        <w:t xml:space="preserve">werden in der Regel verstanden als Keule zur Abwehr wilder Tiere und als Hirtenstab als Gehhilfe oder zur Unterstützung der Schafe bei schwierigen Wegstellen; vgl. z.B. Briggs 1906, S. 209; Deissler 1989, S. 97; Nötscher 1959, S. 44; Zenger 1987, S. 229. Vermutlich sind aber sowohl Stab als auch Keule als Waffen zu verstehen; zum Waffenpaar „Stab und Keule“ vgl. die Diskussion der Hirtenkeule in der BODO-Datenbank. Vgl. außerdem die Artikel zu </w:t>
      </w:r>
      <w:r>
        <w:rPr>
          <w:rtl w:val="true"/>
          <w:lang w:bidi="he-IL"/>
        </w:rPr>
        <w:t>שֵבֶט</w:t>
      </w:r>
      <w:r>
        <w:rPr/>
        <w:t xml:space="preserve"> </w:t>
      </w:r>
      <w:r>
        <w:rPr/>
        <w:t xml:space="preserve">und </w:t>
      </w:r>
      <w:r>
        <w:rPr>
          <w:rtl w:val="true"/>
          <w:lang w:bidi="he-IL"/>
        </w:rPr>
        <w:t>מִשעֶנֶת</w:t>
      </w:r>
      <w:r>
        <w:rPr/>
        <w:t xml:space="preserve"> </w:t>
      </w:r>
      <w:r>
        <w:rPr/>
        <w:t xml:space="preserve">in der </w:t>
      </w:r>
      <w:r>
        <w:rPr>
          <w:rtl w:val="true"/>
          <w:lang w:bidi="he-IL"/>
        </w:rPr>
        <w:t>כלי</w:t>
      </w:r>
      <w:r>
        <w:rPr/>
        <w:t>-database.</w:t>
      </w:r>
    </w:p>
  </w:footnote>
  <w:footnote w:id="820">
    <w:p>
      <w:pPr>
        <w:pStyle w:val="Funote"/>
        <w:rPr/>
      </w:pPr>
      <w:r>
        <w:rPr/>
        <w:footnoteRef/>
        <w:tab/>
        <w:t>In den Kommentaren wird als Übersetzung „Mut geben“ (Kraus 61989, 334) oder „Zuversicht geben“ (Hossfeld/Zenger 1993, 153) vorgeschlagen. Denkt man die Hirtenmetapher zu Ende, dann passt in Bezug auf Schafe (vgl. 1b) „beruhigen“ oder „beschwichtigen“ besser als der auf Menschen bezogene Begriff „trösten“ (vgl. NET Ps 23,4, Fußnote 1).</w:t>
      </w:r>
    </w:p>
  </w:footnote>
  <w:footnote w:id="821">
    <w:p>
      <w:pPr>
        <w:pStyle w:val="Funote"/>
        <w:rPr/>
      </w:pPr>
      <w:r>
        <w:rPr/>
        <w:footnoteRef/>
        <w:tab/>
        <w:t xml:space="preserve">zu </w:t>
      </w:r>
      <w:r>
        <w:rPr>
          <w:rtl w:val="true"/>
          <w:lang w:bidi="he-IL"/>
        </w:rPr>
        <w:t>שוּלחָנ</w:t>
      </w:r>
      <w:r>
        <w:rPr/>
        <w:t xml:space="preserve"> </w:t>
      </w:r>
      <w:r>
        <w:rPr/>
        <w:t xml:space="preserve">wird häufig - ausgehend von kulturgeschichtlichen und etymologischen Erwägungen - kommentiert, dass das Wort eigentlich „Ledermatte“ bedeute und es kulturgeschichtlich auch dies bedeuten müsse (vgl. z.B. Briggs 1906, S. 212; Clines 2007, S. 77; ähnlich Terrien 2003, S. 241). Unter Umständen ist dies aber auf eine falsche Etymologie zurückzuführen (so Dahood 1965, S. 147; ähnlich Terrien 2003, S. 241) und </w:t>
      </w:r>
      <w:r>
        <w:rPr>
          <w:rtl w:val="true"/>
          <w:lang w:bidi="he-IL"/>
        </w:rPr>
        <w:t>שוּלחָנ</w:t>
      </w:r>
      <w:r>
        <w:rPr/>
        <w:t xml:space="preserve"> </w:t>
      </w:r>
      <w:r>
        <w:rPr/>
        <w:t>kann durchaus (auch) „Tisch“ bedeuten, wenn auch der Kontext hier eine Ledermatte doch als die näherliegende Alternative erscheinen lässt. Unabhängig davon wird es auch gelegentlich gelesen als Metonymie für das auf dem Tisch / auf der Ledermatte bereitete Festmahl (so etwa Clines 2007, S. 77; Waltke 2010, S. 442), was zwar wohl die beste Übersetzungsweise, aber keine wörtliche Übersetzung wäre, so dass wir es hier nur als Übersetzungsalternative listen und für die Lesefassung empfehlen können.</w:t>
      </w:r>
    </w:p>
  </w:footnote>
  <w:footnote w:id="822">
    <w:p>
      <w:pPr>
        <w:pStyle w:val="Funote"/>
        <w:rPr/>
      </w:pPr>
      <w:r>
        <w:rPr/>
        <w:footnoteRef/>
        <w:tab/>
        <w:t xml:space="preserve">Während das Verb, von dem dieses Wort abgeleitet ist, speziell die Feindseligkeit der Gegner betont, ist das Wort </w:t>
      </w:r>
      <w:r>
        <w:rPr>
          <w:rtl w:val="true"/>
          <w:lang w:bidi="he-IL"/>
        </w:rPr>
        <w:t>צֹרֵר</w:t>
      </w:r>
      <w:r>
        <w:rPr/>
        <w:t xml:space="preserve"> </w:t>
      </w:r>
      <w:r>
        <w:rPr/>
        <w:t>ein Kollektivbegriff für persönliche Feinde.</w:t>
      </w:r>
    </w:p>
  </w:footnote>
  <w:footnote w:id="823">
    <w:p>
      <w:pPr>
        <w:pStyle w:val="Funote"/>
        <w:rPr/>
      </w:pPr>
      <w:r>
        <w:rPr/>
        <w:footnoteRef/>
        <w:tab/>
        <w:t>pluralis maiestatis / intensitatis; so Sabottka 1972, S. 129</w:t>
      </w:r>
    </w:p>
  </w:footnote>
  <w:footnote w:id="824">
    <w:p>
      <w:pPr>
        <w:pStyle w:val="Funote"/>
        <w:rPr/>
      </w:pPr>
      <w:r>
        <w:rPr/>
        <w:footnoteRef/>
        <w:tab/>
        <w:t>Hier ist keine kultische Salbung gemeint, dagegen spricht schon das verwendete Verb (</w:t>
      </w:r>
      <w:r>
        <w:rPr>
          <w:rtl w:val="true"/>
          <w:lang w:bidi="he-IL"/>
        </w:rPr>
        <w:t>דָשַׁן</w:t>
      </w:r>
      <w:r>
        <w:rPr/>
        <w:t xml:space="preserve"> </w:t>
      </w:r>
      <w:r>
        <w:rPr/>
        <w:t xml:space="preserve">statt sonst </w:t>
      </w:r>
      <w:r>
        <w:rPr>
          <w:rtl w:val="true"/>
          <w:lang w:bidi="he-IL"/>
        </w:rPr>
        <w:t>מָשָׁח</w:t>
      </w:r>
      <w:r>
        <w:rPr/>
        <w:t>). Die Betonung liegt eher auf seiner häufigen Grundbedeutung „erfrischen“, sonst auch „einfetten“. Dabei handelt es sich wohl um eine hebräische Sitte, nach der der Gastgeber seinem Gast den Kopf einölt (vgl. Briggs 1906, S. 210; Deissler 1989, S. 98; Zenger 1987, S. 231).</w:t>
      </w:r>
    </w:p>
  </w:footnote>
  <w:footnote w:id="825">
    <w:p>
      <w:pPr>
        <w:pStyle w:val="Funote"/>
        <w:rPr/>
      </w:pPr>
      <w:r>
        <w:rPr/>
        <w:footnoteRef/>
        <w:tab/>
        <w:t>„</w:t>
      </w:r>
      <w:r>
        <w:rPr/>
        <w:t>randvoll (fließt über)“ ist wörtlich eigentlich ein Substantiv: „Mein Becher [ist] Überfluss“; der Einsatz von Substantiven als Adjektiven ist aber ganz gewöhnlich im Hebräischen; s. z.B. GKC §141c.</w:t>
      </w:r>
    </w:p>
  </w:footnote>
  <w:footnote w:id="826">
    <w:p>
      <w:pPr>
        <w:pStyle w:val="Funote"/>
        <w:rPr/>
      </w:pPr>
      <w:r>
        <w:rPr/>
        <w:footnoteRef/>
        <w:tab/>
        <w:t>An dieser Stelle kann das Wort sowohl bekräftigend als auch einschränkend verstanden werden.</w:t>
      </w:r>
    </w:p>
  </w:footnote>
  <w:footnote w:id="827">
    <w:p>
      <w:pPr>
        <w:pStyle w:val="Funote"/>
        <w:rPr/>
      </w:pPr>
      <w:r>
        <w:rPr/>
        <w:footnoteRef/>
        <w:tab/>
        <w:t>nach Knauf 2001, S. 556.</w:t>
      </w:r>
    </w:p>
  </w:footnote>
  <w:footnote w:id="828">
    <w:p>
      <w:pPr>
        <w:pStyle w:val="Funote"/>
        <w:rPr/>
      </w:pPr>
      <w:r>
        <w:rPr/>
        <w:footnoteRef/>
        <w:tab/>
        <w:t>Die Konsonanten des hebräischen Textes lassen sich entweder deuten als „und ich werde zurückkehren“ (so die masoretischen Handschriften) oder als „und ich werde wohnen“ (ähnlich die Septuaginta: „und mein Wohnen“). Vgl. Hossfeld/Zenger 1993, 153, und Kraus 61989, 334.</w:t>
      </w:r>
    </w:p>
  </w:footnote>
  <w:footnote w:id="829">
    <w:p>
      <w:pPr>
        <w:pStyle w:val="Funote"/>
        <w:rPr/>
      </w:pPr>
      <w:r>
        <w:rPr/>
        <w:footnoteRef/>
        <w:tab/>
        <w:t>[Status: Zuverlässig]</w:t>
      </w:r>
    </w:p>
  </w:footnote>
  <w:footnote w:id="830">
    <w:p>
      <w:pPr>
        <w:pStyle w:val="Funote"/>
        <w:rPr/>
      </w:pPr>
      <w:r>
        <w:rPr/>
        <w:footnoteRef/>
        <w:tab/>
        <w:t>Die „Tempelweihe“ ist das seit 165 v. Chr. begangene Fest der Wiederherstellung des Tempels (vgl. 1Makk 4,52ff; 2Makk 10,5ff; Joh 10,22). Nach Sopherim 18,2 wurde der Psalm in der Tat zu dieser Gelegenheit gesungen.</w:t>
      </w:r>
    </w:p>
  </w:footnote>
  <w:footnote w:id="831">
    <w:p>
      <w:pPr>
        <w:pStyle w:val="Funote"/>
        <w:rPr/>
      </w:pPr>
      <w:r>
        <w:rPr/>
        <w:footnoteRef/>
        <w:tab/>
        <w:t>W.: „Ich will dich erheben, denn“; doch übersetze: „Ich danke dir dafür, dass...“; ähnlich Gerstenberger 1972; Zenger 1987. - „Erheben“ ist ein üblicher hebräischer Ausdruck für „preisen“ und wurde im hebr. Text gewählt wegen dem Wortspiel „erheben“ - „emporschöpfen“; im Deutschen lässt sich das leider nicht nachahmen (BigS hat es versucht: „Ich will dich hochleben lassen“). Weiter ist „Jemanden preisen, denn X“ im Hebräischen eine formelhafte Wendung für „jemandem danken für X“ (vgl. Lande 1949, S. 106f.; ad loc. ähnlich Zenger 1987, S. 89); übersetze daher wie vorgeschlagen.</w:t>
      </w:r>
    </w:p>
  </w:footnote>
  <w:footnote w:id="832">
    <w:p>
      <w:pPr>
        <w:pStyle w:val="Funote"/>
        <w:rPr/>
      </w:pPr>
      <w:r>
        <w:rPr/>
        <w:footnoteRef/>
        <w:tab/>
        <w:t>herausgeschöpft (emporgezogen) - das Verb meint meist „schöpfen“; evt. kann es auch allgemein „emporziehen“ heißen. Dahinter steckt folgendes: Im Alten Israel stellte man sich die Unterwelt als den tiefsten Ort des Kosmos vor; daher musste man davon sprechen, dass man z.B. zu ihr „hinabstieg“ oder aus ihr wieder „emporgezogen“ wurde. An unserer Stelle spielt noch mehr hinein: Weil man sich weiterhin die Unterwelt oft als am oder noch unter dem Meeresgrund gelegen vorstellte, sprach man von ihr häufig auch als dem „Brunnen“, der „Grube“, dem „Schacht“ oder der „Zisterne“ (vgl. z.B. Oesterley 1911, S. 139f; Schorch 2000, S. 97f; hier s. Vv. 4.10); auf diese Metapher spielt das hierige Verb an: „Du hast mich [aus der Zisterne (=der Unterwelt)] herausgeschöpft“ meint sinngemäß „Du hast mich aus dem Totenreich gerettet“. Dass der Ort, von dem JHWH den Psalmisten emporschöpft, hier nicht genannt ist, gehört wohl zum in FN d beschriebenen Strukturprinzip. Im Deutschen muss man das wohl freier formulieren; sinnvoll z.B. ALB, FENZ, NL: „du hast mich gerettet“; noch besser vielleicht: „Du hast mich der Unterwelt entrissen“ (nach Gerstenberger 1972). „Du hast mich aus der Tiefe/dem Abgrund gezogen“ (BB, EÜ, GN, HfA, LUT84, MEN, NeÜ, NGÜ, R-S, ZÜR) macht den Sachverhalt wohl nicht klar.</w:t>
      </w:r>
    </w:p>
  </w:footnote>
  <w:footnote w:id="833">
    <w:p>
      <w:pPr>
        <w:pStyle w:val="Funote"/>
        <w:rPr/>
      </w:pPr>
      <w:r>
        <w:rPr/>
        <w:footnoteRef/>
        <w:tab/>
        <w:t>herausgeschöpft / meine Feinde / geheilt / heraufgeholt / erweckt sind wohl rein metaphorisch zu verstehen. Vv. 2-4 sind bestimmt vom selben Strukturprinzip: Der Psalmist dankt Gott für die Rettung von verschiedenen Unheilsarten, ohne zu berichten, dass dieses Unheil überhaupt über ihn hereingebrochen ist: (1) V. 2a.4: [Er ist gestorben und] Gott hat ihn wieder auferweckt, (2) V. 2b: [Er wurde befeindet, doch] Gott hat seinen Feinden den Triumph über ihn nicht gegönnt, (3) V. 3: [Er war krank und] Gott hat ihn geheilt. Weil eben die „Vorgeschichte des Unheils“ hier nicht expliziert wird, versucht man in der Exegese meist, diese Vorgeschichte zu rekonstruieren. Es besteht schon fast ein Konsens, dass sie in etwa so aussah: Der Psalmist war krank - so krank war er, dass es ihm geradezu vorkam, als sei er bereits gestorben. Seine Feinde sind darüber sehr glücklich. Doch dann erbarmt sich Gott seiner, heilt ihn, holt ihn so „sozusagen“ - da er sich ja bereits als gestorben sah - wieder aus der Unterwelt empor und gönnt derart den Feinden des Psalmisten nicht die Freude über seinen Tod. Diese Rekonstruktion ist nicht sonderlich rund (wg. dem Unterschied „krank sein“ &lt;=&gt; „tot sein“ einerseits, wegen dem plötzlichen unmotivierten Auftreten der „Feinde“ andererseits); sinnvoller ist daher darauf hinzuweisen, dass all diese Elemente in der biblischen Poesie oft nur bildliche Rede sind, die keine weitere Funktion haben, als als Chiffren für ein nicht näher bestimmtes Unheil des Psalmisten zu stehen (vgl. ad loc. ähnlich Zenger 1987, S. 90 f.; s. die Parallelstellen). Was der Psalmist dann wieder und wieder betonen würde, wäre nur: „[Unheil war über mich hereingebrochen - und] JHWH hat mich gerettet.“ M.E. liegt dieses Verständnis hier näher. Mindestens für die Fassung in Leichter Sprache wäre es dann vermutlich sinnvoller, zu jeweils anderen Metaphern zu greifen, die leichter als Metaphern für die Erlösung von einem unbestimmten Unheil erkennbar sind.</w:t>
      </w:r>
    </w:p>
  </w:footnote>
  <w:footnote w:id="834">
    <w:p>
      <w:pPr>
        <w:pStyle w:val="Funote"/>
        <w:rPr/>
      </w:pPr>
      <w:r>
        <w:rPr/>
        <w:footnoteRef/>
        <w:tab/>
        <w:t>meine Feinde (meinen Feind) - Dahood 1965 deutet den Plural als pluralis excellentiae und deutet als „meinen Feind [- den Tod]“. Das ist durchaus bedenkenswert, da Vv. 2-4 ja immer wieder die Rettung vom Tod thematisieren und die „Feinde“ hier ohnehin sehr überraschend und unmotiviert stehen. Die traditionelle Deutung ist aber wohl ebenso gut möglich, siehe die vorige FN.</w:t>
      </w:r>
    </w:p>
  </w:footnote>
  <w:footnote w:id="835">
    <w:p>
      <w:pPr>
        <w:pStyle w:val="Funote"/>
        <w:rPr/>
      </w:pPr>
      <w:r>
        <w:rPr/>
        <w:footnoteRef/>
        <w:tab/>
        <w:t xml:space="preserve">meine Feinde sich nicht über mich (meine meinigen Feinde sich nicht) - Für „über mich“ sollte man im Hebräischen eigentlich eher </w:t>
      </w:r>
      <w:r>
        <w:rPr>
          <w:rtl w:val="true"/>
          <w:lang w:bidi="he-IL"/>
        </w:rPr>
        <w:t>עָלַי</w:t>
      </w:r>
      <w:r>
        <w:rPr/>
        <w:t xml:space="preserve"> </w:t>
      </w:r>
      <w:r>
        <w:rPr/>
        <w:t xml:space="preserve">statt </w:t>
      </w:r>
      <w:r>
        <w:rPr>
          <w:rtl w:val="true"/>
          <w:lang w:bidi="he-IL"/>
        </w:rPr>
        <w:t>לִי</w:t>
      </w:r>
      <w:r>
        <w:rPr/>
        <w:t xml:space="preserve"> </w:t>
      </w:r>
      <w:r>
        <w:rPr/>
        <w:t xml:space="preserve">erwarten. Halévy 1895a, S. 30 hat daher vorgeschlagen, </w:t>
      </w:r>
      <w:r>
        <w:rPr>
          <w:rtl w:val="true"/>
          <w:lang w:bidi="he-IL"/>
        </w:rPr>
        <w:t>לִי</w:t>
      </w:r>
      <w:r>
        <w:rPr/>
        <w:t xml:space="preserve"> </w:t>
      </w:r>
      <w:r>
        <w:rPr/>
        <w:t>nicht als „über mich“, sondern als Verstärkung des „meine“ in „meine Feinde“ zu deuten: „meine meinigen Feinde“. Im Deutschen klingt das zwar merkwürdig (und sollte daher besser einfach mit „dass du meine Feinde sich nicht freuen (triumphieren) lassen hast“ übersetzt werden), im Hebräischen ist das aber durchaus möglich. Halévy selbst ist unsicher (und übersetzt „Et de ne pas avoir fait réjuir mes enemies (à mon détriment)“), aber Alter 2007 scheint tatsächlich so zu lesen („and You gave no joy to my enemies“); ebenso NeÜ („du gabst meinen Feinden keinen Triumph“) und Schökel 1980 („y no has dado el triunfo a mis enemigos“). Das ist etwas wahrscheinlicher; in der LF sollte man aber doch der traditionellen Übersetzungsalternative den Vorzug geben, da es sich hier um eine starke Minderheitenmeinung handelt und die traditionelle Übersetzung auch nicht (sehr) problematisch ist.</w:t>
      </w:r>
    </w:p>
  </w:footnote>
  <w:footnote w:id="836">
    <w:p>
      <w:pPr>
        <w:pStyle w:val="Funote"/>
        <w:rPr/>
      </w:pPr>
      <w:r>
        <w:rPr/>
        <w:footnoteRef/>
        <w:tab/>
        <w:t>W. „meine Seele“, doch im Hebräischen dient dies fast stets als Wechselbegriff für „mich“ (vgl. ad loc. Briggs 1906, S. 262; Terrien 2003, S. 282); übersetze durchaus wie vorgeschlagen.</w:t>
      </w:r>
    </w:p>
  </w:footnote>
  <w:footnote w:id="837">
    <w:p>
      <w:pPr>
        <w:pStyle w:val="Funote"/>
        <w:rPr/>
      </w:pPr>
      <w:r>
        <w:rPr/>
        <w:footnoteRef/>
        <w:tab/>
        <w:t>gut verständlich ALB, HfA: „du hast mich dem Tode entrissen“</w:t>
      </w:r>
    </w:p>
  </w:footnote>
  <w:footnote w:id="838">
    <w:p>
      <w:pPr>
        <w:pStyle w:val="Funote"/>
        <w:rPr/>
      </w:pPr>
      <w:r>
        <w:rPr/>
        <w:footnoteRef/>
        <w:tab/>
        <w:t>zu „Grube“ als Metapher für die Unterwelt vgl. FN c</w:t>
      </w:r>
    </w:p>
  </w:footnote>
  <w:footnote w:id="839">
    <w:p>
      <w:pPr>
        <w:pStyle w:val="Funote"/>
        <w:rPr/>
      </w:pPr>
      <w:r>
        <w:rPr/>
        <w:footnoteRef/>
        <w:tab/>
        <w:t xml:space="preserve">Textkritik: Ketiv und Qere bieten zwei unterschiedliche Textversionen: Ketiv hat das Partizip „aus den Hinabgestiegenen“; Qere verbessert zum Infinitiv „vom Hinabsteigen“. Doch ist die Version des Ketiv hier sicher vorzuziehen und wird auch von fast allen vorgezogen, da die Infinitivform des Qere zwar grammatisch korrekt, aber im Hebräischen ungebräuchlich ist (die gebräuchliche Form wird V. 10 verwendet), die Wendung </w:t>
      </w:r>
      <w:r>
        <w:rPr>
          <w:rtl w:val="true"/>
          <w:lang w:bidi="he-IL"/>
        </w:rPr>
        <w:t>יורדי בור</w:t>
      </w:r>
      <w:r>
        <w:rPr/>
        <w:t xml:space="preserve"> </w:t>
      </w:r>
      <w:r>
        <w:rPr/>
        <w:t>des Ketiv sich dagegen recht häufig in der Bibel findet. Vermutlich handelt es sich beim Qere um eine spätere theologische Interpretation, vgl. Buttenwieser 1938, S. 601. Das „Aus den Hinabgestiegenen“ des Ketiv meint, dass Gott den Psalmisten als einzigen der vielen, die bereits ins Totenreich hinabgefahren sind, wieder auferweckt hat (vgl. ähnlich Mk 9,9, dazu FN ae).</w:t>
      </w:r>
    </w:p>
  </w:footnote>
  <w:footnote w:id="840">
    <w:p>
      <w:pPr>
        <w:pStyle w:val="Funote"/>
        <w:rPr/>
      </w:pPr>
      <w:r>
        <w:rPr/>
        <w:footnoteRef/>
        <w:tab/>
        <w:t>spielt i.S.v. „musiziert auf Instrumenten“ ist unwahrscheinlich; die Instrumentalmusik im Tempelkult wurde wohl von den Priester und Leviten übernommen (vgl. Num 10,1-10; 2Chr 29,26-28). Übrigens darf man sich hier keine Himmelsmelodien vorstellen; eher muss man an einen „seltsamen, lauten und lärmenden Krach“ (Casey 2004, S. 203) denken.</w:t>
      </w:r>
    </w:p>
  </w:footnote>
  <w:footnote w:id="841">
    <w:p>
      <w:pPr>
        <w:pStyle w:val="Funote"/>
        <w:rPr/>
      </w:pPr>
      <w:r>
        <w:rPr/>
        <w:footnoteRef/>
        <w:tab/>
        <w:t>Die „Frommen“ sind die versammelte Kultgemeinde, die beim Vortrag des Psalms anwesend ist. Vv. 5-6 sind ein für Dankpsalmen übliches „Wort an die Kultgemeinde“, das parenthetisch in das eigentlich Vorgetragene eingeschoben ist und hier (wie oft) die Kultgemeinde zum Einstimmen in den Lobpreis auffordert.</w:t>
      </w:r>
    </w:p>
  </w:footnote>
  <w:footnote w:id="842">
    <w:p>
      <w:pPr>
        <w:pStyle w:val="Funote"/>
        <w:rPr/>
      </w:pPr>
      <w:r>
        <w:rPr/>
        <w:footnoteRef/>
        <w:tab/>
        <w:t xml:space="preserve">Zu </w:t>
      </w:r>
      <w:r>
        <w:rPr>
          <w:rtl w:val="true"/>
          <w:lang w:bidi="he-IL"/>
        </w:rPr>
        <w:t>זכר</w:t>
      </w:r>
      <w:r>
        <w:rPr/>
        <w:t xml:space="preserve"> </w:t>
      </w:r>
      <w:r>
        <w:rPr/>
        <w:t>(meist: „Gedenken“) = „Name“ vgl. Kön 90; SS 173; ZLH 209; ad loc. z.B. Buttenwieser 1938; Craigie 1983; Kittel 1914; Schökel 1980; Ross 2011; Schmidt 1934. Der „Name Gottes“ dient im AT aber fast ausschließlich als Wechselbegriff für Gott selbst; man bezeichnet damit „Gott im Menschenmund“. Übersetze daher wie vorgeschlagen.</w:t>
      </w:r>
    </w:p>
  </w:footnote>
  <w:footnote w:id="843">
    <w:p>
      <w:pPr>
        <w:pStyle w:val="Funote"/>
        <w:rPr/>
      </w:pPr>
      <w:r>
        <w:rPr/>
        <w:footnoteRef/>
        <w:tab/>
        <w:t xml:space="preserve">emphatisches </w:t>
      </w:r>
      <w:r>
        <w:rPr>
          <w:rtl w:val="true"/>
          <w:lang w:bidi="he-IL"/>
        </w:rPr>
        <w:t>כי</w:t>
      </w:r>
      <w:r>
        <w:rPr/>
        <w:t>, so auch Deissler 1989; Kraus 1961. Im Deutschen nicht zu übersetzen.</w:t>
      </w:r>
    </w:p>
  </w:footnote>
  <w:footnote w:id="844">
    <w:p>
      <w:pPr>
        <w:pStyle w:val="Funote"/>
        <w:rPr/>
      </w:pPr>
      <w:r>
        <w:rPr/>
        <w:footnoteRef/>
        <w:tab/>
        <w:t>schwieriger Vers. W. wird er meist gedeutet als „Ein Augenblick (</w:t>
      </w:r>
      <w:r>
        <w:rPr>
          <w:rtl w:val="true"/>
          <w:lang w:bidi="he-IL"/>
        </w:rPr>
        <w:t>רֶגַע</w:t>
      </w:r>
      <w:r>
        <w:rPr/>
        <w:t>) in (</w:t>
      </w:r>
      <w:r>
        <w:rPr>
          <w:rtl w:val="true"/>
          <w:lang w:bidi="he-IL"/>
        </w:rPr>
        <w:t>ב</w:t>
      </w:r>
      <w:r>
        <w:rPr/>
        <w:t>) seinem Zorn, ein Leben in (</w:t>
      </w:r>
      <w:r>
        <w:rPr>
          <w:rtl w:val="true"/>
          <w:lang w:bidi="he-IL"/>
        </w:rPr>
        <w:t>ב</w:t>
      </w:r>
      <w:r>
        <w:rPr/>
        <w:t xml:space="preserve">) seiner Huld“. Verschiedene Vorschläge sind gemacht worden, um ihn zu erklären: # Die </w:t>
      </w:r>
      <w:r>
        <w:rPr>
          <w:rtl w:val="true"/>
          <w:lang w:bidi="he-IL"/>
        </w:rPr>
        <w:t>ב</w:t>
      </w:r>
      <w:r>
        <w:rPr/>
        <w:t xml:space="preserve">s werden als als Beth existentiae gedeutet („ist“/„dauert“; vgl. Ges18 119f; KBL3 101); „Augenblick“ und „Leben“ sind adverbiale Akkusative der Zeit („einen Augenblick lang“ / „ein Leben lang“; vgl. GKC §118k): unsere Deutung: „Ein Augenblick lang dauert sein Zorn, / ein Leben lang dauert seine Huld“- so übersetzen zumindest auch Bonkamp 1949; Brueggemann/Bellinger 2014; Christensen 2005.30; Kittel 1914; Terrien 2003 und fast alle Üss. # Die </w:t>
      </w:r>
      <w:r>
        <w:rPr>
          <w:rtl w:val="true"/>
          <w:lang w:bidi="he-IL"/>
        </w:rPr>
        <w:t>ב</w:t>
      </w:r>
      <w:r>
        <w:rPr/>
        <w:t xml:space="preserve">s werden als als Beth essentiae gedeutet; wörtlich etwa „ein Augenblick lang [ist er] zornig, ein Leben lang huldreich“: Delitzsch 1894; wohl auch Ehrlich 1905. Ähnlich Buttenwieser 1938; er deutet aber merkwürdigerweise „Augenblick“ und „Leben“ als Subjekte des Satzes; wörtlich also etwa „Ein Augenblick [ist] voll seines Zorns / ein Leben voll seiner Huld“ # </w:t>
      </w:r>
      <w:r>
        <w:rPr>
          <w:rtl w:val="true"/>
          <w:lang w:bidi="he-IL"/>
        </w:rPr>
        <w:t>רֶגַע</w:t>
      </w:r>
      <w:r>
        <w:rPr/>
        <w:t xml:space="preserve"> </w:t>
      </w:r>
      <w:r>
        <w:rPr/>
        <w:t xml:space="preserve">wird emendiert: ## nach LXX, Syr zu </w:t>
      </w:r>
      <w:r>
        <w:rPr>
          <w:rtl w:val="true"/>
          <w:lang w:bidi="he-IL"/>
        </w:rPr>
        <w:t>רׂגֶז</w:t>
      </w:r>
      <w:r>
        <w:rPr/>
        <w:t xml:space="preserve"> </w:t>
      </w:r>
      <w:r>
        <w:rPr/>
        <w:t xml:space="preserve">Unruhe, Zorn, Toben: „Toben [ist] in seinem Zorn, / Leben [ist] in seiner Huld“: BHS; vgl. auch Kissane 1953 ## zu </w:t>
      </w:r>
      <w:r>
        <w:rPr>
          <w:rtl w:val="true"/>
          <w:lang w:bidi="he-IL"/>
        </w:rPr>
        <w:t>נֶגַע</w:t>
      </w:r>
      <w:r>
        <w:rPr/>
        <w:t xml:space="preserve"> </w:t>
      </w:r>
      <w:r>
        <w:rPr/>
        <w:t xml:space="preserve">Leiden, Krankheit: „Krankheit [ist] in seinem Zorn, / Leben [ist] in seiner Huld“: Gunkel 1968; Halévy 1895a; Schmidt 1934 # </w:t>
      </w:r>
      <w:r>
        <w:rPr>
          <w:rtl w:val="true"/>
          <w:lang w:bidi="he-IL"/>
        </w:rPr>
        <w:t>רֶגַע</w:t>
      </w:r>
      <w:r>
        <w:rPr/>
        <w:t xml:space="preserve"> </w:t>
      </w:r>
      <w:r>
        <w:rPr/>
        <w:t xml:space="preserve">wird eine andere Bedeutung gegeben: ## Schökel 1980 glaubt wg. Ijob 26,12; Jes 51,15 und Jer 31,35, dass </w:t>
      </w:r>
      <w:r>
        <w:rPr>
          <w:rtl w:val="true"/>
          <w:lang w:bidi="he-IL"/>
        </w:rPr>
        <w:t>רֶגַע</w:t>
      </w:r>
      <w:r>
        <w:rPr/>
        <w:t xml:space="preserve"> </w:t>
      </w:r>
      <w:r>
        <w:rPr/>
        <w:t xml:space="preserve">auch „Beben“ bedeuten könne: „Zittern/Beben ist in seinem Zorn...“. Diese Bed. findet sich zwar auch in einigen Wörterbüchern, ist aber wohl falsch: </w:t>
      </w:r>
      <w:r>
        <w:rPr>
          <w:rtl w:val="true"/>
          <w:lang w:bidi="he-IL"/>
        </w:rPr>
        <w:t>רֶגַע</w:t>
      </w:r>
      <w:r>
        <w:rPr/>
        <w:t xml:space="preserve"> </w:t>
      </w:r>
      <w:r>
        <w:rPr/>
        <w:t xml:space="preserve">bedeutet dort nicht „erbeben machen“ (nach </w:t>
      </w:r>
      <w:r>
        <w:rPr>
          <w:rtl w:val="true"/>
          <w:lang w:bidi="he-IL"/>
        </w:rPr>
        <w:t>רגע</w:t>
      </w:r>
      <w:r>
        <w:rPr/>
        <w:t xml:space="preserve"> </w:t>
      </w:r>
      <w:r>
        <w:rPr/>
        <w:t xml:space="preserve">I), sondern „beruhigen“ (nach </w:t>
      </w:r>
      <w:r>
        <w:rPr>
          <w:rtl w:val="true"/>
          <w:lang w:bidi="he-IL"/>
        </w:rPr>
        <w:t>רגע</w:t>
      </w:r>
      <w:r>
        <w:rPr/>
        <w:t xml:space="preserve"> </w:t>
      </w:r>
      <w:r>
        <w:rPr/>
        <w:t>II); s. jeweils den Kontext. ## Craigie 1983 und Dahood 1965 denken, es könne auch „Tod“ bedeuten: „Tod [ist] in seinem Zorn, ...“. Auch das ist wohl nicht so. # Es wird einfach ein Verb ergänzt, z.B.: „Nur kurz [handelt er] in seinem Zorn...“: Briggs 1906; Deissler 1989; Kraus 1961; Weber 2007</w:t>
      </w:r>
    </w:p>
  </w:footnote>
  <w:footnote w:id="845">
    <w:p>
      <w:pPr>
        <w:pStyle w:val="Funote"/>
        <w:rPr/>
      </w:pPr>
      <w:r>
        <w:rPr/>
        <w:footnoteRef/>
        <w:tab/>
        <w:t>verbringt man die Nacht auch weinend - so sinnvoll Buttenwieser 1938. Wegen des Parallelismus ist aber doch die Standard-Deutung vorzuziehen.</w:t>
      </w:r>
    </w:p>
  </w:footnote>
  <w:footnote w:id="846">
    <w:p>
      <w:pPr>
        <w:pStyle w:val="Funote"/>
        <w:rPr/>
      </w:pPr>
      <w:r>
        <w:rPr/>
        <w:footnoteRef/>
        <w:tab/>
        <w:t xml:space="preserve">Vv. 7-8 werden fast stets einander beigeordnet: „7a: Ich sagte in meiner Sorglosigkeit: »[...]«. / 8a: JHWH, du hast mich in deiner Gunst auf starke Berge gestellt. / 8b: Du verbargst dein Gesicht, / 8c: Ich war bestürzt“. Die Wortfolge ist aber 7a: X-Qatal, 8a: X-Qatal, 8b: Qatal-X, 8c: Qatal-X, daher sollte man Vv. 7a.8a besser als Umstandssätze deuten: „7a: Als ich... 8a: weil du/[und] als du... 8b: da... 8c: und da...“. Das </w:t>
      </w:r>
      <w:r>
        <w:rPr>
          <w:rtl w:val="true"/>
          <w:lang w:bidi="he-IL"/>
        </w:rPr>
        <w:t>וַאֲנִי</w:t>
      </w:r>
      <w:r>
        <w:rPr/>
        <w:t xml:space="preserve"> </w:t>
      </w:r>
      <w:r>
        <w:rPr/>
        <w:t>in 7a dient nur der Bildung der Wortfolge X-Qatal und sollte keinesfalls derart betont übersetzt werden, wie es gern getan wird („Und ich, ich sagte...“).</w:t>
      </w:r>
    </w:p>
  </w:footnote>
  <w:footnote w:id="847">
    <w:p>
      <w:pPr>
        <w:pStyle w:val="Funote"/>
        <w:rPr/>
      </w:pPr>
      <w:r>
        <w:rPr/>
        <w:footnoteRef/>
        <w:tab/>
        <w:t>Das »Wanken« ist in der biblischen Poesie eine häufige Metapher für eine Gefährdung, aus der direkt Vernichtung und Tod folgt. Wer dagegen »nicht wankt« ist sicher und geschützt und wird daher ewig bestehen; s. bes. gut Spr 10,30; 12,3; auch Ps 16,8; 46,6f; 62,3.7; 112,6; 125,1. Wie an den Stellen zu sehen ist, handelt es sich bei diesem nicht-Wanken meist um eine Gnadengabe Gottes; so ja auch hier, s. V. 8. Der Gnadenentzug JHWHs in V. 9 kommt dann sehr unmotiviert; man hat deshalb versucht, dem Psalmisten zu unterstellen, dass er sich ähnlich wie der Frevler in Ps 10,6 der Hybris schuldig mache (und übersetzt dann auch das obige »Sorglosigkeit« mit »Selbstsicherheit«, »Gedankenlosigkeit« (Tromp 1986), »Selbstgeruhsamkeit« (Weber 2007) oder »im Vertrauen auf mich« (HER)). Vom Text her liegt das hier recht fern; man wird sich damit bescheiden müssen, dass der plötzliche Gnadenentzug JHWHs unerklärlich ist - dass er allein der Willkür Gottes geschuldet ist.</w:t>
      </w:r>
    </w:p>
  </w:footnote>
  <w:footnote w:id="848">
    <w:p>
      <w:pPr>
        <w:pStyle w:val="Funote"/>
        <w:rPr/>
      </w:pPr>
      <w:r>
        <w:rPr/>
        <w:footnoteRef/>
        <w:tab/>
        <w:t>Textkritik: JHWH ist vielleicht metri causa zu streichen; s. BHS, Briggs 1906; Gunkel 1968; Kittel 1914; Kraus 1961; Schmidt 1934. Solche Streichungen metri causa sind zwar heute eher unbeliebt geworden; aber man sieht ja bereits an der Übersetzung, dass der Sticho untypisch lang ist. Dennoch sollte man heute davon wohl eher Abstand nehmen; vielleicht sollte man aber in der LF den Sticho als zwei Stichen setzen: „Weil du, JHWH, mich standfester gemacht hast / als die Berge standfest sind.“</w:t>
      </w:r>
    </w:p>
  </w:footnote>
  <w:footnote w:id="849">
    <w:p>
      <w:pPr>
        <w:pStyle w:val="Funote"/>
        <w:rPr/>
      </w:pPr>
      <w:r>
        <w:rPr/>
        <w:footnoteRef/>
        <w:tab/>
        <w:t xml:space="preserve">V. 8a könnte auch noch zum Selbstzitat in 7b gehören: „Ich werde niemals wanken, weil du, oh JHWH, mich standfester als die starken Berge gemacht hast.“ Der Text selbst ist schwierig; wörtlich scheint er auf den ersten Blick zu bedeuten: „Du hast meinem Berg Stärke hingestellt“. Früher wurde er deshalb oft so erklärt, dass der Sprechende - wie in der Überschrift angegeben - David wäre, der davon spreche, dass Gott „seinen“ Berg - den Zion - so stark gemacht habe. Diese Interpretation ist heute nicht mehr vertretbar (Gunkel 1968; Wachter 1966), weshalb man zu einer der folgenden Lösungen greifen muss: # Craigie 1983; Dahood 1965 und Tromp 1986 konstruieren </w:t>
      </w:r>
      <w:r>
        <w:rPr>
          <w:rtl w:val="true"/>
          <w:lang w:bidi="he-IL"/>
        </w:rPr>
        <w:t>הֶעֱמַדְתָּה</w:t>
      </w:r>
      <w:r>
        <w:rPr/>
        <w:t xml:space="preserve"> </w:t>
      </w:r>
      <w:r>
        <w:rPr/>
        <w:t xml:space="preserve">mit einem double-duty-Suffix (-&gt; Brachylogie) aus 8b und in der Bedeutung „standfest sein“ (also nicht „du hast gestellt“, sondern „du hast mich standfest gemacht“); </w:t>
      </w:r>
      <w:r>
        <w:rPr>
          <w:rtl w:val="true"/>
          <w:lang w:bidi="he-IL"/>
        </w:rPr>
        <w:t>לְ</w:t>
      </w:r>
      <w:r>
        <w:rPr/>
        <w:t xml:space="preserve"> </w:t>
      </w:r>
      <w:r>
        <w:rPr/>
        <w:t xml:space="preserve">deuten sie als lamed comparativum („wie, als“; so offenbar auch GRAIL: „your favor had set me like a mountain stronghold“): Du machtest mich standfester als die starken Berge; s. Ps 125,1.Wir schließen uns dieser Deutung an, da sie als einzige keiner Emendation bedarf. </w:t>
      </w:r>
      <w:r>
        <w:rPr>
          <w:rtl w:val="true"/>
          <w:lang w:bidi="he-IL"/>
        </w:rPr>
        <w:t>לְהַרְרִי</w:t>
      </w:r>
      <w:r>
        <w:rPr/>
        <w:t xml:space="preserve"> </w:t>
      </w:r>
      <w:r>
        <w:rPr/>
        <w:t xml:space="preserve">sollte man aber wahrscheinlich doch besser mit Craigie und gegen Dahood und Tromp zu </w:t>
      </w:r>
      <w:r>
        <w:rPr>
          <w:rtl w:val="true"/>
          <w:lang w:bidi="he-IL"/>
        </w:rPr>
        <w:t>לְהַרְרֵי</w:t>
      </w:r>
      <w:r>
        <w:rPr/>
        <w:t xml:space="preserve"> </w:t>
      </w:r>
      <w:r>
        <w:rPr/>
        <w:t xml:space="preserve">umpunktieren. # Alternativ sind viele Emendationsvorschläge gemacht worden. Statt </w:t>
      </w:r>
      <w:r>
        <w:rPr>
          <w:rtl w:val="true"/>
          <w:lang w:bidi="he-IL"/>
        </w:rPr>
        <w:t>הֶעֱמַדְתָּה לְהַרְרִי עֹז</w:t>
      </w:r>
      <w:r>
        <w:rPr/>
        <w:t xml:space="preserve"> </w:t>
      </w:r>
      <w:r>
        <w:rPr/>
        <w:t xml:space="preserve">du stelltest meinem Berg Stärke hin wäre zu lesen: ## </w:t>
      </w:r>
      <w:r>
        <w:rPr>
          <w:rtl w:val="true"/>
          <w:lang w:bidi="he-IL"/>
        </w:rPr>
        <w:t>הֶעֱמַדְתָּנִי לְהַרְרֵי עֹז</w:t>
      </w:r>
      <w:r>
        <w:rPr/>
        <w:t xml:space="preserve"> </w:t>
      </w:r>
      <w:r>
        <w:rPr/>
        <w:t xml:space="preserve">Du hast mich auf starke Berge gestellt: Bonkamp 1949 (?); Kittel 1914; Kraus 1961; Schmidt 1934; Schökel 1980; s. Ps 40,3 ## </w:t>
      </w:r>
      <w:r>
        <w:rPr>
          <w:rtl w:val="true"/>
          <w:lang w:bidi="he-IL"/>
        </w:rPr>
        <w:t>הָעֲמַדְתִּי לְהַרְרֵי עֹז</w:t>
      </w:r>
      <w:r>
        <w:rPr/>
        <w:t xml:space="preserve"> </w:t>
      </w:r>
      <w:r>
        <w:rPr/>
        <w:t xml:space="preserve">Ich war gestellt auf starke Berge: Gunkel 1968; Kraus 1961 ## </w:t>
      </w:r>
      <w:r>
        <w:rPr>
          <w:rtl w:val="true"/>
          <w:lang w:bidi="he-IL"/>
        </w:rPr>
        <w:t>הֶעֱמַדְתָּה לִי הַרְרֵי עֹז</w:t>
      </w:r>
      <w:r>
        <w:rPr/>
        <w:t xml:space="preserve"> </w:t>
      </w:r>
      <w:r>
        <w:rPr/>
        <w:t xml:space="preserve">Du hast mir schützende Berge hingestellt: Wachter 1966; offenbar auch Dillmann ## </w:t>
      </w:r>
      <w:r>
        <w:rPr>
          <w:rtl w:val="true"/>
          <w:lang w:bidi="he-IL"/>
        </w:rPr>
        <w:t>הֶעֱמַדְתָּה לִי הָדָר וְעֹז</w:t>
      </w:r>
      <w:r>
        <w:rPr/>
        <w:t xml:space="preserve"> </w:t>
      </w:r>
      <w:r>
        <w:rPr/>
        <w:t xml:space="preserve">Du hast mir Würde und Stärke verliehen: Bertholet 1923; Kissane 1953; FENZ; GUAR ## </w:t>
      </w:r>
      <w:r>
        <w:rPr>
          <w:rtl w:val="true"/>
          <w:lang w:bidi="he-IL"/>
        </w:rPr>
        <w:t>הֶעֱמַדְתָּה לְהֲדָרֵי עֹז</w:t>
      </w:r>
      <w:r>
        <w:rPr/>
        <w:t xml:space="preserve"> </w:t>
      </w:r>
      <w:r>
        <w:rPr/>
        <w:t>Du hast meiner Würde Stärke verliehen: LXX, Spieckermann 1989</w:t>
      </w:r>
    </w:p>
  </w:footnote>
  <w:footnote w:id="850">
    <w:p>
      <w:pPr>
        <w:pStyle w:val="Funote"/>
        <w:rPr/>
      </w:pPr>
      <w:r>
        <w:rPr/>
        <w:footnoteRef/>
        <w:tab/>
        <w:t xml:space="preserve">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22,25; 27,9; 44,25; 69,18; 88,15; 102,3; 104,29; 143,7; Jes 8,17; 54,8; 59,2; 64,6; Jer 33,5; Ez 39,23f.29; Mic 3,4): JHWH verbirgt sein Gesicht vor jemandem = JHWH schaut jemanden nicht mehr gnädig an (und lässt so zu, dass Unheil über ihn hereinbricht). Dahood 1965 leitet (wie schon Ps 10,11) </w:t>
      </w:r>
      <w:r>
        <w:rPr>
          <w:rtl w:val="true"/>
          <w:lang w:bidi="he-IL"/>
        </w:rPr>
        <w:t>הִסְתַּרְתָּ</w:t>
      </w:r>
      <w:r>
        <w:rPr/>
        <w:t xml:space="preserve"> </w:t>
      </w:r>
      <w:r>
        <w:rPr/>
        <w:t xml:space="preserve">du hast verborgen von </w:t>
      </w:r>
      <w:r>
        <w:rPr>
          <w:rtl w:val="true"/>
          <w:lang w:bidi="he-IL"/>
        </w:rPr>
        <w:t>סור</w:t>
      </w:r>
      <w:r>
        <w:rPr/>
        <w:t xml:space="preserve"> </w:t>
      </w:r>
      <w:r>
        <w:rPr/>
        <w:t>umkehren mit t-Infix ab (dazu vgl. Waldman 1989, S. 34-36; ebenso wird das selbe Wort in Ijob 3,10 und Ijob 13,24 von Blommerde 1969, S. 14 analysiert): „Du hast abgewandt“. Doch ist das sprachlich unwahrscheinlich und wohl unnötig; vgl. Friedman 1977.</w:t>
      </w:r>
    </w:p>
  </w:footnote>
  <w:footnote w:id="851">
    <w:p>
      <w:pPr>
        <w:pStyle w:val="Funote"/>
        <w:rPr/>
      </w:pPr>
      <w:r>
        <w:rPr/>
        <w:footnoteRef/>
        <w:tab/>
        <w:t>Darüber, dass Vv. 10f. den vergangenen Flehruf des Psalmisten zitiert, besteht heute Konsens (Kissane 1953 und Zorell 1928 nach LXX dagegen nur V. 10; Buttenwieser 1938 sogar Vv. 10-13; dafür müssen sie aber unnötigerweise mehrfach emendieren). V. 9 wird dabei meist als Redeeinleitung aufgefasst: „[Damals] rief ich zu dir, JHWH / meinen Herrn flehte ich an: ‚...‘“. Das ist sicher nicht so; die beiden Verben in V. 9 stehen im Yiqtol, und eine Wiedergabe durch Vergangenheit „widerspricht jeder Regel“ (Buttenwieser 1938, S. 575). Allenfalls möglich wäre eine iterative Deutung: „immer wieder rief ich zu dir, JHWH...“, so aber nur Weber 2007; vgl. noch Tromp 1986, S. 257. Daher sollte man V. 9 wohl besser auch zum vergangenen Flehruf rechnen, der derart hier ohne Redeeinleitung zitiert wird (Zitate stehen in der biblischen Poesie oft ohne Redeeinleitung), und selbst eine Redeeinleitung ergänzen.</w:t>
      </w:r>
    </w:p>
  </w:footnote>
  <w:footnote w:id="852">
    <w:p>
      <w:pPr>
        <w:pStyle w:val="Funote"/>
        <w:rPr/>
      </w:pPr>
      <w:r>
        <w:rPr/>
        <w:footnoteRef/>
        <w:tab/>
        <w:t xml:space="preserve">Textkritik: Viele Exegeten emendieren, um den Personenwechsel zu vermeiden, nach Syr und Tg </w:t>
      </w:r>
      <w:r>
        <w:rPr>
          <w:rtl w:val="true"/>
          <w:lang w:bidi="he-IL"/>
        </w:rPr>
        <w:t>וְאֶל־אֲדֹנָי</w:t>
      </w:r>
      <w:r>
        <w:rPr/>
        <w:t xml:space="preserve"> </w:t>
      </w:r>
      <w:r>
        <w:rPr/>
        <w:t xml:space="preserve">und zu meinem Herrn zu </w:t>
      </w:r>
      <w:r>
        <w:rPr>
          <w:rtl w:val="true"/>
          <w:lang w:bidi="he-IL"/>
        </w:rPr>
        <w:t>וְאֵלֶיךָ אֲדֹנָי</w:t>
      </w:r>
      <w:r>
        <w:rPr/>
        <w:t xml:space="preserve">: und zu dir, meinem Herrn. Dahood 1965 will sogar emendieren: </w:t>
      </w:r>
      <w:r>
        <w:rPr>
          <w:rtl w:val="true"/>
          <w:lang w:bidi="he-IL"/>
        </w:rPr>
        <w:t>וְאֵל אֲדֹנָי</w:t>
      </w:r>
      <w:r>
        <w:rPr/>
        <w:t>: Oh El, mein Herr. Unnötig: P-Shift (ad loc. ähnlich Spieckermann 1989, S. 255). Das »zu dir, mein Herr« von Tg und Syr kann auch einfach darauf zurückgeführt werden, dass sie das richtig gesehen haben; auch in der LF sollte besser so übertragen werden, da es solche Shifts im Deutschen nicht gibt.</w:t>
      </w:r>
    </w:p>
  </w:footnote>
  <w:footnote w:id="853">
    <w:p>
      <w:pPr>
        <w:pStyle w:val="Funote"/>
        <w:rPr/>
      </w:pPr>
      <w:r>
        <w:rPr/>
        <w:footnoteRef/>
        <w:tab/>
        <w:t xml:space="preserve">zum Sinn vgl. gut Halévy 1895a, S. 32, der den Sticho als eine Kurzform von Gen 37,26 erklärt: »Welchen Gewinn hättest du, wenn du mich tötetest und mein Blut vergössest?«. Die Umpunktierung von </w:t>
      </w:r>
      <w:r>
        <w:rPr>
          <w:rtl w:val="true"/>
          <w:lang w:bidi="he-IL"/>
        </w:rPr>
        <w:t>בְּדָמִי</w:t>
      </w:r>
      <w:r>
        <w:rPr/>
        <w:t xml:space="preserve"> </w:t>
      </w:r>
      <w:r>
        <w:rPr/>
        <w:t xml:space="preserve">in meinem Blut nach </w:t>
      </w:r>
      <w:r>
        <w:rPr>
          <w:rtl w:val="true"/>
          <w:lang w:bidi="he-IL"/>
        </w:rPr>
        <w:t>בְּדּמִּי</w:t>
      </w:r>
      <w:r>
        <w:rPr/>
        <w:t xml:space="preserve"> </w:t>
      </w:r>
      <w:r>
        <w:rPr/>
        <w:t>wenn ich verstummte (»Was nützte es, wenn ich verstummte«; Ehrlich 1905; Tromp 1986; Zorell 1928) ist unnötig.</w:t>
      </w:r>
    </w:p>
  </w:footnote>
  <w:footnote w:id="854">
    <w:p>
      <w:pPr>
        <w:pStyle w:val="Funote"/>
        <w:rPr/>
      </w:pPr>
      <w:r>
        <w:rPr/>
        <w:footnoteRef/>
        <w:tab/>
        <w:t>zu »Schacht« als Metapher für die Unterwelt vgl. FN c.</w:t>
      </w:r>
    </w:p>
  </w:footnote>
  <w:footnote w:id="855">
    <w:p>
      <w:pPr>
        <w:pStyle w:val="Funote"/>
        <w:rPr/>
      </w:pPr>
      <w:r>
        <w:rPr/>
        <w:footnoteRef/>
        <w:tab/>
        <w:t xml:space="preserve">Meist: »Kann Staub dich preisen«, d.h. der Stoff, aus dem der Mensch nach Gen 2,7 besteht und der nach seinem Tod übrig bleibt (Allerdings »Lehm«, nicht »Staub«. Dass der Mensch aus Lehm gemacht ist und Gott ihn aus Lehm gemacht hat, geht zurück auf das altorientalische Motiv des Schöpfergottes an der Töpferscheibe).Vielleicht sinnvoller: </w:t>
      </w:r>
      <w:r>
        <w:rPr>
          <w:rtl w:val="true"/>
          <w:lang w:bidi="he-IL"/>
        </w:rPr>
        <w:t>עפר</w:t>
      </w:r>
      <w:r>
        <w:rPr/>
        <w:t xml:space="preserve"> </w:t>
      </w:r>
      <w:r>
        <w:rPr/>
        <w:t xml:space="preserve">kann evt. auch für tote Menschen stehen (vgl. TLOT 1185: »Leiche«; ad loc. auch Fürst 1078: »Tote«; s. noch HfA: »Kann ein Toter dir noch danken?«; auch die Info der BB: »Gemeint sind die Verstorbenen, die unten im Totenreich in staubtrockener Erde ruhen.«); dann »Können Tote dich preisen?«. Der Vers verdichtete dann den Topos, dass gestorbene und in die Unterwelt hinabgefahrene Menschen vom Kontakt mit Gott abgeschnitten sind und ihn darum eben nicht mehr preisen können (s. Parallelstellen). Die Bedeutung »Tote« für </w:t>
      </w:r>
      <w:r>
        <w:rPr>
          <w:rtl w:val="true"/>
          <w:lang w:bidi="he-IL"/>
        </w:rPr>
        <w:t>עפר</w:t>
      </w:r>
      <w:r>
        <w:rPr/>
        <w:t xml:space="preserve"> </w:t>
      </w:r>
      <w:r>
        <w:rPr/>
        <w:t>ist aber zweifelhaft, daher sollte man wohl doch bei der Standard-Übersetzung bleiben.</w:t>
      </w:r>
    </w:p>
  </w:footnote>
  <w:footnote w:id="856">
    <w:p>
      <w:pPr>
        <w:pStyle w:val="Funote"/>
        <w:rPr/>
      </w:pPr>
      <w:r>
        <w:rPr/>
        <w:footnoteRef/>
        <w:tab/>
        <w:t>W. hören, ein häufiger term. tech. für die Gebetserhörung; so wohl auch hier.</w:t>
      </w:r>
    </w:p>
  </w:footnote>
  <w:footnote w:id="857">
    <w:p>
      <w:pPr>
        <w:pStyle w:val="Funote"/>
        <w:rPr/>
      </w:pPr>
      <w:r>
        <w:rPr/>
        <w:footnoteRef/>
        <w:tab/>
        <w:t>Da hast du gut nach EÜ; Gerstenberger 1972; GUAR; Schmidt 1934; Zenger 1987; ZÜR: V. 12 schildert die Reaktion Gottes auf den Flehruf des Psalmisten.</w:t>
      </w:r>
    </w:p>
  </w:footnote>
  <w:footnote w:id="858">
    <w:p>
      <w:pPr>
        <w:pStyle w:val="Funote"/>
        <w:rPr/>
      </w:pPr>
      <w:r>
        <w:rPr/>
        <w:footnoteRef/>
        <w:tab/>
        <w:t xml:space="preserve">meist: „gegürtet“, aber </w:t>
      </w:r>
      <w:r>
        <w:rPr>
          <w:rtl w:val="true"/>
          <w:lang w:bidi="he-IL"/>
        </w:rPr>
        <w:t>אור</w:t>
      </w:r>
      <w:r>
        <w:rPr/>
        <w:t xml:space="preserve"> </w:t>
      </w:r>
      <w:r>
        <w:rPr/>
        <w:t>kann auch allgemein „Kleiden“ bedeuten, was hier sehr viel besser passt.</w:t>
      </w:r>
    </w:p>
  </w:footnote>
  <w:footnote w:id="859">
    <w:p>
      <w:pPr>
        <w:pStyle w:val="Funote"/>
        <w:rPr/>
      </w:pPr>
      <w:r>
        <w:rPr/>
        <w:footnoteRef/>
        <w:tab/>
        <w:t xml:space="preserve">zu kausalem </w:t>
      </w:r>
      <w:r>
        <w:rPr>
          <w:rtl w:val="true"/>
          <w:lang w:bidi="he-IL"/>
        </w:rPr>
        <w:t>לְמַעַן</w:t>
      </w:r>
      <w:r>
        <w:rPr/>
        <w:t xml:space="preserve"> </w:t>
      </w:r>
      <w:r>
        <w:rPr/>
        <w:t>vgl. Fürst 847; Ges18 713; Kön 237.</w:t>
      </w:r>
    </w:p>
  </w:footnote>
  <w:footnote w:id="860">
    <w:p>
      <w:pPr>
        <w:pStyle w:val="Funote"/>
        <w:rPr/>
      </w:pPr>
      <w:r>
        <w:rPr/>
        <w:footnoteRef/>
        <w:tab/>
        <w:t xml:space="preserve">W.: „Darum will Herrlichkeit dich besingen“; wohl mit double duty-Suffix (-&gt;Brachylogie) aus V. 12: „[meine] Herrlichkeit“ (alternativ ergänzen fast alle Exegeten ein Suffix). Spieckermann 1989 entfaltet daraus und aus Ps 8,6 eine ganze Herrlichkeitstheologie: Die „Herrlichkeit“, die eigentlich ein Prädikat Gottes ist, würde quasi hypostatisch auch im Menschen anwesen, und diese göttlich-menschliche Herrlichkeit wäre es hier, die wiederum im Menschen Gott preist. Das ist recht sicher nicht so; in Ps 8,6 wird das Gottesprädikat „Herrlichkeit“ deshalb auf den Menschen angewandt, weil das Thema von Ps 8 gerade die Gottähnlichkeit des Menschen ist. Das ist hier nicht so; man hat also an etwas anderes als an „Herrlichkeit“ zu denken. Viele emendieren deshalb </w:t>
      </w:r>
      <w:r>
        <w:rPr>
          <w:rtl w:val="true"/>
          <w:lang w:bidi="he-IL"/>
        </w:rPr>
        <w:t>כָבוׂד</w:t>
      </w:r>
      <w:r>
        <w:rPr/>
        <w:t xml:space="preserve"> </w:t>
      </w:r>
      <w:r>
        <w:rPr/>
        <w:t xml:space="preserve">Herrlichkeit nach </w:t>
      </w:r>
      <w:r>
        <w:rPr>
          <w:rtl w:val="true"/>
          <w:lang w:bidi="he-IL"/>
        </w:rPr>
        <w:t>כְבֵדִי</w:t>
      </w:r>
      <w:r>
        <w:rPr/>
        <w:t xml:space="preserve"> </w:t>
      </w:r>
      <w:r>
        <w:rPr/>
        <w:t xml:space="preserve">meine Leber, mein Herz („Meine Leber/mein Herz will dich besingen“ - BHS; Alter 2007; Deissler 1989; Gunkel 1968; Halévy 1895a; Schmidt 1934; Terrien 2003), aber das ist unnötig: </w:t>
      </w:r>
      <w:r>
        <w:rPr>
          <w:rtl w:val="true"/>
          <w:lang w:bidi="he-IL"/>
        </w:rPr>
        <w:t>כָבוׂד</w:t>
      </w:r>
      <w:r>
        <w:rPr/>
        <w:t xml:space="preserve"> </w:t>
      </w:r>
      <w:r>
        <w:rPr/>
        <w:t xml:space="preserve">kann auch „Seele“ bedeuten (vgl. ad loc. Craigie 1983; Kittel 1914; Kraus 1961) und fungiert hier ähnlich wie </w:t>
      </w:r>
      <w:r>
        <w:rPr>
          <w:rtl w:val="true"/>
          <w:lang w:bidi="he-IL"/>
        </w:rPr>
        <w:t>נֶפֶש</w:t>
      </w:r>
      <w:r>
        <w:rPr/>
        <w:t xml:space="preserve"> </w:t>
      </w:r>
      <w:r>
        <w:rPr/>
        <w:t>Seele in V. 4 als Wechselbegriff für den Psalmisten selbst. Übersetze daher „Ich will dich besingen“.</w:t>
      </w:r>
    </w:p>
  </w:footnote>
  <w:footnote w:id="861">
    <w:p>
      <w:pPr>
        <w:pStyle w:val="Funote"/>
        <w:rPr/>
      </w:pPr>
      <w:r>
        <w:rPr/>
        <w:footnoteRef/>
        <w:tab/>
        <w:t>[Status: Sehr gut]</w:t>
      </w:r>
    </w:p>
  </w:footnote>
  <w:footnote w:id="862">
    <w:p>
      <w:pPr>
        <w:pStyle w:val="Funote"/>
        <w:rPr/>
      </w:pPr>
      <w:r>
        <w:rPr/>
        <w:footnoteRef/>
        <w:tab/>
        <w:t>Für den obersten Musiker Manche Übersetzungen verstehen dieses Wort als Anweisung, den Psalm vorzusingen (LUT, GNB).</w:t>
      </w:r>
    </w:p>
  </w:footnote>
  <w:footnote w:id="863">
    <w:p>
      <w:pPr>
        <w:pStyle w:val="Funote"/>
        <w:rPr/>
      </w:pPr>
      <w:r>
        <w:rPr/>
        <w:footnoteRef/>
        <w:tab/>
        <w:t>Mit Saiteninstrumenten (fröhlicher Musik, Zupfinstrumenten) Das Wort heißt etwa „fröhliche (in anderen Kontexten: spottende) Musik, die auf zu zupfenden Saiteninstrumenten gespielt wird“, bezeichnet in Psalmentiteln aber die Instrumente an sich (BDB 618.3; TWOT 1292.1; DBLH 5593; Kraus 21962, XXIV).</w:t>
      </w:r>
    </w:p>
  </w:footnote>
  <w:footnote w:id="864">
    <w:p>
      <w:pPr>
        <w:pStyle w:val="Funote"/>
        <w:rPr/>
      </w:pPr>
      <w:r>
        <w:rPr/>
        <w:footnoteRef/>
        <w:tab/>
        <w:t>Er lasse sein Gesicht bei (auf, über) uns scheinen Das leuchtende Angesicht symbolisiert Gottes Wohlwollen. Der Psalmist beschreibt Gott dabei im übertragenen Sinn mit menschlichen körperlichen Eigenschaften (anthropomorphe Metonymie). Hier wird darum gebeten, dass Gott „sein wohlwollendes, heilwirkendes Angesicht »bei« Israel […] aufscheinen“ lässt, so dass diese „Gabe des gesegneten Lebens als sichtbares Zeichen der Gegenwart Gottes in dieser Welt wahrgenommen werden kann. […] Der Psalm bittet darum, dass JHWH sein gesegnetes Volk Israel zum Segens- und Friendensmittler der ganzen Welt machen soll“ (Zenger 2000, 238–239). Einige Übersetzungen interpretieren: „blicke uns freundlich an“ (GNB), „May he smile on us“ („Möge er über uns lächeln“, NET).</w:t>
      </w:r>
    </w:p>
  </w:footnote>
  <w:footnote w:id="865">
    <w:p>
      <w:pPr>
        <w:pStyle w:val="Funote"/>
        <w:rPr/>
      </w:pPr>
      <w:r>
        <w:rPr/>
        <w:footnoteRef/>
        <w:tab/>
        <w:t>Vers 2 ist eine freie Wiedergabe des "aaronitischen Segens" aus Num 6,24-26. Dieses bekannte Gebet wurde vermutlich beim Gottesdienst im Tempel häufig vorgetragen (Talstra/Bosma, Psalm 67. Blessing, Harvest and History, 311). Der Autor gibt hier nur die Teile des Gebets wieder, die Gottes Segen für den Betenden einfordern.</w:t>
      </w:r>
    </w:p>
  </w:footnote>
  <w:footnote w:id="866">
    <w:p>
      <w:pPr>
        <w:pStyle w:val="Funote"/>
        <w:rPr/>
      </w:pPr>
      <w:r>
        <w:rPr/>
        <w:footnoteRef/>
        <w:tab/>
        <w:t xml:space="preserve">dein Weg Dieser „Weg“ Gottes kann Verschiedenes bedeuten. In Bezug auf Gott selbst sind es manchmal Gottes Absichten und Pläne (Ps 10,5; 18,31; 103,7), häufiger aber Gottes offenbarter Wille für den Einzelnen oder das Volk (Ex 32,8; Ps 18,22; 25,4.8.9; 27,11; 37,34, etc.; THAT, </w:t>
      </w:r>
      <w:r>
        <w:rPr>
          <w:rtl w:val="true"/>
          <w:lang w:bidi="he-IL"/>
        </w:rPr>
        <w:t>דֶּ֫רֶךְ</w:t>
      </w:r>
      <w:r>
        <w:rPr/>
        <w:t xml:space="preserve"> </w:t>
      </w:r>
      <w:r>
        <w:rPr/>
        <w:t>Weg, 459). Für das Verständnis an dieser Stelle ist besonders interessant, dass V. 5 diesen „Weg Gottes“ zumindest teilweise für den Leser zu erklären scheint. V. 5 beschreibt Gottes ordnendes Wirken in der Welt. Auch die „rettende Kraft“ (V. 3b), im Parallelismus dem „Weg“ gegenüber gestellt, drückt einen Aspekt von Gottes „Weg“ aus.</w:t>
      </w:r>
    </w:p>
  </w:footnote>
  <w:footnote w:id="867">
    <w:p>
      <w:pPr>
        <w:pStyle w:val="Funote"/>
        <w:rPr/>
      </w:pPr>
      <w:r>
        <w:rPr/>
        <w:footnoteRef/>
        <w:tab/>
        <w:t xml:space="preserve">Völkern (Nationen) In diesem Psalm kommen alle drei hebräischen Wörter für „Volk“ vor. Der Autor bringt damit seinen Wunsch zum Ausdruck, dass die gesamte Menschheit Gott preisen und d.h. als ihren Gott anerkennen soll (TWOT, 1069a </w:t>
      </w:r>
      <w:r>
        <w:rPr>
          <w:rtl w:val="true"/>
          <w:lang w:bidi="he-IL"/>
        </w:rPr>
        <w:t>לְֹם</w:t>
      </w:r>
      <w:r>
        <w:rPr/>
        <w:t xml:space="preserve">). Das wird im letzten Vers sehr deutlich. Die drei Wörter sind </w:t>
      </w:r>
      <w:r>
        <w:rPr>
          <w:rtl w:val="true"/>
          <w:lang w:bidi="he-IL"/>
        </w:rPr>
        <w:t>עַמִּים</w:t>
      </w:r>
      <w:r>
        <w:rPr/>
        <w:t xml:space="preserve"> </w:t>
      </w:r>
      <w:r>
        <w:rPr/>
        <w:t xml:space="preserve">und </w:t>
      </w:r>
      <w:r>
        <w:rPr>
          <w:rtl w:val="true"/>
          <w:lang w:bidi="he-IL"/>
        </w:rPr>
        <w:t>לְאֻ֫מִּים</w:t>
      </w:r>
      <w:r>
        <w:rPr/>
        <w:t xml:space="preserve"> </w:t>
      </w:r>
      <w:r>
        <w:rPr/>
        <w:t xml:space="preserve">(V. 5a.c), die beide einfach „Völker“ bedeuten, und </w:t>
      </w:r>
      <w:r>
        <w:rPr>
          <w:rtl w:val="true"/>
          <w:lang w:bidi="he-IL"/>
        </w:rPr>
        <w:t>גּוֹיִם</w:t>
      </w:r>
      <w:r>
        <w:rPr/>
        <w:t xml:space="preserve"> </w:t>
      </w:r>
      <w:r>
        <w:rPr/>
        <w:t>(V. 3b), das im Plural häufig (heidnische) Völker in Abgrenzung zu Israel bezeichnet. Hier meinen wohl alle drei dasselbe. Die ELB unterscheidet etwas künstlich „Völker“ (</w:t>
      </w:r>
      <w:r>
        <w:rPr>
          <w:rtl w:val="true"/>
          <w:lang w:bidi="he-IL"/>
        </w:rPr>
        <w:t>עַמִּים</w:t>
      </w:r>
      <w:r>
        <w:rPr/>
        <w:t>), „Völkerschaften“ (</w:t>
      </w:r>
      <w:r>
        <w:rPr>
          <w:rtl w:val="true"/>
          <w:lang w:bidi="he-IL"/>
        </w:rPr>
        <w:t>לְאֻ֫מִּים</w:t>
      </w:r>
      <w:r>
        <w:rPr/>
        <w:t>) und „Nationen“ (</w:t>
      </w:r>
      <w:r>
        <w:rPr>
          <w:rtl w:val="true"/>
          <w:lang w:bidi="he-IL"/>
        </w:rPr>
        <w:t>גּוֹיִם</w:t>
      </w:r>
      <w:r>
        <w:rPr/>
        <w:t>; SLT unterscheidet stattdessen „Völker“, „Nationen“, „Heidenvölker“). Um deutlich zu machen, welcher Begriff wann verwendet wird, wurden in V. 3 und 5 entsprechende Klammern ergänzt.</w:t>
      </w:r>
    </w:p>
  </w:footnote>
  <w:footnote w:id="868">
    <w:p>
      <w:pPr>
        <w:pStyle w:val="Funote"/>
        <w:rPr/>
      </w:pPr>
      <w:r>
        <w:rPr/>
        <w:footnoteRef/>
        <w:tab/>
        <w:t>deine rettende Kraft (Hilfe, Rettung, dein Eingeifen, Heil) So wie V. 5 Gottes „Weg“ (3a) genauer beschreibt, erklärt der Verfasser in V. 7-8 Aspekte von Gottes „rettender Kraft“. Sein Heilshandeln kommt einerseits in Form der ertragreichen Ernte zum Ausdruck. Sie war im Bund zwischen Gott und Israel ein konkretes Zeichen von Gottes Wohlwollen. In Lev 26,4-5.10; Dtn 28,4.11-12 ist sie Teil des Segens, den Gott für Israels Bundesgehorsam verspricht. Andererseits äußert sich Gottes Heilshandeln darin, dass auch die anderen Völker ihn erkennen werden. Israel als Folge der Segnung Israels, als der höchsten Form des geistlichen Segens.</w:t>
      </w:r>
    </w:p>
  </w:footnote>
  <w:footnote w:id="869">
    <w:p>
      <w:pPr>
        <w:pStyle w:val="Funote"/>
        <w:rPr/>
      </w:pPr>
      <w:r>
        <w:rPr/>
        <w:footnoteRef/>
        <w:tab/>
        <w:t xml:space="preserve">preisen (bekennen, dir danken) Die eigentliche Bedeutung der Wurzel ist „(jmdn./etw.) anerkennen“, „(etw.) bekennen“. Viele Übersetzungen geben das Wort mit „danken“ wieder. Es wird im AT allerdings an keiner Stelle für zwischenmenschlichen Dank verwendet; die Bedeutung ist viel weiter. Die am häufigsten passende, hier wohl beste Übersetzung ist „preisen“ – wobei das häufig als dankbare Reaktion auf eine Tat Gottes erfolgt (THAT </w:t>
      </w:r>
      <w:r>
        <w:rPr>
          <w:rtl w:val="true"/>
          <w:lang w:bidi="he-IL"/>
        </w:rPr>
        <w:t>ידה</w:t>
      </w:r>
      <w:r>
        <w:rPr/>
        <w:t>, TWOT 847).</w:t>
      </w:r>
    </w:p>
  </w:footnote>
  <w:footnote w:id="870">
    <w:p>
      <w:pPr>
        <w:pStyle w:val="Funote"/>
        <w:rPr/>
      </w:pPr>
      <w:r>
        <w:rPr/>
        <w:footnoteRef/>
        <w:tab/>
        <w:t>gerecht ([mit] Gerechtigkeit) Einige Übersetzungen und Kommentare formulieren „Geradheit“ (Zenger 2000, Buber/Rosenzweig, REB, Alisa Stadler) oder „Geradlinigheit“ (BiGS), doch das erscheint „überwörtlich“. Das Substantiv/Adjektiv heißt in anderen Kontexten „Ebene“ oder „Geradheit“ und bezeichnet hier die unfehlbar aufrichtige Art und Weise, in der Urteile gefällt werden (TWOT 930). Der Begriff erinnert an Gottes Eigenschaft als gerechter Aufrechterhalter der schöpfungsbedingten Weltordnung, in der er so richtet, dass diese Ordnung wieder hergestellt wird (Zenger 2000, 238f.). S.a. Ps 9,9; 96,10; 98,9.</w:t>
      </w:r>
    </w:p>
  </w:footnote>
  <w:footnote w:id="871">
    <w:p>
      <w:pPr>
        <w:pStyle w:val="Funote"/>
        <w:rPr/>
      </w:pPr>
      <w:r>
        <w:rPr/>
        <w:footnoteRef/>
        <w:tab/>
        <w:t>Die zweite und dritte Zeile des Verses (5bc) stellen zwei Aspekte von Gottes „Weg“ (3a) dar – sie erklären also, warum Gott Lobpreis zusteht, nachdem die Völker seine Herrschaft erkannt haben. Dieses Anliegen durchzieht den ganzen Psalm. Vgl. Fußnote f.</w:t>
      </w:r>
    </w:p>
  </w:footnote>
  <w:footnote w:id="872">
    <w:p>
      <w:pPr>
        <w:pStyle w:val="Funote"/>
        <w:rPr/>
      </w:pPr>
      <w:r>
        <w:rPr/>
        <w:footnoteRef/>
        <w:tab/>
        <w:t>[Das] Land hat seinen Ertrag gegeben. Es segne uns Gott, unser Gott! An den Klammern im Fließtext ist zu erkennen, dass sich die beiden Verben auf viele verschiedene Weisen übersetzen lassen. Manche Übersetzungen setzen die beiden Aussagen bewusst in Beziehung, etwa: „Die Erde gab ihren Ertrag. Gott, unser Gott, segnet uns.“ (so GNB, NASB, HCSB). Die NRSV übersetzt V. 7 ganz vergangen („gab Ertrag/hat gesegnet“) und die wiederholte Segensaufforderung in V. 8a als „May God continue to bless us“ („Möge Gott uns weiterhin segnen“; TNIV ähnlich).</w:t>
      </w:r>
    </w:p>
  </w:footnote>
  <w:footnote w:id="873">
    <w:p>
      <w:pPr>
        <w:pStyle w:val="Funote"/>
        <w:rPr/>
      </w:pPr>
      <w:r>
        <w:rPr/>
        <w:footnoteRef/>
        <w:tab/>
        <w:t xml:space="preserve">fürchten (Hebr. </w:t>
      </w:r>
      <w:r>
        <w:rPr>
          <w:rtl w:val="true"/>
          <w:lang w:bidi="he-IL"/>
        </w:rPr>
        <w:t>יָרֵא</w:t>
      </w:r>
      <w:r>
        <w:rPr/>
        <w:t xml:space="preserve"> </w:t>
      </w:r>
      <w:r>
        <w:rPr/>
        <w:t>steht hier für religiöse Verehrung (vgl. Ps 33,8; 34,10; 47,3; 64,10 u.a.) (TWOT 907). Die Gemeinde Israels wünscht sich beim Gebet dieses Psalms, dass die gesamte Menschheit Gott anerkennt. Aus der Erkenntnis von Gottes „Weg“ (3a) sollen nach ihrem Wunsch (Ehr)Furcht vor seiner Macht und Unterordnung unter seinen Willen entstehen – und am Ende Lob (4-6). „Furcht“ vor Gott ist nur ein Aspekt seiner Anbetung in Ps 67. Der andere ist das Lob (4-6). Die zweite Zeile des Verses könnte man auch so übersetzen: „und alle Enden der Erde sollen (mögen, werden) ihn fürchten“</w:t>
      </w:r>
    </w:p>
  </w:footnote>
  <w:footnote w:id="874">
    <w:p>
      <w:pPr>
        <w:pStyle w:val="Funote"/>
        <w:rPr/>
      </w:pPr>
      <w:r>
        <w:rPr/>
        <w:footnoteRef/>
        <w:tab/>
        <w:t>[Status: Zuverlässig]</w:t>
      </w:r>
    </w:p>
  </w:footnote>
  <w:footnote w:id="875">
    <w:p>
      <w:pPr>
        <w:pStyle w:val="Funote"/>
        <w:rPr/>
      </w:pPr>
      <w:r>
        <w:rPr/>
        <w:footnoteRef/>
        <w:tab/>
        <w:t>D.h. wahrscheinlich „in allen Generationen“</w:t>
      </w:r>
    </w:p>
  </w:footnote>
  <w:footnote w:id="876">
    <w:p>
      <w:pPr>
        <w:pStyle w:val="Funote"/>
        <w:rPr/>
      </w:pPr>
      <w:r>
        <w:rPr/>
        <w:footnoteRef/>
        <w:tab/>
        <w:t>Dieses Wort hat keinen allumfassenden Sinn wie „Kosmos“, sondern ist i.d.R. mit „Erde“ Synonym – hier klar ein Hendiadyoin.</w:t>
      </w:r>
    </w:p>
  </w:footnote>
  <w:footnote w:id="877">
    <w:p>
      <w:pPr>
        <w:pStyle w:val="Funote"/>
        <w:rPr/>
      </w:pPr>
      <w:r>
        <w:rPr/>
        <w:footnoteRef/>
        <w:tab/>
        <w:t>Das Verb heißt eigentlich „sich (in Schmerzen) winden“ und steht oft in Zusammenhang mit der Geburt. Hier wird es bildhaft verwendet. Die Grenzen der deutschen Sprache machen eine genauere Übersetzung nicht möglich.</w:t>
      </w:r>
    </w:p>
  </w:footnote>
  <w:footnote w:id="878">
    <w:p>
      <w:pPr>
        <w:pStyle w:val="Funote"/>
        <w:rPr/>
      </w:pPr>
      <w:r>
        <w:rPr/>
        <w:footnoteRef/>
        <w:tab/>
        <w:t>Nach der LXX und anderen Zeugen kein Polel, sondern Polal → Passiv: „Bevor … die Erde und die Welt hervorgebracht waren“ (NET Ps 90,2 Fußnote 3)</w:t>
      </w:r>
    </w:p>
  </w:footnote>
  <w:footnote w:id="879">
    <w:p>
      <w:pPr>
        <w:pStyle w:val="Funote"/>
        <w:rPr/>
      </w:pPr>
      <w:r>
        <w:rPr/>
        <w:footnoteRef/>
        <w:tab/>
        <w:t>Die LXX liest „nicht“ (</w:t>
      </w:r>
      <w:r>
        <w:rPr>
          <w:rtl w:val="true"/>
          <w:lang w:bidi="he-IL"/>
        </w:rPr>
        <w:t>אַל</w:t>
      </w:r>
      <w:r>
        <w:rPr/>
        <w:t>) statt „Gott“ (</w:t>
      </w:r>
      <w:r>
        <w:rPr>
          <w:rtl w:val="true"/>
          <w:lang w:bidi="he-IL"/>
        </w:rPr>
        <w:t>אֵל</w:t>
      </w:r>
      <w:r>
        <w:rPr/>
        <w:t>) und hängt das als Verneinung an den Beginn des nächsten Verses, dann lediglich: „Bevor..., und von Ewigkeit... bist du.“</w:t>
      </w:r>
    </w:p>
  </w:footnote>
  <w:footnote w:id="880">
    <w:p>
      <w:pPr>
        <w:pStyle w:val="Funote"/>
        <w:rPr/>
      </w:pPr>
      <w:r>
        <w:rPr/>
        <w:footnoteRef/>
        <w:tab/>
        <w:t>LXX: „Du lässt nicht zurückkehren“ (vgl. letzte Fußnote V. 5)</w:t>
      </w:r>
    </w:p>
  </w:footnote>
  <w:footnote w:id="881">
    <w:p>
      <w:pPr>
        <w:pStyle w:val="Funote"/>
        <w:rPr/>
      </w:pPr>
      <w:r>
        <w:rPr/>
        <w:footnoteRef/>
        <w:tab/>
        <w:t>Eigentlich ein (zeitloses) Imperfekt. Im Kontext des gestrigen Tages als Vergangenheit übersetzt.</w:t>
      </w:r>
    </w:p>
  </w:footnote>
  <w:footnote w:id="882">
    <w:p>
      <w:pPr>
        <w:pStyle w:val="Funote"/>
        <w:rPr/>
      </w:pPr>
      <w:r>
        <w:rPr/>
        <w:footnoteRef/>
        <w:tab/>
        <w:t>Kann sich auf die israelitische Nachtzeiteinheit „Nachtwache“ beziehen (NET Ps 90,4 Fußnote 8).</w:t>
      </w:r>
    </w:p>
  </w:footnote>
  <w:footnote w:id="883">
    <w:p>
      <w:pPr>
        <w:pStyle w:val="Funote"/>
        <w:rPr/>
      </w:pPr>
      <w:r>
        <w:rPr/>
        <w:footnoteRef/>
        <w:tab/>
        <w:t>Die genaue Bedeutung des Verbs ist unklar. NET: „beendest ihr Leben“</w:t>
      </w:r>
    </w:p>
  </w:footnote>
  <w:footnote w:id="884">
    <w:p>
      <w:pPr>
        <w:pStyle w:val="Funote"/>
        <w:rPr/>
      </w:pPr>
      <w:r>
        <w:rPr/>
        <w:footnoteRef/>
        <w:tab/>
        <w:t>Oder: „[wie] Schlaf am Morgen, wie Gras“</w:t>
      </w:r>
    </w:p>
  </w:footnote>
  <w:footnote w:id="885">
    <w:p>
      <w:pPr>
        <w:pStyle w:val="Funote"/>
        <w:rPr/>
      </w:pPr>
      <w:r>
        <w:rPr/>
        <w:footnoteRef/>
        <w:tab/>
        <w:t>V. 5 beinhaltet eines der schwierigsten textkritischen Probleme des Alten Testaments. Der Vers ist im masoretischen Text schwierig zu deuten, weil er wenig klar zugeordnete Elemente enthält. Dazu kommen verschiedene Lesarten in LXX und Peschitta, aus der die BHS den möglichen Ursprungstext „Du sähst sie aus Jahr für Jahr, sie sind am Morgen wie Gras, [das] aufsprosst.“ konstruiert (so EÜ, Zür1931). Die Gewichtung der Textzeugen und die lectio difficilior im masoretischen Text (die nicht aus dem Vorschlag erklärt werden kann) gibt diesem aber klar Vorrang.</w:t>
      </w:r>
    </w:p>
  </w:footnote>
  <w:footnote w:id="886">
    <w:p>
      <w:pPr>
        <w:pStyle w:val="Funote"/>
        <w:rPr/>
      </w:pPr>
      <w:r>
        <w:rPr/>
        <w:footnoteRef/>
        <w:tab/>
        <w:t>EÜ: „wird es geschnitten“</w:t>
      </w:r>
    </w:p>
  </w:footnote>
  <w:footnote w:id="887">
    <w:p>
      <w:pPr>
        <w:pStyle w:val="Funote"/>
        <w:rPr/>
      </w:pPr>
      <w:r>
        <w:rPr/>
        <w:footnoteRef/>
        <w:tab/>
        <w:t>Die beiden Wörter werden ins Deutsche häufig als „Zorn“ und „Grimm“ übersetzt. Letzteres ist jedoch heutzutage nicht mehr allgemein verständlich. Im Grunde sind beide synonym. Das häufige Wort für „Zorn“ heißt ursprünglich „Nase, Gesicht“ und enthält die Konnotation des zornigen Schnaubens. Das zweite Wort heißt eigentlich Hitze und enthält also die Konnotation der Zorneshitze.</w:t>
      </w:r>
    </w:p>
  </w:footnote>
  <w:footnote w:id="888">
    <w:p>
      <w:pPr>
        <w:pStyle w:val="Funote"/>
        <w:rPr/>
      </w:pPr>
      <w:r>
        <w:rPr/>
        <w:footnoteRef/>
        <w:tab/>
        <w:t>Die meisten deutschen Übersetzungen halten es hier mit Luther: „wenn es hoch kommt“</w:t>
      </w:r>
    </w:p>
  </w:footnote>
  <w:footnote w:id="889">
    <w:p>
      <w:pPr>
        <w:pStyle w:val="Funote"/>
        <w:rPr/>
      </w:pPr>
      <w:r>
        <w:rPr/>
        <w:footnoteRef/>
        <w:tab/>
        <w:t>D.h. der Stolz der Jahre → die Blüte des Lebens.</w:t>
      </w:r>
    </w:p>
  </w:footnote>
  <w:footnote w:id="890">
    <w:p>
      <w:pPr>
        <w:pStyle w:val="Funote"/>
        <w:rPr/>
      </w:pPr>
      <w:r>
        <w:rPr/>
        <w:footnoteRef/>
        <w:tab/>
        <w:t>D.h. „die Furcht vor dir“.</w:t>
      </w:r>
    </w:p>
  </w:footnote>
  <w:footnote w:id="891">
    <w:p>
      <w:pPr>
        <w:pStyle w:val="Funote"/>
        <w:rPr/>
      </w:pPr>
      <w:r>
        <w:rPr/>
        <w:footnoteRef/>
        <w:tab/>
        <w:t>Die parallele Satzstruktur weist darauf hin, dass aus der einen vergleichenden Präposition (vor „Tage“) weitere ergänzt werden müssen. In hebräischer Dichtung ist das nicht ungewöhnlich (vgl. V. 5).</w:t>
      </w:r>
    </w:p>
  </w:footnote>
  <w:footnote w:id="892">
    <w:p>
      <w:pPr>
        <w:pStyle w:val="Funote"/>
        <w:rPr/>
      </w:pPr>
      <w:r>
        <w:rPr/>
        <w:footnoteRef/>
        <w:tab/>
        <w:t>REB: „Lass an deinen Knechten sichtbar werden“</w:t>
      </w:r>
    </w:p>
  </w:footnote>
  <w:footnote w:id="893">
    <w:p>
      <w:pPr>
        <w:pStyle w:val="Funote"/>
        <w:rPr/>
      </w:pPr>
      <w:r>
        <w:rPr/>
        <w:footnoteRef/>
        <w:tab/>
        <w:t>SLT: „fördere“, EÜ: „lass gedeihen“</w:t>
      </w:r>
    </w:p>
  </w:footnote>
  <w:footnote w:id="894">
    <w:p>
      <w:pPr>
        <w:pStyle w:val="Funote"/>
        <w:rPr/>
      </w:pPr>
      <w:r>
        <w:rPr/>
        <w:footnoteRef/>
        <w:tab/>
        <w:t>[Status: Zuverlässig]</w:t>
      </w:r>
    </w:p>
  </w:footnote>
  <w:footnote w:id="895">
    <w:p>
      <w:pPr>
        <w:pStyle w:val="Funote"/>
        <w:rPr/>
      </w:pPr>
      <w:r>
        <w:rPr/>
        <w:footnoteRef/>
        <w:tab/>
        <w:t>Wechselgesang - so kürzlich Amzallag 2014, doch ist das eher unwahrscheinlich.</w:t>
      </w:r>
    </w:p>
  </w:footnote>
  <w:footnote w:id="896">
    <w:p>
      <w:pPr>
        <w:pStyle w:val="Funote"/>
        <w:rPr/>
      </w:pPr>
      <w:r>
        <w:rPr>
          <w:rtl w:val="true"/>
          <w:lang w:bidi="he-IL"/>
        </w:rPr>
        <w:footnoteRef/>
        <w:tab/>
        <w:t>לְתוֹדָה</w:t>
      </w:r>
      <w:r>
        <w:rPr/>
        <w:t xml:space="preserve"> </w:t>
      </w:r>
      <w:r>
        <w:rPr/>
        <w:t>wird meist entweder verstanden als „zum Dankopfer“ (welches in früheren Zeiten in der Liturgie des Dankgottesdienstes im Tempel dargebracht wurde) oder als „zur Danksagung“ (die - in Form eines „Dankliedes“ - später das Dankopfer im Dankgottesdienst ablösen sollte; vgl. Gerstenberger 2001, S. 203). Welches der beiden hier vorzuziehen ist, ist unmöglich zu entscheiden; man wird es daher unspezifisch übersetzen müssen. Deshalb und wegen LF-Kriterium 3d (inhaltliche Offenheit) wohl am besten: „zum Dankgottesdienst“ (so Deissler 1989; HfA; Hossfeld/Zenger 2000; ähnlich BB („zur Dankfeier“)). Theoretisch möglich, da der Psalm ja einen Anlass des Dankens ganz unerwähnt lässt, wäre auch eine Übersetzung mit „Ein Lobpsalm“ und entsprechend in V. 4 „Lob“ oder „Loblied“; vgl. z.B. Kissane 1953, S. 135: „A psalm. For praise“; Terrien 2003, S. 688: „Psalm for praise“. Das machte den Psalm ein wenig kohärenter, wäre aber hier eine Minderheitenübersetzung; übersetze daher wie vorgeschlagen.</w:t>
      </w:r>
    </w:p>
  </w:footnote>
  <w:footnote w:id="897">
    <w:p>
      <w:pPr>
        <w:pStyle w:val="Funote"/>
        <w:rPr/>
      </w:pPr>
      <w:r>
        <w:rPr/>
        <w:footnoteRef/>
        <w:tab/>
        <w:t>Im Hebräischen Plural, da natürlich „ganze Erde“ - gleich, wie es genau zu deuten ist (s. nächste FN) - auf die Bewohner dieser Erde zu beziehen ist.</w:t>
      </w:r>
    </w:p>
  </w:footnote>
  <w:footnote w:id="898">
    <w:p>
      <w:pPr>
        <w:pStyle w:val="Funote"/>
        <w:rPr/>
      </w:pPr>
      <w:r>
        <w:rPr/>
        <w:footnoteRef/>
        <w:tab/>
        <w:t xml:space="preserve">Man kann bei Ps 100 grob zwei Auslegungslinien unterscheiden, die sich im Laufe der Zeit etabliert haben: (1) eine universale und (2) eine nationale. Mit der Entscheidung für eine der beiden Auslegungstraditionen fallen fast automatisch auch die Entscheidungen für drei einzelne Interpretationsfragen, die daher hier gesammelt behandelt werden sollen: # Die universale Auslegungslinie versteht als Adressaten des Psalms die nicht-JHWH-gläubigen fremden Völker, an die sich die Gottesdienstgemeinde sozusagen „fiktiv“ wendet, indem sie den Psalm betet. (a) </w:t>
      </w:r>
      <w:r>
        <w:rPr>
          <w:rtl w:val="true"/>
          <w:lang w:bidi="he-IL"/>
        </w:rPr>
        <w:t>כָּל־הָאָרֶץ</w:t>
      </w:r>
      <w:r>
        <w:rPr/>
        <w:t xml:space="preserve"> </w:t>
      </w:r>
      <w:r>
        <w:rPr/>
        <w:t xml:space="preserve">in V. 1 ist daher zu verstehen als „du ganze Erde“; (b) das </w:t>
      </w:r>
      <w:r>
        <w:rPr>
          <w:lang w:bidi="he-IL"/>
        </w:rPr>
        <w:t>ּּ</w:t>
      </w:r>
      <w:r>
        <w:rPr>
          <w:rtl w:val="true"/>
          <w:lang w:bidi="he-IL"/>
        </w:rPr>
        <w:t>עִבְדו</w:t>
      </w:r>
      <w:r>
        <w:rPr/>
        <w:t xml:space="preserve"> </w:t>
      </w:r>
      <w:r>
        <w:rPr/>
        <w:t xml:space="preserve">in V. 2 ist zu verstehen als „sich unterwerfen, dienstbar sein“ und (c) </w:t>
      </w:r>
      <w:r>
        <w:rPr>
          <w:rtl w:val="true"/>
          <w:lang w:bidi="he-IL"/>
        </w:rPr>
        <w:t>דְּעוּ</w:t>
      </w:r>
      <w:r>
        <w:rPr/>
        <w:t xml:space="preserve"> </w:t>
      </w:r>
      <w:r>
        <w:rPr/>
        <w:t xml:space="preserve">in V. 3 meint (wie meist) „erkennt“, da die fremden Völker ja wirklich zu einer für sie neuen Erkenntnis kommen sollen. So v.a. Jeremias 1998 und Jeremias 2004; auch Hossfeld/Zenger 2000; Kissane 1954; Zenger 2003 (Lohfink 1990 war mir noch nicht zugänglich). # Die nationale Auslegungslinie versteht als Adressaten des Psalms die versammelte Gottesdienstgemeinde, die ja in Vv. 3.5 tatsächlich auch antwortet. (a) </w:t>
      </w:r>
      <w:r>
        <w:rPr>
          <w:rtl w:val="true"/>
          <w:lang w:bidi="he-IL"/>
        </w:rPr>
        <w:t>כָּל־הָאָרֶץ</w:t>
      </w:r>
      <w:r>
        <w:rPr/>
        <w:t xml:space="preserve"> </w:t>
      </w:r>
      <w:r>
        <w:rPr/>
        <w:t xml:space="preserve">ist entweder zu übersetzen als „du ganzes Land“ (Buttenwieser 1938; Gunkel 1968; Weber 1998) - zur Vorstellung vgl. 2Chr 30 - oder es ist nur „dichterische Redefigur“ (Nötscher 1959)/„Hyperbel“ (Prinsloo 1991) - vgl. Ps 98,4 - und es sind deshalb trotz der „wörtlichen“ Bedeutung ganze Erde nur die Bewohner Israels oder gar nur die Gottesdienstgemeinde gemeint. (b) </w:t>
      </w:r>
      <w:r>
        <w:rPr>
          <w:lang w:bidi="he-IL"/>
        </w:rPr>
        <w:t>ּּ</w:t>
      </w:r>
      <w:r>
        <w:rPr>
          <w:rtl w:val="true"/>
          <w:lang w:bidi="he-IL"/>
        </w:rPr>
        <w:t>עִבְדו</w:t>
      </w:r>
      <w:r>
        <w:rPr/>
        <w:t xml:space="preserve"> </w:t>
      </w:r>
      <w:r>
        <w:rPr/>
        <w:t xml:space="preserve">dient bezieht sich speziell auf den Gottesdienst, also i.S.v. „feiert Gottesdienst“ (Baethgen 1892; Briggs 1907; Deissler 1989; Ehrlich 1905; Gunkel 1968, S. 432; NL; R-S); vgl. Ex 3,12; 5,1.3; Jos 22,27; 2Sam 15,8; Ps 102,23; Jes 19,21. Und (c) </w:t>
      </w:r>
      <w:r>
        <w:rPr>
          <w:rtl w:val="true"/>
          <w:lang w:bidi="he-IL"/>
        </w:rPr>
        <w:t>דְּעוּ</w:t>
      </w:r>
      <w:r>
        <w:rPr/>
        <w:t xml:space="preserve"> </w:t>
      </w:r>
      <w:r>
        <w:rPr/>
        <w:t>in V. 2 meint nicht „erkennt“, sondern „bekennt“ (Ehrlich 1905; Gerstenberger 1972; R-S; vgl. BDB 394; NET zu Jer 3,13; 14,20) und ist also ebenfalls wie 1b.2b als Aufruf zum JHWH-Preis zu verstehen. Den Ausschlag für Variante (2) gibt V. 3, da die Vorstellung, die Völker würden sich JHWH dienstbar machen und ihm dabei auch noch dankbar zujubeln zwar theoretisch möglich, aber doch recht fernliegend ist.</w:t>
      </w:r>
    </w:p>
  </w:footnote>
  <w:footnote w:id="899">
    <w:p>
      <w:pPr>
        <w:pStyle w:val="Funote"/>
        <w:rPr/>
      </w:pPr>
      <w:r>
        <w:rPr>
          <w:rtl w:val="true"/>
          <w:lang w:bidi="he-IL"/>
        </w:rPr>
        <w:footnoteRef/>
        <w:tab/>
        <w:t>שִׂמחָה</w:t>
      </w:r>
      <w:r>
        <w:rPr/>
        <w:t xml:space="preserve"> </w:t>
      </w:r>
      <w:r>
        <w:rPr/>
        <w:t>meint primär die lärmende Festfreude (Ges18, S. 1291). Hier kommt eine Vorstellung vom Gottesdienst zum Ausdruck, die in unserer europäischen Gottesdienstkultur wohl etwas verschüttet gegangen ist: Der Gottesdienst dient ganz entschieden auch dazu, &lt;blockquote&gt;„daß das ganze Volk im Angesicht Gottes fröhlich werde. Um dieser gemeinsamen Fröhlichkeit willen soll sich das ganze Volk am Jerusalemer Heiligtum zum Opfermahl versammeln: »[...] und ihr sollt daselbst vor Jahwe, eurem Gott, das Mahl halten und fröhlich sein, ihr und eure Familien. (Dtn 12,7)« Dieses »Ihr sollt fröhlich sein« ist typisch für die Kultgesetze vor allem des Deuternomiums (Dtn 12,7.18; 14,26; 16,11.14; 26,11; 27,7; Lev 23,40). Es ist eigentlich eine liturgische Anweisung. Die Freude gehört zum Gottesdienst, ohne Freude wäre der Gottesdienst kein ganzer Gottesdienst, das Fest kein ganzes Fest.“ (Haag 1978, S. 99f).&lt;/blockquote&gt;</w:t>
      </w:r>
    </w:p>
  </w:footnote>
  <w:footnote w:id="900">
    <w:p>
      <w:pPr>
        <w:pStyle w:val="Funote"/>
        <w:rPr/>
      </w:pPr>
      <w:r>
        <w:rPr>
          <w:rtl w:val="true"/>
          <w:lang w:bidi="he-IL"/>
        </w:rPr>
        <w:footnoteRef/>
        <w:tab/>
        <w:t>לְפָנָיו</w:t>
      </w:r>
      <w:r>
        <w:rPr/>
        <w:t xml:space="preserve"> </w:t>
      </w:r>
      <w:r>
        <w:rPr/>
        <w:t>vor ihn = vor Gott meint hier wie oft „in den Tempel“ oder „am/im Heiligtum“; wie ja auch „seine Tore“ und „seine Vorhöfe“ in V. 4 klar die Tore und Vorhöfe des Tempels sind. Vgl. ad loc. Alter 2007; Briggs 1907; Kissane 1954; Mays 1969; Nötscher 1959; auch Ehrlich 1905, S. 359; SS, S. 41. Vgl. noch Jos 24,1; Ri 21,2; 1Sam 10,3; 1Chr 13,8.10; 1Chr 16,1; Ps 138,1; 1Q20 21,3; evt. auch Ps 61,8; 84,8.</w:t>
      </w:r>
    </w:p>
  </w:footnote>
  <w:footnote w:id="901">
    <w:p>
      <w:pPr>
        <w:pStyle w:val="Funote"/>
        <w:rPr/>
      </w:pPr>
      <w:r>
        <w:rPr>
          <w:rtl w:val="true"/>
          <w:lang w:bidi="he-IL"/>
        </w:rPr>
        <w:footnoteRef/>
        <w:tab/>
        <w:t>רְנָנָה</w:t>
      </w:r>
      <w:r>
        <w:rPr/>
        <w:t xml:space="preserve"> </w:t>
      </w:r>
      <w:r>
        <w:rPr/>
        <w:t xml:space="preserve">meint primär das laute, gellende Rufen und erst danach auch das laute Jauchzen; wie beim parallelen </w:t>
      </w:r>
      <w:r>
        <w:rPr>
          <w:rtl w:val="true"/>
          <w:lang w:bidi="he-IL"/>
        </w:rPr>
        <w:t>שִׂמחָה</w:t>
      </w:r>
      <w:r>
        <w:rPr/>
        <w:t xml:space="preserve"> </w:t>
      </w:r>
      <w:r>
        <w:rPr/>
        <w:t xml:space="preserve">wird hier also der Schwerpunkt auf die Intensität der Freudenäußerungen gelegt: Der Tempel soll in geradezu überbordender Fröhlichkeit betreten werden. Übrigens reimt sich im hebräischen Text </w:t>
      </w:r>
      <w:r>
        <w:rPr>
          <w:rtl w:val="true"/>
          <w:lang w:bidi="he-IL"/>
        </w:rPr>
        <w:t>רְנָנָה</w:t>
      </w:r>
      <w:r>
        <w:rPr/>
        <w:t xml:space="preserve"> </w:t>
      </w:r>
      <w:r>
        <w:rPr/>
        <w:t xml:space="preserve">Freudengeschrei auf </w:t>
      </w:r>
      <w:r>
        <w:rPr>
          <w:rtl w:val="true"/>
          <w:lang w:bidi="he-IL"/>
        </w:rPr>
        <w:t>שִׂמחָה</w:t>
      </w:r>
      <w:r>
        <w:rPr/>
        <w:t xml:space="preserve"> </w:t>
      </w:r>
      <w:r>
        <w:rPr/>
        <w:t>lärmende Festfreude; beide werden häufiger im Parallelismus verwendet (vgl. Auffret 2007, S. 236).</w:t>
      </w:r>
    </w:p>
  </w:footnote>
  <w:footnote w:id="902">
    <w:p>
      <w:pPr>
        <w:pStyle w:val="Funote"/>
        <w:rPr/>
      </w:pPr>
      <w:r>
        <w:rPr/>
        <w:footnoteRef/>
        <w:tab/>
        <w:t xml:space="preserve">Nicht: JHWH, er [ist] Gott - </w:t>
      </w:r>
      <w:r>
        <w:rPr>
          <w:rtl w:val="true"/>
          <w:lang w:bidi="he-IL"/>
        </w:rPr>
        <w:t>הוּא</w:t>
      </w:r>
      <w:r>
        <w:rPr/>
        <w:t xml:space="preserve"> </w:t>
      </w:r>
      <w:r>
        <w:rPr/>
        <w:t>verwendet als Pro-Kopula; vgl. dazu z.B. zuletzt wieder Holmstedt/Jones 2013.</w:t>
      </w:r>
    </w:p>
  </w:footnote>
  <w:footnote w:id="903">
    <w:p>
      <w:pPr>
        <w:pStyle w:val="Funote"/>
        <w:rPr/>
      </w:pPr>
      <w:r>
        <w:rPr/>
        <w:footnoteRef/>
        <w:tab/>
        <w:t>Ketiv liest „und nicht wir“ (</w:t>
      </w:r>
      <w:r>
        <w:rPr>
          <w:rtl w:val="true"/>
          <w:lang w:bidi="he-IL"/>
        </w:rPr>
        <w:t>ולא</w:t>
      </w:r>
      <w:r>
        <w:rPr/>
        <w:t>); so auch LXX, VUL, Syr, Sym. Dagegen Qere: „sein [sind] wir“ (</w:t>
      </w:r>
      <w:r>
        <w:rPr>
          <w:rtl w:val="true"/>
          <w:lang w:bidi="he-IL"/>
        </w:rPr>
        <w:t>ולו</w:t>
      </w:r>
      <w:r>
        <w:rPr/>
        <w:t>); so dann auch Tg, Hier, Aq, Saadia. Qere wird von fast allen vorgezogen (Ausnahmen: Auffret 2007; BB, Brueggemann 1985; Dahood 1968; ELB; FREE; JJ; LUT; Schmidt 1934; SLT; TAF); dem folgen auch wir.</w:t>
      </w:r>
    </w:p>
  </w:footnote>
  <w:footnote w:id="904">
    <w:p>
      <w:pPr>
        <w:pStyle w:val="Funote"/>
        <w:rPr/>
      </w:pPr>
      <w:r>
        <w:rPr/>
        <w:footnoteRef/>
        <w:tab/>
        <w:t>Zu ergänzen aus Sticho 3b (-&gt;Brachylogie).</w:t>
      </w:r>
    </w:p>
  </w:footnote>
  <w:footnote w:id="905">
    <w:p>
      <w:pPr>
        <w:pStyle w:val="Funote"/>
        <w:rPr/>
      </w:pPr>
      <w:r>
        <w:rPr/>
        <w:footnoteRef/>
        <w:tab/>
        <w:t>Hier wird die häufige Metapher vom JHWH als dem Hirten Israels aufgegriffen. „Die Herde seiner Weide“ o.Ä. findet sich auch in Ps 74,1; 78,71; 79,13; 95,7. Vielleicht ist diese Metapher im Deutschen nicht gut verständlich? Ps 78,71; 79,13; 95,7 legen nahe, dass „die Herde seiner Weide“ die Zugehörigkeit Israels zum Hirten JHWH ausdrücken soll und wohl nur meint „seine Herde“; also „wir sind sein Volk und seine Herde“. Ps 78,71 legt außerdem nahe, dass diese Metapher zusätzlich die Fürsorge des Hirten für diese seine Herde ausdrückt. Vielleicht wäre also eine kommunikativere Übersetzung dies: „Er hat uns erschaffen; wir sind sein Volk. / Er ist unser Hirt und wir sind seine Herde.“? - Vielleicht ist es aber auch gar nicht unverständlich?</w:t>
      </w:r>
    </w:p>
  </w:footnote>
  <w:footnote w:id="906">
    <w:p>
      <w:pPr>
        <w:pStyle w:val="Funote"/>
        <w:rPr/>
      </w:pPr>
      <w:r>
        <w:rPr/>
        <w:footnoteRef/>
        <w:tab/>
        <w:t>Vv. 3bc und V. 5 müssen recht wahrscheinlich gelesen werden als die Antwort der Kultgemeinde auf die jeweils vorangehenden Aufforderungen der Vorbeter (der Priester?), so dass die Struktur wäre: * Vv. 1b-3a: Aufruf zum Lob durch Vorbeter ** Vv. 3bc: Lob durch Kultgemeinde * V. 4: Aufruf zum Lob durch Vorbeter ** V. 5: Lob durch Kultgemeinde. So Gerstenberger 2001, S. 203; ähnlich Futato 2007, S. 51f.; Kraus 1961, S. 686. Hossfeld/Zenger 2000, S. 706f. und Jeremias 1998, S. 608 sehen nur V. 5 als Lob und Vv. 1b-4 als Aufruf zum Lob; das wäre wohl auch möglich, würde aber den Wechsel vom Imperativ zum Wir in Vv. 3a.b nicht erklären.</w:t>
      </w:r>
    </w:p>
  </w:footnote>
  <w:footnote w:id="907">
    <w:p>
      <w:pPr>
        <w:pStyle w:val="Funote"/>
        <w:rPr/>
      </w:pPr>
      <w:r>
        <w:rPr/>
        <w:footnoteRef/>
        <w:tab/>
        <w:t>s. zur Alternative FN f</w:t>
      </w:r>
    </w:p>
  </w:footnote>
  <w:footnote w:id="908">
    <w:p>
      <w:pPr>
        <w:pStyle w:val="Funote"/>
        <w:rPr/>
      </w:pPr>
      <w:r>
        <w:rPr/>
        <w:footnoteRef/>
        <w:tab/>
        <w:t>Hier wird das selbe Wort wie in der Überschrift wiederholt; zu den Übersetzungsvarianten vgl. die erste FN.</w:t>
      </w:r>
    </w:p>
  </w:footnote>
  <w:footnote w:id="909">
    <w:p>
      <w:pPr>
        <w:pStyle w:val="Funote"/>
        <w:rPr/>
      </w:pPr>
      <w:r>
        <w:rPr/>
        <w:footnoteRef/>
        <w:tab/>
        <w:t>Zu ergänzen aus Sticho 4a (-&gt;Brachylogie).</w:t>
      </w:r>
    </w:p>
  </w:footnote>
  <w:footnote w:id="910">
    <w:p>
      <w:pPr>
        <w:pStyle w:val="Funote"/>
        <w:rPr/>
      </w:pPr>
      <w:r>
        <w:rPr/>
        <w:footnoteRef/>
        <w:tab/>
        <w:t>Keinesfalls „segnet seinen Namen“ (wie die Meisten); natürlich ist auch hier vom Lobsingen die Rede. In Vv. 1b-3a und 4a-c stehen dann jeweils vier Aufrufe zum JHWH-Preis: Jubelt - feiert in Freude - kommt mit freudigen Liedern - Bekennt | Kommt mit Danklied - Kommt mit Lobgesang - Preist - Lobsingt.</w:t>
      </w:r>
    </w:p>
  </w:footnote>
  <w:footnote w:id="911">
    <w:p>
      <w:pPr>
        <w:pStyle w:val="Funote"/>
        <w:rPr/>
      </w:pPr>
      <w:r>
        <w:rPr/>
        <w:footnoteRef/>
        <w:tab/>
        <w:t>Besonders im Kontext von Aussagen über JHWH steht sein „Name“ meist metonymisch für JHWH selbst; man bezeichnet so JHWH „im Menschenmund“.</w:t>
      </w:r>
    </w:p>
  </w:footnote>
  <w:footnote w:id="912">
    <w:p>
      <w:pPr>
        <w:pStyle w:val="Funote"/>
        <w:rPr/>
      </w:pPr>
      <w:r>
        <w:rPr/>
        <w:footnoteRef/>
        <w:tab/>
        <w:t xml:space="preserve">Emphatisches </w:t>
      </w:r>
      <w:r>
        <w:rPr>
          <w:rtl w:val="true"/>
          <w:lang w:bidi="he-IL"/>
        </w:rPr>
        <w:t>כי</w:t>
      </w:r>
      <w:r>
        <w:rPr/>
        <w:t xml:space="preserve"> </w:t>
      </w:r>
      <w:r>
        <w:rPr/>
        <w:t>zur Markierung der abschließenden hymnic affirmation (so z.B. Brueggemann 1985, S. 68; Gerstenberger 2001, S. 203); im Deutschen sollte es unübersetzt bleiben.</w:t>
      </w:r>
    </w:p>
  </w:footnote>
  <w:footnote w:id="913">
    <w:p>
      <w:pPr>
        <w:pStyle w:val="Funote"/>
        <w:rPr/>
      </w:pPr>
      <w:r>
        <w:rPr/>
        <w:footnoteRef/>
        <w:tab/>
        <w:t>[Status: Zuverlässig]</w:t>
      </w:r>
    </w:p>
  </w:footnote>
  <w:footnote w:id="914">
    <w:p>
      <w:pPr>
        <w:pStyle w:val="Funote"/>
        <w:rPr/>
      </w:pPr>
      <w:r>
        <w:rPr/>
        <w:footnoteRef/>
        <w:tab/>
        <w:t xml:space="preserve">Übersetzung unsicher. Die wahrscheinlicheren Deutungen sind diese: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reisen; ein </w:t>
      </w:r>
      <w:r>
        <w:rPr>
          <w:rtl w:val="true"/>
          <w:lang w:bidi="he-IL"/>
        </w:rPr>
        <w:t>שיר המעלות</w:t>
      </w:r>
      <w:r>
        <w:rPr/>
        <w:t xml:space="preserve"> </w:t>
      </w:r>
      <w:r>
        <w:rPr/>
        <w:t xml:space="preserve">ist dann ein „Reise-“ oder „Heimkehrlied“, das die Israeliten bei ihrer Rückkehr aus dem Exil sangen. # </w:t>
      </w:r>
      <w:r>
        <w:rPr>
          <w:rtl w:val="true"/>
          <w:lang w:bidi="he-IL"/>
        </w:rPr>
        <w:t>מעלות</w:t>
      </w:r>
      <w:r>
        <w:rPr/>
        <w:t xml:space="preserve"> </w:t>
      </w:r>
      <w:r>
        <w:rPr/>
        <w:t xml:space="preserve">wird abgeleitet von von </w:t>
      </w:r>
      <w:r>
        <w:rPr>
          <w:rtl w:val="true"/>
          <w:lang w:bidi="he-IL"/>
        </w:rPr>
        <w:t>מעלה</w:t>
      </w:r>
      <w:r>
        <w:rPr/>
        <w:t xml:space="preserve"> </w:t>
      </w:r>
      <w:r>
        <w:rPr/>
        <w:t xml:space="preserve">Stufe; ein </w:t>
      </w:r>
      <w:r>
        <w:rPr>
          <w:rtl w:val="true"/>
          <w:lang w:bidi="he-IL"/>
        </w:rPr>
        <w:t>שיר המעלות</w:t>
      </w:r>
      <w:r>
        <w:rPr/>
        <w:t xml:space="preserve"> </w:t>
      </w:r>
      <w:r>
        <w:rPr/>
        <w:t xml:space="preserve">ist dann ein Prozessionslied, das gesungen wird, während man die Stufen hinaufzieht, die zum Tempelaltar führen.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wallfahren; ein </w:t>
      </w:r>
      <w:r>
        <w:rPr>
          <w:rtl w:val="true"/>
          <w:lang w:bidi="he-IL"/>
        </w:rPr>
        <w:t>שיר המעלות</w:t>
      </w:r>
      <w:r>
        <w:rPr/>
        <w:t xml:space="preserve"> </w:t>
      </w:r>
      <w:r>
        <w:rPr/>
        <w:t>ist dann ein „Wallfahrtslied“, das während der Prozession zum Jerusalemer Tempel gesungen wird. Dies ist die üblichste und wahrscheinlichste Deutung (z.B. Kraus 1961, S. XXI).</w:t>
      </w:r>
    </w:p>
  </w:footnote>
  <w:footnote w:id="915">
    <w:p>
      <w:pPr>
        <w:pStyle w:val="Funote"/>
        <w:rPr/>
      </w:pPr>
      <w:r>
        <w:rPr/>
        <w:footnoteRef/>
        <w:tab/>
        <w:t>Vokativ. JHWH lässt sich hier nicht mit „unser Gott/Herr“ übertragen, weil dies erstens bei einem „individuellen Vertrauenspsalm“ (Hossfeld/Zenger 2008, S. 602) nicht sehr treffend wäre, weil vor allem aber zweitens Vokative sich im Deutschen nicht mit Pronomen konstruieren lassen (so z.B. KAR zu Mt 6,9). Es ist also zu einer anderen Ersatzlösung zu greifen; s. unseren Übersetzungs-FAQ.</w:t>
      </w:r>
    </w:p>
  </w:footnote>
  <w:footnote w:id="916">
    <w:p>
      <w:pPr>
        <w:pStyle w:val="Funote"/>
        <w:rPr/>
      </w:pPr>
      <w:r>
        <w:rPr/>
        <w:footnoteRef/>
        <w:tab/>
        <w:t>W. „Mein Herz ist“, aber übersetze „Ich bin“ (so auch HfA, GN): das „Herz“ ist in der Bibel häufig Wechselbegriff für das Ich; bes. in Zhgg., in denen dieses Ich als „fühlende, gestimmte Person“ vorgestellt wird (s. z.B. Wolff 1973, S. 74f).</w:t>
      </w:r>
    </w:p>
  </w:footnote>
  <w:footnote w:id="917">
    <w:p>
      <w:pPr>
        <w:pStyle w:val="Funote"/>
        <w:rPr/>
      </w:pPr>
      <w:r>
        <w:rPr/>
        <w:footnoteRef/>
        <w:tab/>
        <w:t xml:space="preserve">In V. 1 folgt dreimal aufeinander die Folge </w:t>
      </w:r>
      <w:r>
        <w:rPr>
          <w:rtl w:val="true"/>
          <w:lang w:bidi="he-IL"/>
        </w:rPr>
        <w:t>לׂא</w:t>
      </w:r>
      <w:r>
        <w:rPr/>
        <w:t xml:space="preserve"> </w:t>
      </w:r>
      <w:r>
        <w:rPr/>
        <w:t xml:space="preserve">- Verb (Qatal). Möglich wäre daher je das Verständnis (a) „Ich bin nicht X“, (b) „Ich war nicht X“, (c) „Ich war nie X“. (b) und (c) sind aber recht unwahrscheinlich: V. 2a berichtet davon, dass der Psalmist „seine Seele“ (s. dort) „beruhigt und besänftigt“ hat; und dies ist wohl darauf zu beziehen, dass er auf seine Stimmung derart Einfluss genommen hat, dass die drei Attribute in V. 1 nun nicht mehr auf ihn zutreffen (vgl. Botha 1998, S. 528; Deissler 1989, S. 515; Delitzsch 1894, S. 760; Gunkel 1968, S. 563; Schmidt 1934, S. 232 u.a.) - was gleichzeitig ja heißt, dass er früher durchaus derart war. Das sollte man hier dann auch besser mit einer Übersetzung als „nicht mehr - [Präsens]“ ausdrücklich machen (zu </w:t>
      </w:r>
      <w:r>
        <w:rPr>
          <w:rtl w:val="true"/>
          <w:lang w:bidi="he-IL"/>
        </w:rPr>
        <w:t>לׂא</w:t>
      </w:r>
      <w:r>
        <w:rPr/>
        <w:t xml:space="preserve"> </w:t>
      </w:r>
      <w:r>
        <w:rPr/>
        <w:t>als „nicht mehr“ vgl. z.B. Gen 17,15 mit Gen 17,5).</w:t>
      </w:r>
    </w:p>
  </w:footnote>
  <w:footnote w:id="918">
    <w:p>
      <w:pPr>
        <w:pStyle w:val="Funote"/>
        <w:rPr/>
      </w:pPr>
      <w:r>
        <w:rPr/>
        <w:footnoteRef/>
        <w:tab/>
        <w:t>„</w:t>
      </w:r>
      <w:r>
        <w:rPr/>
        <w:t>Augen“ sind im hebräischen Sprachgebrauch Spiegel der Empfindungen (vgl. THAT II, S. 264); die „vermessenen Augen“ stehen daher häufiger pars pro toto für den vermessenen Menschen selbst (s. z.B. Jes 2,11; Jes 10,12; Ps 18,28 u.ö.). Den Sinn trifft BB: „In meinen Augen liegt keine Überheblichkeit“. Übersetze auch hier: „Ich bin nicht mehr...“; so auch HfA, GN.</w:t>
      </w:r>
    </w:p>
  </w:footnote>
  <w:footnote w:id="919">
    <w:p>
      <w:pPr>
        <w:pStyle w:val="Funote"/>
        <w:rPr/>
      </w:pPr>
      <w:r>
        <w:rPr/>
        <w:footnoteRef/>
        <w:tab/>
        <w:t>(a) W. „ich gehe nicht in Dingen...“; so listen auch die meisten Lexika. (b) Fast alle Ausleger aber deuten als „umgehen mit“ (vgl. auch KBL3, S. 237; Kön, S. 79; noch Botha 1998, S. 528). (c) Einige Exegeten und Üss. deuten außerdem als „trachten/streben nach“, was zwar genau so gut als sekundäre Bedeutung von „gehen“ denkbar wäre, dann aber überhaupt kein Fundament mehr in den gängigen Lexika hätte. So aber Alter 2007; BigS; FENZ; Gerstenberger 1972; GRAIL; HER05; Kittel 1914; Kraus 1961b; NGÜ; STAD. (a) ist keine Alternative, da sinnlos; von Sinn her passt am Besten (c); am meisten Rückhalt hat (b). Trotz des geringeren Rückhalts sollte man in der LF (c) wählen.</w:t>
      </w:r>
    </w:p>
  </w:footnote>
  <w:footnote w:id="920">
    <w:p>
      <w:pPr>
        <w:pStyle w:val="Funote"/>
        <w:rPr/>
      </w:pPr>
      <w:r>
        <w:rPr>
          <w:rtl w:val="true"/>
          <w:lang w:bidi="he-IL"/>
        </w:rPr>
        <w:footnoteRef/>
        <w:tab/>
        <w:t>מִמֶּֽנִּי</w:t>
      </w:r>
      <w:r>
        <w:rPr/>
        <w:t xml:space="preserve"> </w:t>
      </w:r>
      <w:r>
        <w:rPr/>
        <w:t>zu ... für mich ließe sich (a) nur auf Sticho 1d beziehen, dann „Ich strebe nicht nach großen Zielen / und nach Dingen, die mir zu wunderbar sind“ oder (b) auf Sticho 1c + 1d, dann „Ich strebe nicht nach Zielen, die mir zu groß / und Dingen, die mir zu wunderbar sind.“ Beide Alternativen sind hier gleich wahrscheinlich.</w:t>
      </w:r>
    </w:p>
  </w:footnote>
  <w:footnote w:id="921">
    <w:p>
      <w:pPr>
        <w:pStyle w:val="Funote"/>
        <w:rPr/>
      </w:pPr>
      <w:r>
        <w:rPr/>
        <w:footnoteRef/>
        <w:tab/>
        <w:t xml:space="preserve">W. „Großem“/„großen Dingen“; doch übersetze „große Ziele“ (so Deissler 1989, S. 514; ähnlich FENZ: „unerreichbare Ziele“; Gunkel 1968, S. 563: „große Wünsche“; Kraus 1961b, S. 874; NGÜ: „hohe Ziele“; GN: „weit gesteckte Ziele“). In vielen Lexika wird das nicht gelistet; es ist aber schon dann impliziert, wenn zuvor für </w:t>
      </w:r>
      <w:r>
        <w:rPr>
          <w:rtl w:val="true"/>
          <w:lang w:bidi="he-IL"/>
        </w:rPr>
        <w:t>הלך</w:t>
      </w:r>
      <w:r>
        <w:rPr/>
        <w:t xml:space="preserve"> </w:t>
      </w:r>
      <w:r>
        <w:rPr/>
        <w:t>die Übersetzung „streben“ gewählt wird (s. vorletzte FN). Vgl. außerdem Jer 45,5.</w:t>
      </w:r>
    </w:p>
  </w:footnote>
  <w:footnote w:id="922">
    <w:p>
      <w:pPr>
        <w:pStyle w:val="Funote"/>
        <w:rPr/>
      </w:pPr>
      <w:r>
        <w:rPr/>
        <w:footnoteRef/>
        <w:tab/>
        <w:t xml:space="preserve">(a) Nein, nicht mehr! Sondern... übersetzt die Konstruktion </w:t>
      </w:r>
      <w:r>
        <w:rPr>
          <w:rtl w:val="true"/>
          <w:lang w:bidi="he-IL"/>
        </w:rPr>
        <w:t>אם לא</w:t>
      </w:r>
      <w:r>
        <w:rPr/>
        <w:t xml:space="preserve"> </w:t>
      </w:r>
      <w:r>
        <w:rPr/>
        <w:t>(eigentlich: „vielmehr, sondern“). Die Verneinungsreihe „nicht mehr... und nicht mehr... und nicht mehr... Nein, nicht mehr!“ (</w:t>
      </w:r>
      <w:r>
        <w:rPr>
          <w:rtl w:val="true"/>
          <w:lang w:bidi="he-IL"/>
        </w:rPr>
        <w:t xml:space="preserve">לא </w:t>
      </w:r>
      <w:r>
        <w:rPr>
          <w:rtl w:val="true"/>
          <w:lang w:val="he-IL"/>
        </w:rPr>
        <w:t xml:space="preserve">... </w:t>
      </w:r>
      <w:r>
        <w:rPr>
          <w:rtl w:val="true"/>
          <w:lang w:bidi="he-IL"/>
        </w:rPr>
        <w:t xml:space="preserve">ולא </w:t>
      </w:r>
      <w:r>
        <w:rPr>
          <w:rtl w:val="true"/>
          <w:lang w:val="he-IL"/>
        </w:rPr>
        <w:t xml:space="preserve">... </w:t>
      </w:r>
      <w:r>
        <w:rPr>
          <w:rtl w:val="true"/>
          <w:lang w:bidi="he-IL"/>
        </w:rPr>
        <w:t xml:space="preserve">ולא </w:t>
      </w:r>
      <w:r>
        <w:rPr>
          <w:rtl w:val="true"/>
          <w:lang w:val="he-IL"/>
        </w:rPr>
        <w:t xml:space="preserve">... </w:t>
      </w:r>
      <w:r>
        <w:rPr>
          <w:rtl w:val="true"/>
          <w:lang w:bidi="he-IL"/>
        </w:rPr>
        <w:t>אם לא</w:t>
      </w:r>
      <w:r>
        <w:rPr/>
        <w:t>) erreicht hier ihren Höhepunkt (vgl. Beyerlin 1982, S. 35; Goldingay 2008, s. 536; Hossfeld/Zenger 2008, S. 600); das „Nein, nicht mehr!“ soll das nachbilden. Gut auch de Boer 1966; Labuschagne 2007: „On the contrary!“; Gerstenberger 1972: „Im Gegenteil!“; Terrien 2003: „Far from this!“. (b) Einige Exegeten übersetzen auch sprachlich korrekt mit „Wahrlich, gewiß“, was aber nicht gut zur Sinnlinie des Psalm passt. Bedenkenswerter: (c) Gerstenberger 2001 und schon Stevens 1895 halten V. 2a für die Protasis einer Selbstbedrohung mit unausgedrückter Apodosis („Wenn ich meine Seele nicht beruhigt habe, [dann soll...]“). Dennoch, vorzuziehen ist deutlich (a).</w:t>
      </w:r>
    </w:p>
  </w:footnote>
  <w:footnote w:id="923">
    <w:p>
      <w:pPr>
        <w:pStyle w:val="Funote"/>
        <w:rPr/>
      </w:pPr>
      <w:r>
        <w:rPr/>
        <w:footnoteRef/>
        <w:tab/>
        <w:t>Ebenso wie das „Herz“ in V. 1 ist die „Seele“ in V. 2 im Hebräischen ein häufiger Wechselbegriff für den Menschen selbst; bes., wenn dieser als „begehrender Mensch“ dargestellt wird (vgl. Wolff 1973, S. 25-27 („begierige Bedürftigkeit“)). Übersetze daher auch hier durchaus „Ich habe...“; so auch NL. Die Aussage, dass der Psalmist „seine Seele besänftigt und beruhigt“ habe, meint also nicht mehr, als dass er die Oberhand über sein Begehren gelernt hat: Der Psalmist hat Demut und Bescheidenheit gelernt. Vgl. gut Schmidt 1934, S. 232: „Dieses stille Gebet hat ein heißblütiger Mensch geschrieben. Es gab einmal eine Zeit, da war sein Herz voll Unruhe, voll starker Wünsche. Da konnte er kein Glück sehen, das er nicht beneidet und begehrt, da gab es keinen Aufstieg, zu dem er sich nicht stark gefühlt hätte. Das ist nun anders. Er hat sich bescheiden gelernt. Er hat sein Herz »beruhigt«.“ Schön übersetzt Terrien 2003: „Far from this! My desires are moderate and quiet.“</w:t>
      </w:r>
    </w:p>
  </w:footnote>
  <w:footnote w:id="924">
    <w:p>
      <w:pPr>
        <w:pStyle w:val="Funote"/>
        <w:rPr/>
      </w:pPr>
      <w:r>
        <w:rPr/>
        <w:footnoteRef/>
        <w:tab/>
        <w:t xml:space="preserve">V. 2 wird in der Exegese stark diskutiert; häufiger als Deutungen vorgeschlagen wurden: * (a) „Wie ein Entwöhntes auf seiner Mutter, / wie das Entwöhnte ist meine Seele auf/in mir.“ (die traditionelle Deutung) * (b) „Wie ein Entwöhntes auf seiner Mutter, / wie das Entwöhnte auf mir ist meine Seele“ (die aktuelle Mehrheitsmeinung*) ** (b') „Wie ein Entwöhntes auf mir, seiner Mutter, / wie das Entwöhnte auf mir ist meine Seele“ (Knowles 2006 - mit einer leichten Umpunktierung) ** (b'') „Wie das Entwöhnte auf mir, seiner Mutter, / wie das Entwöhnte auf mir ist meine Seele“ (Strawn 2012 - mit zwei leichten Umpunktierungen) * (c) „Wie ein entwöhntes Kind auf seiner Mutter, so ist entwöhnt meine Seele“ (BHS („prp“); ALB; EÜ; Gunkel 1968; H-R; Kittel 1914; Kraus 1961b; MEN; Mowinckel 1921; MÜN; NGÜ; Nötscher 1959; PAT; Schmidt 1934; STAD; TAF; Weiser 1966; ähnlich Kissane 1954) * (d) „Wie ein entwöhntes Kind auf seiner Mutter, wie ein entwöhntes Kind auf JHWH ist meine Seele“ (Herkenne 1936; vgl. auch Zorell 1928; ähnlich Dahood 1970) Für weitere Sondermeinungen mit nicht mehr als einem oder zwei Vertretern siehe Beyerlin 1982; Briggs 1907; Buttenwieser 1938; de Boer 1966; Ehrlich 1905; Goldingay 2008; Robinson 1998. Entgegen der aktuellen Mehrheitsmeinung (b) sollte man sich hier der traditionellen Deutung (a) anschließen: Die Vorstellung hinter Deutung (b) ist diese: Der Psalmist ist eine Frau, die mit ihrem Kind auf den Schultern (für eine grafische Darstellung s. Labuschagne 2012, S. 3; noch ANEP, Nr. 49; Hossfeld/Zenger 2008, S. 607) an der Prozession nach Jerusalem teilnimmt und ihren geistigen Zustand mit dem Kind auf ihren Schultern vergleicht. Als Argumente für diese Deutung werden dann i.d.R. angeführt: (1) die parallele Wortfolge von 2c und 2d und (2) die Tatsache, dass in 2cd ein „sich steigernder Doppelvergleich“ vorliegt. Das greift nicht: (1) Die Wortfolge in 2c und 2d ist sowohl bei Deutung (a) als auch bei Deutung (b) parallel (Im Hebräischen heißt es ja nach wie vor „Wie ein Kind auf seiner Mutter, / wie das Kind auf mir meine Seele“; die Hinzufügung von „ist“ ist ja nur im Deutschen nötig und darf deshalb bei der Beurteilung der Parallelität nicht berücksichtigt werden.) Außerdem ist „exakter Parallelismus“ ein Argument, das sich spätestens seit Barr 1987 nicht mehr gut anwenden lässt (so ad loc. auch Strawn 2012, S. 423-25). (2) Ein „Doppelvergleich“ ist ebenso Deutung (a); ein „sich steigernder Doppelvergleich“ wäre es überhaupt erst nach Deutung (b) und nicht einmal dort wirklich (die Determination eines Satzgliedes ist doch wohl keine „Steigerung“); dies lässt sich also schwerlich als Argument anführen. (3) Vor allem ist schwer glaublich, dass gerade für diese Sammlung - die, egal wie „Wallfahrtslied“ nun genau gedeutet werden muss (s. FN a), auf jeden Fall von vielen Pilgern singbar sein musste - ein Psalm gedichtet worden sei, der nur für einen so geringen Bruchteil der Pilger singbar wäre - nämlich nur für Pilger, die (1) Kinder dabei haben, deren Kinder (2) gerade auf ihren Schultern sitzen und deren Kinder (3) gerade zufällig mal zufrieden sind - oder, noch seltener: gerade gestillt, oder, noch seltener: gerade entwöhnt wurden (so auch Robinson 1998, S. 189). Man sollte sich daher doch besser Deutung (a) anschließen, die durchaus nicht so problematisch ist, wie das Vertreter von Deutung (b) gern darstellen: </w:t>
      </w:r>
      <w:r>
        <w:rPr>
          <w:rtl w:val="true"/>
          <w:lang w:bidi="he-IL"/>
        </w:rPr>
        <w:t>נפש</w:t>
      </w:r>
      <w:r>
        <w:rPr/>
        <w:t xml:space="preserve"> </w:t>
      </w:r>
      <w:r>
        <w:rPr/>
        <w:t xml:space="preserve">meint, wie gesagt, häufig die Empfindungen eines Menschen, bes. dessen Begehren (THAT II, S. 75-80; Wolff 1973, S. 33). Und die Präposition </w:t>
      </w:r>
      <w:r>
        <w:rPr>
          <w:rtl w:val="true"/>
          <w:lang w:bidi="he-IL"/>
        </w:rPr>
        <w:t>על</w:t>
      </w:r>
      <w:r>
        <w:rPr/>
        <w:t xml:space="preserve"> </w:t>
      </w:r>
      <w:r>
        <w:rPr/>
        <w:t xml:space="preserve">gibt ja nicht nur lokative Relationen an, sondern kann z.B. (oft) auch angeben, dass solche Empfindungen „auf einem“ sind, d.h. von jemandem empfunden werden (s. z.B. Ges18, S. 963). „Wie ein entwöhntes Kind ist meine Seele auf mir“ meint also einfach „Ich fühle mich im Hinblick auf mein Begehren wie ein entwöhntes Kind“, also „Ich habe Selbstbescheidung gelernt“. So wohl auch Terrien 2003: „My desires are like those of an infant“. Das ist ja auch die Bedeutung, die Vertreter von Deutung (b) aus dem Satz herauslesen; Deutung (a) hat aber nicht die obige Schwierigkeit (3) und ist daher recht sicher vorzuziehen. Gelegentlich wurde eingewandt, dass dann aber ja die Präposition </w:t>
      </w:r>
      <w:r>
        <w:rPr>
          <w:rtl w:val="true"/>
          <w:lang w:bidi="he-IL"/>
        </w:rPr>
        <w:t>על</w:t>
      </w:r>
      <w:r>
        <w:rPr/>
        <w:t xml:space="preserve"> </w:t>
      </w:r>
      <w:r>
        <w:rPr/>
        <w:t xml:space="preserve">in beiden Stichos unterschiedlich verwendet würde. Dabei steht im ersten Sticho gar nicht </w:t>
      </w:r>
      <w:r>
        <w:rPr>
          <w:rtl w:val="true"/>
          <w:lang w:bidi="he-IL"/>
        </w:rPr>
        <w:t>על</w:t>
      </w:r>
      <w:r>
        <w:rPr/>
        <w:t xml:space="preserve">, sondern </w:t>
      </w:r>
      <w:r>
        <w:rPr>
          <w:rtl w:val="true"/>
          <w:lang w:bidi="he-IL"/>
        </w:rPr>
        <w:t>עֲלֵי</w:t>
      </w:r>
      <w:r>
        <w:rPr/>
        <w:t xml:space="preserve">, eine poetische Nebenform von </w:t>
      </w:r>
      <w:r>
        <w:rPr>
          <w:rtl w:val="true"/>
          <w:lang w:bidi="he-IL"/>
        </w:rPr>
        <w:t>על</w:t>
      </w:r>
      <w:r>
        <w:rPr/>
        <w:t xml:space="preserve"> </w:t>
      </w:r>
      <w:r>
        <w:rPr/>
        <w:t xml:space="preserve">- im zweiten Sticho dagegen wird „gewöhnliches“ </w:t>
      </w:r>
      <w:r>
        <w:rPr>
          <w:rtl w:val="true"/>
          <w:lang w:bidi="he-IL"/>
        </w:rPr>
        <w:t>על</w:t>
      </w:r>
      <w:r>
        <w:rPr/>
        <w:t xml:space="preserve"> </w:t>
      </w:r>
      <w:r>
        <w:rPr/>
        <w:t xml:space="preserve">verwendet. Eine unterschiedliche Verwendung wäre nicht etwa problematisch, sondern würde diese beiden unterschiedlichen Formen überhaupt erst erklären. Deutung (c) basiert auf einer Emendierung: das zweite </w:t>
      </w:r>
      <w:r>
        <w:rPr>
          <w:rtl w:val="true"/>
          <w:lang w:bidi="he-IL"/>
        </w:rPr>
        <w:t>כגמל</w:t>
      </w:r>
      <w:r>
        <w:rPr/>
        <w:t xml:space="preserve"> </w:t>
      </w:r>
      <w:r>
        <w:rPr/>
        <w:t xml:space="preserve">wird emendiert zu </w:t>
      </w:r>
      <w:r>
        <w:rPr>
          <w:rtl w:val="true"/>
          <w:lang w:bidi="he-IL"/>
        </w:rPr>
        <w:t>תגמל</w:t>
      </w:r>
      <w:r>
        <w:rPr/>
        <w:t xml:space="preserve">; Deutung (d) versteht das Jod in </w:t>
      </w:r>
      <w:r>
        <w:rPr>
          <w:rtl w:val="true"/>
          <w:lang w:bidi="he-IL"/>
        </w:rPr>
        <w:t>עָלַי</w:t>
      </w:r>
      <w:r>
        <w:rPr/>
        <w:t xml:space="preserve"> </w:t>
      </w:r>
      <w:r>
        <w:rPr/>
        <w:t>als Abkürzung von JHWH. Beides ist unnötig. * Hossfeld/Zenger 2008, S. 599 geben diese Deutung noch als Minderheitenmeinung aus; aber mittlerweile wird sie vertreten von Allen 1983; BB; Brueggemann/Bellinger 2014; Christensen 2005.131; Crow 1996; Hossfeld/Zenger 2008; Labuschagne 2007; Labuschagne 2012.131; Limburg 2000; Miller 1993; Piras 2011; Quell 1968; Seybold 1978; Trebolle Barrera 1999; Zenger 2006 - bei dieser Vielzahl an Exegeten wird man sie wohl als die aktuelle Mehrheitsmeinung werten müssen.</w:t>
      </w:r>
    </w:p>
  </w:footnote>
  <w:footnote w:id="925">
    <w:p>
      <w:pPr>
        <w:pStyle w:val="Funote"/>
        <w:rPr/>
      </w:pPr>
      <w:r>
        <w:rPr/>
        <w:footnoteRef/>
        <w:tab/>
        <w:t>W. wie das entwöhnte Kind, doch übersetze „wie ein solches entwöhntes Kind“ (so auch Fokkelman 2003: „like such a weaned child is my soul upon me“): das Substantiv ist hier wohl nur determiniert, weil schon einmal auf es Bezug genommen wurde (vgl. z.B. A-C §2.6.1; ad loc. Fokkelman, S. 232).</w:t>
      </w:r>
    </w:p>
  </w:footnote>
  <w:footnote w:id="926">
    <w:p>
      <w:pPr>
        <w:pStyle w:val="Funote"/>
        <w:rPr/>
      </w:pPr>
      <w:r>
        <w:rPr/>
        <w:footnoteRef/>
        <w:tab/>
        <w:t>„</w:t>
      </w:r>
      <w:r>
        <w:rPr/>
        <w:t>auf Gott warten“ = hebräisches Idiom für „auf ein künftiges Heilshandeln Gottes hoffen/vertrauen“ (THAT I, S. 728f). Hier wirkt es zusammen mit den Verben aus V. 2; gut daher Botha 1998, S. 529: „geduldig sein“, „seine Ungeduld zügeln“; GN, GNT, GUAR, HfA: „vertraue dem Herrn“; Zink: „Verlaß dich auf den Herrn“.</w:t>
      </w:r>
    </w:p>
  </w:footnote>
  <w:footnote w:id="927">
    <w:p>
      <w:pPr>
        <w:pStyle w:val="Funote"/>
        <w:rPr/>
      </w:pPr>
      <w:r>
        <w:rPr/>
        <w:footnoteRef/>
        <w:tab/>
        <w:t>Der Zhg. von V. 2 und V. 3 ist wohl der, dass die demütige Selbstbescheidung des Psalmisten auch Israel anempfohlen wird (so z.B. auch Alter 2007; Botha 1998). Sehr gut daher BB: „So soll auch Israel auf den HERRN warten“; ähnlich auch schon Saadja („Ebenso soll Israel auf Gott geduldig warten“ (Üs. nach Schreier 1904, S. 19)).</w:t>
      </w:r>
    </w:p>
  </w:footnote>
  <w:footnote w:id="928">
    <w:p>
      <w:pPr>
        <w:pStyle w:val="Funote"/>
        <w:rPr/>
      </w:pPr>
      <w:r>
        <w:rPr/>
        <w:footnoteRef/>
        <w:tab/>
        <w:t>[Status: Zuverlässig]</w:t>
      </w:r>
    </w:p>
  </w:footnote>
  <w:footnote w:id="929">
    <w:p>
      <w:pPr>
        <w:pStyle w:val="Funote"/>
        <w:rPr/>
      </w:pPr>
      <w:r>
        <w:rPr/>
        <w:footnoteRef/>
        <w:tab/>
        <w:t xml:space="preserve">gegenüber (vor) Göttern ([der] himmlischen Versammlung, Gott) Mit dem Wort </w:t>
      </w:r>
      <w:r>
        <w:rPr>
          <w:rtl w:val="true"/>
          <w:lang w:bidi="he-IL"/>
        </w:rPr>
        <w:t>אֱלֹהִים</w:t>
      </w:r>
      <w:r>
        <w:rPr/>
        <w:t xml:space="preserve"> </w:t>
      </w:r>
      <w:r>
        <w:rPr/>
        <w:t xml:space="preserve">ist hier nicht wie so oft Gott gemeint. Der ist ja schon Angesprochener, zudem wird er in Ps 138 immer JHWH genannt, und die Erwähnung der Gebetsrichtung (V. 2), der Könige der Welt (V. 4) und hier der Götter (vgl. auch Davidson 1889, S. 105) wollen als bewusst gestreute Hinweise darauf verstanden werden, dass der Beter nicht zuhause in Israel oder gar im Tempel ist. Die LXX übersetzte den oft als Gottestitel gebrauchten Plural von </w:t>
      </w:r>
      <w:r>
        <w:rPr>
          <w:rtl w:val="true"/>
          <w:lang w:bidi="he-IL"/>
        </w:rPr>
        <w:t>אֵל</w:t>
      </w:r>
      <w:r>
        <w:rPr/>
        <w:t xml:space="preserve"> „</w:t>
      </w:r>
      <w:r>
        <w:rPr/>
        <w:t xml:space="preserve">Gott“ hier, streng monotheistisch, als „Engel“, aber die gebrauchte Präposition hat eine trotzige Konnotation (so Kraus 41972, 911). Auch die Wendung mit meinem ganzem Herzen, die das Sch'ma Israel, das Bekenntnis zu Gott als dem einen Gott aus Dtn 6,4-5, in Erinnerung ruft, wirkt wie eine Kampfansage. Der Kontext spricht deshalb dafür, von anderen Göttern auszugehen, denen gegenüber als Trotzhandlung der Beter gerade zum einen, zum wahren Gott Israels betet. vgl. Gerstenberger 2001, S. 397f: „The second colon of this line (v. 1c) mentions »gods,« here an indeterminate plural form, apparently as onlookers [...]. His or her sacrifice to Yahweh shall be observed by (lesser? powerless?) other gods. According to Gunkel (p. 583), ancient Near Eastern prayers employ the same concept of praising a particular god who helped while other gods witness the ritual.“ Alternativ: „in deinem Tempel“: </w:t>
      </w:r>
      <w:r>
        <w:rPr>
          <w:rtl w:val="true"/>
          <w:lang w:bidi="he-IL"/>
        </w:rPr>
        <w:t>נֶגֶד אֱלֹהִים</w:t>
      </w:r>
      <w:r>
        <w:rPr/>
        <w:t xml:space="preserve"> </w:t>
      </w:r>
      <w:r>
        <w:rPr/>
        <w:t>vor Gott müsste hier verstanden werden entweder als Vokativ („vor dir, Gott“) oder als (bedeutungsloser) P-Shift, der ins Deutsche ebenfalls als „vor dir, Gott“ übertragen werden müsste. „Vor Gott“ würde sich dann (wie oft; s. Ps 100,2; FN f) auf den Tempel beziehen. Vgl. ad loc. Ehrlich 1905, S. 359; SS, S. 41.</w:t>
      </w:r>
    </w:p>
  </w:footnote>
  <w:footnote w:id="930">
    <w:p>
      <w:pPr>
        <w:pStyle w:val="Funote"/>
        <w:rPr/>
      </w:pPr>
      <w:r>
        <w:rPr>
          <w:rtl w:val="true"/>
          <w:lang w:bidi="he-IL"/>
        </w:rPr>
        <w:footnoteRef/>
        <w:tab/>
        <w:t>אֶל</w:t>
      </w:r>
      <w:r>
        <w:rPr/>
        <w:t xml:space="preserve"> </w:t>
      </w:r>
      <w:r>
        <w:rPr/>
        <w:t>hat nicht nur direktionale, sondern auch lokale Bedeutung; vgl. z.B. CDCH, S. 18; ad loc. auch Buttenwieser 1938, S. 686; Ehrlich 1905, S. 359; Grünewalder</w:t>
      </w:r>
    </w:p>
  </w:footnote>
  <w:footnote w:id="931">
    <w:p>
      <w:pPr>
        <w:pStyle w:val="Funote"/>
        <w:rPr/>
      </w:pPr>
      <w:r>
        <w:rPr/>
        <w:footnoteRef/>
        <w:tab/>
        <w:t>Besonders im Kontext von Aussagen über JHWH steht sein „Name“ meist metonymisch für JHWH selbst; man bezeichnet so JHWH „im Menschenmund“.</w:t>
      </w:r>
    </w:p>
  </w:footnote>
  <w:footnote w:id="932">
    <w:p>
      <w:pPr>
        <w:pStyle w:val="Funote"/>
        <w:rPr/>
      </w:pPr>
      <w:r>
        <w:rPr/>
        <w:footnoteRef/>
        <w:tab/>
        <w:t xml:space="preserve">Liebe (V. 2), Güte (V. 8) Hebr. </w:t>
      </w:r>
      <w:r>
        <w:rPr>
          <w:rtl w:val="true"/>
          <w:lang w:bidi="he-IL"/>
        </w:rPr>
        <w:t>חֶסֶד</w:t>
      </w:r>
      <w:r>
        <w:rPr/>
        <w:t xml:space="preserve"> </w:t>
      </w:r>
      <w:r>
        <w:rPr/>
        <w:t xml:space="preserve">bezeichnet tief verbundene Zuwendung, loyale Freundlichkeit, den wohlwollenden, durch Verbindlichkeit geprägten Ausdruck von Liebe, Wohlwollen, Gnade. Die genaue Konnotation hängt vom Kontext ab (zu Einzelstellen s. Stoebe 62004, 600-621; Harris 1980, 305-7). Stoebe übersetzt zunächst „Güte“, gebraucht anschließend jedoch meist „Freundlichkeit“. Harris hält „liebende Freundlichkeit/Treue“ (engl. „lovingkindness“) für sehr passend. In Ps 138,2 benutzen die deutschen Übersetzungen: „Güte“ (Lut, GNB, NGÜ), „Gnade“ (REB, Zür, SLT, NLB, Menge), „Liebe“ (HfA), „Huld“ (EÜ). Hossfeld übersetzt ebenfalls mit „Liebe“ (Hossfeld 2008, 707) [Beispiele fehlen hier noch] Ob dabei auch Verpflichtung gegenüber der gegenseitigen Beziehung eine Rolle spielt, ist umstritten. Besonders geht es dabei um die Frage, ob in den zahlreichen Texten, wo von Gottes </w:t>
      </w:r>
      <w:r>
        <w:rPr>
          <w:rtl w:val="true"/>
          <w:lang w:bidi="he-IL"/>
        </w:rPr>
        <w:t>חֶסֶד</w:t>
      </w:r>
      <w:r>
        <w:rPr/>
        <w:t xml:space="preserve"> </w:t>
      </w:r>
      <w:r>
        <w:rPr/>
        <w:t>die Rede ist, seine Bundestreue gemeint ist (so seit N. Glueck, Das Wort hesed im atl. Sprachgebrauche als menschliche und göttliche gemeinschaftsgemäße Verhaltungsweise, 1927) – oder eher allgemein seine Güte, sein treues, wohlwollendes Handeln gegenüber den Menschen. Die zweite Deutung hat sich in den vergangenen Jahrzehnten durchgesetzt. So ist von Treue zum Bund an vergleichsweise wenigen Stellen ausdrücklich die Rede. Zudem gibt es etliche Stellen, an denen loyale Verpflichtung gegenüber einer Beziehung nicht gemeint sein kann. Auch Gluecks Beziehungskonzept wird heute als zu schematisch wahrgenommen; er vernachlässigte auch, dass eine zugewandte Haltung schon notwendig ist, um eine Beziehung überhaupt einzugehen – und nicht erst deren Folge ist (Stoebe 62004, 600-621; Harris 1980, 305-7).</w:t>
      </w:r>
    </w:p>
  </w:footnote>
  <w:footnote w:id="933">
    <w:p>
      <w:pPr>
        <w:pStyle w:val="Funote"/>
        <w:rPr/>
      </w:pPr>
      <w:r>
        <w:rPr/>
        <w:footnoteRef/>
        <w:tab/>
        <w:t xml:space="preserve">noch über all dein Ansehen hinaus bekannt gemacht D.h. „noch bekannter gemacht als deinen Namen/dein Ansehen“ (vgl. SLT, NIV). Das Hifil </w:t>
      </w:r>
      <w:r>
        <w:rPr>
          <w:rtl w:val="true"/>
          <w:lang w:bidi="he-IL"/>
        </w:rPr>
        <w:t>הִגְדִּיל</w:t>
      </w:r>
      <w:r>
        <w:rPr/>
        <w:t xml:space="preserve"> </w:t>
      </w:r>
      <w:r>
        <w:rPr/>
        <w:t xml:space="preserve">mit der Präposition </w:t>
      </w:r>
      <w:r>
        <w:rPr>
          <w:rtl w:val="true"/>
          <w:lang w:bidi="he-IL"/>
        </w:rPr>
        <w:t>עַל־</w:t>
      </w:r>
      <w:r>
        <w:rPr/>
        <w:t xml:space="preserve"> </w:t>
      </w:r>
      <w:r>
        <w:rPr/>
        <w:t xml:space="preserve">(hier „über (hinaus)“, vgl. Ges17 B2d) funktioniert hier wie ein Komparativ. Die Stelle ist jedoch schwierig, weil nicht klar ist, was „über all deinen Namen hinaus“ bedeuten soll. Dieser Übersetzer hat den Namen metonymisch als Ansehen oder „Bekanntheitsgrad“ übersetzt (SLT, NIV: Ruhm). Der Name kann sich auch auf den Gottes Selbstoffenbarung (Ex 3) beziehen. Einige weitere Möglichkeiten ergeben sich, wenn man Wort, durchaus legitim, mit Versprechen übersetzt (s.u.) oder die Interpunktion des hebräischen Textes ändert, sodass man übersetzen kann: „deinen Namen und dein Wort über alles bekannt gemacht“ (EÜ, Lut, ESV, NRSV, HCSB). Einige übersetzen die Präposition </w:t>
      </w:r>
      <w:r>
        <w:rPr>
          <w:rtl w:val="true"/>
          <w:lang w:bidi="he-IL"/>
        </w:rPr>
        <w:t>עַל־</w:t>
      </w:r>
      <w:r>
        <w:rPr/>
        <w:t xml:space="preserve"> </w:t>
      </w:r>
      <w:r>
        <w:rPr/>
        <w:t>nicht als „über (hinaus)“ (Ges17 B2d), sondern als „um willen“ (Ges17 B1a</w:t>
      </w:r>
      <w:r>
        <w:rPr>
          <w:lang w:val="el-GR"/>
        </w:rPr>
        <w:t>β</w:t>
      </w:r>
      <w:r>
        <w:rPr/>
        <w:t xml:space="preserve">, so Zür, NLB), aber das Hifil </w:t>
      </w:r>
      <w:r>
        <w:rPr>
          <w:rtl w:val="true"/>
          <w:lang w:bidi="he-IL"/>
        </w:rPr>
        <w:t>הִגְדִּיל</w:t>
      </w:r>
      <w:r>
        <w:rPr/>
        <w:t xml:space="preserve"> </w:t>
      </w:r>
      <w:r>
        <w:rPr/>
        <w:t>wird mit dieser Präposition nirgendwo sonst so gebraucht. I.d.R. heißt es adversativ etwa „sich brüsten gegenüber“ oder „sich auflehnen gegen“ (Jer 48,26.42; Eze 35,13; Zef 2,8.10; Ps 41,10; 55,13). Diese Bedeutung könnte auch in Ps 35,26; 38,17; Ijob 19,5 vorliegen, aber der Parallelismus unterstützt jeweils eher „sich erheben über“ (in Ijob 19,5 sind beide Denotationen gleichermaßen möglich). Für die gängige Deutung können also wenigstens diese Stellen als Teilbelege dienen. Auch sie haben jedoch allesamt adversative Bedeutung (nicht wie hier komparative). Die englische NET emendiert ein Jod (</w:t>
      </w:r>
      <w:r>
        <w:rPr>
          <w:rtl w:val="true"/>
          <w:lang w:bidi="he-IL"/>
        </w:rPr>
        <w:t>שמך</w:t>
      </w:r>
      <w:r>
        <w:rPr/>
        <w:t xml:space="preserve"> „</w:t>
      </w:r>
      <w:r>
        <w:rPr/>
        <w:t xml:space="preserve">dein(en) Name(n)“ zu </w:t>
      </w:r>
      <w:r>
        <w:rPr>
          <w:rtl w:val="true"/>
          <w:lang w:bidi="he-IL"/>
        </w:rPr>
        <w:t>שמיך</w:t>
      </w:r>
      <w:r>
        <w:rPr/>
        <w:t xml:space="preserve"> „</w:t>
      </w:r>
      <w:r>
        <w:rPr/>
        <w:t xml:space="preserve">dein(en) Himmel“), dann heißt der Text etwas plausibler „über deinen ganzen Himmel“. Kraus 41972, 909 geht im hebräischen Text von einer Haplographie (versehentlichen Einfachschreibung) ausgeht und übersetzt „deinen Namen über den ganzen Himmel“ (ähnlich emendiert die BHS im Apparat). Wort (hier das seltenere </w:t>
      </w:r>
      <w:r>
        <w:rPr>
          <w:rtl w:val="true"/>
          <w:lang w:bidi="he-IL"/>
        </w:rPr>
        <w:t>אִמְרָה</w:t>
      </w:r>
      <w:r>
        <w:rPr/>
        <w:t>) bezieht sich entweder auf die Torah – das ist zumindest seine häufigste Denotation (vgl. Ps 119,11.158.162 u.a.; Dtn 33,9. So Hossfeld 2008, 707) –, oder es ist als Versprechen zu verstehen (etwa Ps 119,58.76.116.123; vgl. z.B. auch Davidson 1889, S. 105; Delitzsch 1894, S. 781; Ehrlich 1905, S. 359). Der Satz kann dann auf zweierlei Weise verstanden werden: „denn du hast deine Gebote noch bekannter gemacht, als es dein Name ist.“ oder „denn du hast mit deinem Versprechen noch weitaus Größeres in Aussicht gestellt, als du bisher offenbart hast.“</w:t>
      </w:r>
    </w:p>
  </w:footnote>
  <w:footnote w:id="934">
    <w:p>
      <w:pPr>
        <w:pStyle w:val="Funote"/>
        <w:rPr/>
      </w:pPr>
      <w:r>
        <w:rPr/>
        <w:footnoteRef/>
        <w:tab/>
        <w:t xml:space="preserve">Als W. eher An [dem] Tag, [an dem]. </w:t>
      </w:r>
      <w:r>
        <w:rPr>
          <w:rtl w:val="true"/>
          <w:lang w:bidi="he-IL"/>
        </w:rPr>
        <w:t>בּיוֹם</w:t>
      </w:r>
      <w:r>
        <w:rPr/>
        <w:t xml:space="preserve"> </w:t>
      </w:r>
      <w:r>
        <w:rPr/>
        <w:t>bezieht sich meist nicht auf einen tatsächlichen „Tag“, sondern fungiert als unbestimmte Zeitangabe.</w:t>
      </w:r>
    </w:p>
  </w:footnote>
  <w:footnote w:id="935">
    <w:p>
      <w:pPr>
        <w:pStyle w:val="Funote"/>
        <w:rPr/>
      </w:pPr>
      <w:r>
        <w:rPr/>
        <w:footnoteRef/>
        <w:tab/>
        <w:t>Wenn von JHWH's „Antworten“ in Folge auf ein „Anrufen“ die Rede ist, hat es fast durchgehend die Bedeutung „erhören“.</w:t>
      </w:r>
    </w:p>
  </w:footnote>
  <w:footnote w:id="936">
    <w:p>
      <w:pPr>
        <w:pStyle w:val="Funote"/>
        <w:rPr/>
      </w:pPr>
      <w:r>
        <w:rPr/>
        <w:footnoteRef/>
        <w:tab/>
        <w:t xml:space="preserve">ermutigst mich mit Seelenkraft (gibst mir in meiner Seele Kraft) Hossfeld: „du weckst in meiner Seele Kraft“, SLT: „du hast mir Mut verliehen, in meiner Seele Kraft“ Eine Frage bei der Übersetzung ist, ob die Präposition </w:t>
      </w:r>
      <w:r>
        <w:rPr>
          <w:rtl w:val="true"/>
          <w:lang w:bidi="he-IL"/>
        </w:rPr>
        <w:t>בְּ</w:t>
      </w:r>
      <w:r>
        <w:rPr/>
        <w:t xml:space="preserve"> </w:t>
      </w:r>
      <w:r>
        <w:rPr/>
        <w:t>instrumental „mit“ oder lokal „in“ bedeutet. Eine weitere, was das Verb genau bedeuten soll, denn es wird nur hier in diesem Sinn gebraucht, deshalb lässt sich auch nicht genau beantworten, wie die Präposition gemeint ist.</w:t>
      </w:r>
    </w:p>
  </w:footnote>
  <w:footnote w:id="937">
    <w:p>
      <w:pPr>
        <w:pStyle w:val="Funote"/>
        <w:rPr/>
      </w:pPr>
      <w:r>
        <w:rPr/>
        <w:footnoteRef/>
        <w:tab/>
        <w:t>Worte [aus] deinem Mund W. „(die) Worte deines Mundes“ (Cs.-Verbindung, Genitivus auctoris). Der Mund ist eine anthropomorphische Metonymie für Gottes Urheberschaft. Es ist unklar, ob die Worte bestimmt (also mit Artikel „die“) sind oder nicht. Inhaltlich scheint sich bei den Worten wie schon in V. 2 um die Torah zu handeln: Auch David will Gott in V. 2 schon für sein dort als Torah verstandenes Wort (anderer Begriff derselben Wurzel, s. Fn.) preisen (bzw. anerkennen! Es handelt sich um dasselbe Verb). Außerdem besteht eine relativ klare Verbindung zu Ps 119,13.72.88 wo sich gleich dreimal die Wendung „dein Mund“ auf JHWH bezieht, der wie hier als Genitiv der Urheberschaft mit biblischen Begriffen für das Gesetz in Verbindung steht (Hossfeld 2008, 708).</w:t>
      </w:r>
    </w:p>
  </w:footnote>
  <w:footnote w:id="938">
    <w:p>
      <w:pPr>
        <w:pStyle w:val="Funote"/>
        <w:rPr/>
      </w:pPr>
      <w:r>
        <w:rPr/>
        <w:footnoteRef/>
        <w:tab/>
        <w:t>Walten (Wegen) Dass JHWHs „Wege“ sein herrschendes Walten bezeichnen, geht nicht nur aus ähnlichen Formulierungen im AT hervor. Dahood (1970, 278) sieht diese Deutung auch aus ugaritischen Texten (einer dem Hebräischen verwandten Sprache) bestätigt, dort im Zusammenhang mit Königen.</w:t>
      </w:r>
    </w:p>
  </w:footnote>
  <w:footnote w:id="939">
    <w:p>
      <w:pPr>
        <w:pStyle w:val="Funote"/>
        <w:rPr/>
      </w:pPr>
      <w:r>
        <w:rPr/>
        <w:footnoteRef/>
        <w:tab/>
        <w:t xml:space="preserve">Wie (denn, ja) groß Dass </w:t>
      </w:r>
      <w:r>
        <w:rPr>
          <w:rtl w:val="true"/>
          <w:lang w:bidi="he-IL"/>
        </w:rPr>
        <w:t>כִּי</w:t>
      </w:r>
      <w:r>
        <w:rPr/>
        <w:t xml:space="preserve"> </w:t>
      </w:r>
      <w:r>
        <w:rPr/>
        <w:t>in diesem Fall auch wie (groß) heißen kann, belegt Dahood 1970, 278f u.a. aus Gen 1,12. Hossfeld versteht 5b-6 als den Text des Liedes, den die Könige singen (V. 4), und übersetzt jeweils „ja“, nicht „denn“ (Hossfeld 2008, 703). Obwohl sich die Sache nicht abschließend klären lässt, erscheint es doch wahrscheinlicher, diese Aussage dem Psalmisten zuzuschreiben. Warum die Könige nämlich gerade singen sollten, was in V. 5b-6 steht (und mit den Unbedeutenden auch noch selbst gemeint wären), wird nicht ganz klar.</w:t>
      </w:r>
    </w:p>
  </w:footnote>
  <w:footnote w:id="940">
    <w:p>
      <w:pPr>
        <w:pStyle w:val="Funote"/>
        <w:rPr/>
      </w:pPr>
      <w:r>
        <w:rPr/>
        <w:footnoteRef/>
        <w:tab/>
        <w:t xml:space="preserve">Waw apodoseos, es dient nur dazu, den Hauptsatz nach einem Vordersatz zu markieren und muss im Deutschen gestrichen werden; vgl. vgl. Lexikon / Lemma </w:t>
      </w:r>
      <w:r>
        <w:rPr>
          <w:rtl w:val="true"/>
          <w:lang w:bidi="he-IL"/>
        </w:rPr>
        <w:t>וְ</w:t>
      </w:r>
      <w:r>
        <w:rPr/>
        <w:t>.</w:t>
      </w:r>
    </w:p>
  </w:footnote>
  <w:footnote w:id="941">
    <w:p>
      <w:pPr>
        <w:pStyle w:val="Funote"/>
        <w:rPr/>
      </w:pPr>
      <w:r>
        <w:rPr/>
        <w:footnoteRef/>
        <w:tab/>
        <w:t xml:space="preserve">Unbedeutenden und Wichtigen sowie zur Klammer: Die beiden Schlagwörter Unbedeutende und Wichtige bilden einen Merismus, der für die ganze Menschheit steht. Nach Hossfeld wäre jedoch sinngemäß „...doch er nimmt Niedriges wahr, und er ist hoch, aber kennt/erkennt von fern.“ zu lesen (nach Gunkel, ähnlich GNB). Der Vers beschreibt dann also nicht den Gegensatz zwischen Gottes Sicht auf Demütige und Hochmütige, wie es viele Übersetzungen verstehen (EÜ, SLT, Luther, Zür, NGÜ, REB), sondern stellt in einem doppelten Parallelismus Gottes Erhabenheit dar als derjenige, der das Niedrige wahrnimmt und (alles) von fern weiß oder erkennt. Als Begründung nennt er 1. die beiden Adjektive, für die dieser „armentheologische“ Gebrauch sonst ungewöhnlich wäre, 2. Die von den Masoreten markierte Teilung von 6b (die dort eine adversative Deutung stützen würde) und 3. Ps 113,4-6 als „sehr nahe verwandt[e]“ Parallelstelle. (Hossfeld 2008, 704f., auch Dahood 1970, 279) Diese Argumente haben Gewicht, aber zwingen nicht zu seiner Schlussfolgerung. 1. Zunächst hat Hossfeld mit seiner Beobachtung zu den Adjektiven im Wesentlichen recht, doch gibt es auch Stellen, wo sie ganz ähnlich wie hier gebraucht werden. So ist </w:t>
      </w:r>
      <w:r>
        <w:rPr>
          <w:rtl w:val="true"/>
          <w:lang w:bidi="he-IL"/>
        </w:rPr>
        <w:t>שָׁפָל</w:t>
      </w:r>
      <w:r>
        <w:rPr/>
        <w:t xml:space="preserve"> „</w:t>
      </w:r>
      <w:r>
        <w:rPr/>
        <w:t xml:space="preserve">niedrig, gering“ auch in 2Sam 6,22; Ijob 5,11; Eze 21,31; Mal 2,9 meist auf Personen bezogen und scheint die Konnotation „unbedeutend, gering“ zu haben (wie in unserer Übersetzung). Ähnliches scheint bei Ezechiels „unbedeutendem Königreich“ (Eze 17,14; 29,14.15) der Fall zu sein (vgl. DBL Hebrew 9166). Auch für </w:t>
      </w:r>
      <w:r>
        <w:rPr>
          <w:rtl w:val="true"/>
          <w:lang w:bidi="he-IL"/>
        </w:rPr>
        <w:t>גָּבֹהַּ</w:t>
      </w:r>
      <w:r>
        <w:rPr/>
        <w:t xml:space="preserve"> „</w:t>
      </w:r>
      <w:r>
        <w:rPr/>
        <w:t xml:space="preserve">hoch, hochmütig“ (das Hossfeld auf Gott bezieht) gibt es mehrere Belege als Bezeichnung von Menschen mit der möglichen Konnotation „hochmütig“ (so Ijob 41,26; Eze 21,31; Jes 5,15). Dabei ist in Eze 21,31 der Gegensatz derselbe wie hier (auch in Jes 5,15; 10,33; dort wird statt dem Adjektiv </w:t>
      </w:r>
      <w:r>
        <w:rPr>
          <w:rtl w:val="true"/>
          <w:lang w:bidi="he-IL"/>
        </w:rPr>
        <w:t>שָׁפָל</w:t>
      </w:r>
      <w:r>
        <w:rPr/>
        <w:t xml:space="preserve"> „</w:t>
      </w:r>
      <w:r>
        <w:rPr/>
        <w:t xml:space="preserve">niedrig, gering“ das Verb </w:t>
      </w:r>
      <w:r>
        <w:rPr>
          <w:rtl w:val="true"/>
          <w:lang w:bidi="he-IL"/>
        </w:rPr>
        <w:t>שׁפל</w:t>
      </w:r>
      <w:r>
        <w:rPr/>
        <w:t xml:space="preserve"> </w:t>
      </w:r>
      <w:r>
        <w:rPr/>
        <w:t xml:space="preserve">gleicher Wurzel gebraucht). An diesen drei Stellen und gerade in Koh 5,8 ist es aber auch plausibel, </w:t>
      </w:r>
      <w:r>
        <w:rPr>
          <w:rtl w:val="true"/>
          <w:lang w:bidi="he-IL"/>
        </w:rPr>
        <w:t>גָּבֹהַּ</w:t>
      </w:r>
      <w:r>
        <w:rPr/>
        <w:t xml:space="preserve"> </w:t>
      </w:r>
      <w:r>
        <w:rPr/>
        <w:t>nicht polemisch als „hochmütig“, sondern eher als „hoch“ im Sinn von „wichtig“ zu verstehen (vgl. dazu DBL Hebrew 1469; so auch unsere Übersetzung). Beide Adjektive sind also in der üblichen vertretenen Bedeutung aus anderen Kontexten bekannt. 2. Die Masoreten lebten Jahrhunderte nach den ursprünglichen Autoren und interpretierten selbst nur (wenn auch mit uns nicht mehr zugänglicher Sachkenntnis). 3. Die verbale Schnittmenge zu Ps 113,4-6 hat alleine wenig Aussagekraft. Als Gegenargument ließen sich etwa die soeben zitierten Eze 21,31 und Jes 5,15; 10,33 anführen (so auch Allen 1983, 244). Dagegen spricht zudem, dass Hossfeld in der letzten Zeile eine sinngemäße adversative Konjunktion („doch“) ergänzen muss. Zudem hinge das Prädikatsadjektiv „und hoch“ ohne Subjekt oder Prädikat elliptisch in der Luft. Man kann das Kolon zwar so verstehen, aber die gängige Übersetzung liegt näher. Diese mehrheitlich bevorzugte Übersetzung wird deshalb zunächst beibehalten.</w:t>
      </w:r>
    </w:p>
  </w:footnote>
  <w:footnote w:id="942">
    <w:p>
      <w:pPr>
        <w:pStyle w:val="Funote"/>
        <w:rPr/>
      </w:pPr>
      <w:r>
        <w:rPr/>
        <w:footnoteRef/>
        <w:tab/>
        <w:t xml:space="preserve">mitten in Gefahr W. „in die/der Mitte von Schwierigkeiten“ (Cs.). </w:t>
      </w:r>
      <w:r>
        <w:rPr>
          <w:rtl w:val="true"/>
          <w:lang w:bidi="he-IL"/>
        </w:rPr>
        <w:t>צָרָה</w:t>
      </w:r>
      <w:r>
        <w:rPr/>
        <w:t xml:space="preserve"> </w:t>
      </w:r>
      <w:r>
        <w:rPr/>
        <w:t>bedeutet gewöhnlich Schwierigkeiten (Hebr. Sg, Übers. Pl., früher häufig „Bedrängnis“) Der Parallelismus mit „Feinde“ zwei Zeilen weiter lässt jedoch auf die konkrete Konnotation Gefahr oder sogar „Widersacher“ schließen (Dahood 1970, 280f.). hineinlaufe (stecke) Die beiden Varianten versuchen den Unterschied zwischen „mitten in“ und „(von außerhalb) in … hinein“ wiederzugeben. Das Hebräische macht diesen Unterschied nicht. hineinlaufe/mögest, wirst hineinlaufen In den beiden Schlussversen ist es rein aus dem Redeinhalt wahrscheinlich, dass der Verfasser Gottes bewahrendes Handeln im Indikativ (durativ/Präsens oder Futur) als real beschreibt (wie in der Übersetzung), aber das benutzte Yiqtol kann auch als Bitte („möge/mögest“) verstanden werden (Weber 2003, 339). Die vorhandene Zweideutigkeit deutet dieser Übersetzer folgendermaßen: Der Beter macht an dieser (schon einmal gemachten) Erfahrung fest, dass Gott ihn unterstützt, und bittet dabei gleichzeitig für die Zukunft um eine ähnliche Erfahrung. (Dahood 1970 interpretiert den Psalm in einem militärischen Kontext und übersetzt Vv. 7-8 konsequent als Bitte).</w:t>
      </w:r>
    </w:p>
  </w:footnote>
  <w:footnote w:id="943">
    <w:p>
      <w:pPr>
        <w:pStyle w:val="Funote"/>
        <w:rPr/>
      </w:pPr>
      <w:r>
        <w:rPr/>
        <w:footnoteRef/>
        <w:tab/>
        <w:t>bewahrst du mein Leben trotz der Wut meiner Feinde Oder: „bewahrst du mein Leben. Gegen die Wut meiner Feinde streckst du deine Hand aus...“ Aber weil Gefahr am Zeilenende steht, darf man das auch von dem parallelen Feinde erwarten. Daran kann man erkennen, dass die Wut meiner Feinde noch zur zweiten Zeile gehört und nicht an den Anfang der dritten. V. 7 ist also Vierzeiler (Dahood 1970, 280f.; vgl. Hossfeld 2008, 703f.). [linke] Hand steht parallel zur rechten Hand in der nächsten Zeile, daher steht es insbesondere für die linke Hand. Auch in V. 8 hat Gott anthropomorphisch beide Hände zur Schöpfung gebraucht (Dahood 1970, 281).</w:t>
      </w:r>
    </w:p>
  </w:footnote>
  <w:footnote w:id="944">
    <w:p>
      <w:pPr>
        <w:pStyle w:val="Funote"/>
        <w:rPr/>
      </w:pPr>
      <w:r>
        <w:rPr/>
        <w:footnoteRef/>
        <w:tab/>
        <w:t xml:space="preserve">streckst deine Hand aus und deine rechte Hand rettet mich stehen metonymisch für Gottes anthropomorphisch dargestelltes Eingreifen. streckst aus W. „sendest“, das ist ein Idiom für das Ausstrecken der Hand (vgl. Esr 6,12). rettet mich Dahood 1970, 281 weist darauf hin, dass deine rechte Hand rettet mich auch als „du rettest mich [mit] deiner rechten Hand“ übersetzt werden könnte, die 3.Sg.f. Hifil von </w:t>
      </w:r>
      <w:r>
        <w:rPr>
          <w:rtl w:val="true"/>
          <w:lang w:bidi="he-IL"/>
        </w:rPr>
        <w:t>ישׁע</w:t>
      </w:r>
      <w:r>
        <w:rPr/>
        <w:t xml:space="preserve"> </w:t>
      </w:r>
      <w:r>
        <w:rPr/>
        <w:t>kann man nämlich auch als 2.Sg.m. verstehen.</w:t>
      </w:r>
    </w:p>
  </w:footnote>
  <w:footnote w:id="945">
    <w:p>
      <w:pPr>
        <w:pStyle w:val="Funote"/>
        <w:rPr/>
      </w:pPr>
      <w:r>
        <w:rPr/>
        <w:footnoteRef/>
        <w:tab/>
        <w:t>meine Sache führen Nach Hossfeld 2008, 704. es für mich vollbringen nach SLT, mich rächen nach NET/HALAT. Dahood 1970, 282 punktiert das etwas um und übersetzt „möge mich rächen, solange ich lebe“.</w:t>
      </w:r>
    </w:p>
  </w:footnote>
  <w:footnote w:id="946">
    <w:p>
      <w:pPr>
        <w:pStyle w:val="Funote"/>
        <w:rPr/>
      </w:pPr>
      <w:r>
        <w:rPr/>
        <w:footnoteRef/>
        <w:tab/>
        <w:t>Gib niemals auf Hossfeld 2008, 704: lass nicht ab. SLT: Lass niemals im Stich. An dieser Stelle wäre statt der modal-imperativischen Deutung des Yiqtol auch die futurische Übersetzung du wirst niemals aufgeben sehr gut denkbar.</w:t>
      </w:r>
    </w:p>
  </w:footnote>
  <w:footnote w:id="947">
    <w:p>
      <w:pPr>
        <w:pStyle w:val="Funote"/>
        <w:rPr/>
      </w:pPr>
      <w:r>
        <w:rPr/>
        <w:footnoteRef/>
        <w:tab/>
        <w:t>[Status: Zuverlässig]</w:t>
      </w:r>
    </w:p>
  </w:footnote>
  <w:footnote w:id="948">
    <w:p>
      <w:pPr>
        <w:pStyle w:val="Funote"/>
        <w:rPr/>
      </w:pPr>
      <w:r>
        <w:rPr/>
        <w:footnoteRef/>
        <w:tab/>
        <w:t>idiom. Ausdruck; vgl. z.B. auch Ps 33,3; 40,3; 96,1; 98,1; 144,9; Jes 42,10. # In Psalmenkommentaren wird es üblicherweise dahingehend verstanden, dass Jahwe etwas „Neues“ getan habe und daher nun auch ein „neues Lied“ erforderlich würde (so z.B. Gunkel 1911, S. 277; Hossfeld/Zenger 2008, S. 861; Waltner 2006, S. 709; Zenger 1987, S. 53. So auch Midrasch Tehillim: „Der Heilige, geb. sei er! sprach: So wie ich alle neuen Dinge geschaffen habe, so möget auch ihr mir ein neues Lied anstimmen, wie es heisst: Singet dem Ewigen ein neues Lied.“ (Übers. Wünsche 1893, S. 250)). # Anders Terrien, der entsprechend der üblichen Deutung des Psalms als „eschatologischen Hymnus“ auch den Ausdruck „ein neues Lied“ dahingehend versteht, dass er von der Zukunft handle (vgl. Terrien 2003, S. 924; ähnlich auch Tomes 2007, S. 247). # Wieder anders und wohl am sinnvollsten Gerstenberger 2001, S. 452, der den Ausdruck bezieht auf „a characteristic kind of hymnic presentation“, was sich allein schon deshalb nahelegt, weil der Ausdruck „ein neues Lied singen“ überdurchschnittlich häufig, nämlich in vier der obigen sechs Stellen (Ps 33,3; 98,1; 144,9; 149,3), im Zhg. mit expliziten Anweisungen zum musikalischen Vortrag steht (vgl. Tomes 2007, S. 238f.).</w:t>
      </w:r>
    </w:p>
  </w:footnote>
  <w:footnote w:id="949">
    <w:p>
      <w:pPr>
        <w:pStyle w:val="Funote"/>
        <w:rPr/>
      </w:pPr>
      <w:r>
        <w:rPr>
          <w:rtl w:val="true"/>
          <w:lang w:bidi="he-IL"/>
        </w:rPr>
        <w:footnoteRef/>
        <w:tab/>
        <w:t>תְהִלָתוֹ</w:t>
      </w:r>
      <w:r>
        <w:rPr/>
        <w:t xml:space="preserve"> </w:t>
      </w:r>
      <w:r>
        <w:rPr/>
        <w:t xml:space="preserve">gelesen als zweites Objekt von </w:t>
      </w:r>
      <w:r>
        <w:rPr>
          <w:rtl w:val="true"/>
          <w:lang w:bidi="he-IL"/>
        </w:rPr>
        <w:t>שִירוּ</w:t>
      </w:r>
      <w:r>
        <w:rPr/>
        <w:t>; so schon Ewald; vgl. auch Ehrlich 1905, S. 391; Gerstenberger 2001, S. 452. Eine Ergänzung von „erschalle“ o.Ä. (so EÜ; Herder; Kraus 1961b, S. 965; Nötscher 1959, S. 290) ist ganz unnötig.</w:t>
      </w:r>
    </w:p>
  </w:footnote>
  <w:footnote w:id="950">
    <w:p>
      <w:pPr>
        <w:pStyle w:val="Funote"/>
        <w:rPr/>
      </w:pPr>
      <w:r>
        <w:rPr/>
        <w:footnoteRef/>
        <w:tab/>
        <w:t xml:space="preserve">vgl. Hossfeld/Zenger 2008, S. 855: „Das Wort </w:t>
      </w:r>
      <w:r>
        <w:rPr>
          <w:rtl w:val="true"/>
          <w:lang w:bidi="he-IL"/>
        </w:rPr>
        <w:t>קהל</w:t>
      </w:r>
      <w:r>
        <w:rPr/>
        <w:t xml:space="preserve"> </w:t>
      </w:r>
      <w:r>
        <w:rPr/>
        <w:t>»Versammlung« hat von seiner Verwendung her sowohl militärische (der Heerbann, das Aufgebot) wie kultische (Gemeinde) Konnotationen.“; daher der sekundäre Übersetzungsvorschlag „Truppe“. Entsprechend wird dann auch das Chasidim (i.d.R.: „fromm“, auch: „loyal“) mit einem „militärischeren“ Begriff übertragen; meist eben „Getreue“ (so NeÜ, SLT, ZÜR, Deissler 1989, Hossfeld/Zenger 2008, Zenger 1987), obwohl es auch von diesen dann i.d.R. als Ausdruck für die versammelte Kultusgemeinde verstanden wird. LUT84, TAF und Goulder 1998 haben „Heilige“, warum auch immer.</w:t>
      </w:r>
    </w:p>
  </w:footnote>
  <w:footnote w:id="951">
    <w:p>
      <w:pPr>
        <w:pStyle w:val="Funote"/>
        <w:rPr/>
      </w:pPr>
      <w:r>
        <w:rPr/>
        <w:footnoteRef/>
        <w:tab/>
        <w:t>Plural im Hebräischen; vermutl. pluralis majestatis (vgl. Dahood 1970, S. 356; Hossfeld/Zenger 2008, S. 855; Kraus 1961b, S. 965; ähnlich auch schon Paulus 1815, S. 594). Allerdings gibt es auch Exegeten, die die Existenz eines Hoheitsplural im Hebräischen ganz grundsätzlich anzweifeln.</w:t>
      </w:r>
    </w:p>
  </w:footnote>
  <w:footnote w:id="952">
    <w:p>
      <w:pPr>
        <w:pStyle w:val="Funote"/>
        <w:rPr/>
      </w:pPr>
      <w:r>
        <w:rPr/>
        <w:footnoteRef/>
        <w:tab/>
        <w:t>Der „Name Gottes“ steht in der Bibel fast stets metonymisch für Gott selbst; man bezeichnet damit „Gott im Menschenmund“. Übersetze daher: „Sie sollen ihn preisen“.</w:t>
      </w:r>
    </w:p>
  </w:footnote>
  <w:footnote w:id="953">
    <w:p>
      <w:pPr>
        <w:pStyle w:val="Funote"/>
        <w:rPr/>
      </w:pPr>
      <w:r>
        <w:rPr/>
        <w:footnoteRef/>
        <w:tab/>
        <w:t xml:space="preserve">häufig wiedergegeben als beth locale - „im Tanz“. Allerdings ist das direkt darauf folgende </w:t>
      </w:r>
      <w:r>
        <w:rPr>
          <w:rtl w:val="true"/>
          <w:lang w:bidi="he-IL"/>
        </w:rPr>
        <w:t>בְתׁף וְכִנוֹר</w:t>
      </w:r>
      <w:r>
        <w:rPr/>
        <w:t>, ebenfalls mit der Präposition Beth, zu auffällig, als dass es hier je unterschiedlich gelesen und übersetzt werden dürfte. „Der Reigen war, wie die Musik dazu, Gottesdienst und gehörte somit zum Lobe JHVHes.“ (Ehrlich 1905, S. 392) Noch signifikanter ist es, wenn man die nächste Fußnote miteinbezieht.</w:t>
      </w:r>
    </w:p>
  </w:footnote>
  <w:footnote w:id="954">
    <w:p>
      <w:pPr>
        <w:pStyle w:val="Funote"/>
        <w:rPr/>
      </w:pPr>
      <w:r>
        <w:rPr/>
        <w:footnoteRef/>
        <w:tab/>
        <w:t xml:space="preserve">zu </w:t>
      </w:r>
      <w:r>
        <w:rPr>
          <w:rtl w:val="true"/>
          <w:lang w:bidi="he-IL"/>
        </w:rPr>
        <w:t>מָחוֹל</w:t>
      </w:r>
      <w:r>
        <w:rPr/>
        <w:t xml:space="preserve"> </w:t>
      </w:r>
      <w:r>
        <w:rPr/>
        <w:t>als Bezeichnung für ein Instrument vgl. Greswell 1873, S. 267 („Pfeife“); TUR („Schalmei“); Zorell 1928, S. 259f („Isisklapper“) nach Syr („Zimbeln“); vgl. v.a. noch Ps 150,4. Vom Parallelismus her liegt das an beiden Stellen tatsächlich auch nah, aber s. Ps 30,12 (*„Du hast mein Klagen in Isisklappern verwandelt“); Klg 5,15 (*„Unsere Isisklappern haben sich in Klagen verwandelt“).</w:t>
      </w:r>
    </w:p>
  </w:footnote>
  <w:footnote w:id="955">
    <w:p>
      <w:pPr>
        <w:pStyle w:val="Funote"/>
        <w:rPr/>
      </w:pPr>
      <w:r>
        <w:rPr/>
        <w:footnoteRef/>
        <w:tab/>
        <w:t xml:space="preserve">Das </w:t>
      </w:r>
      <w:r>
        <w:rPr>
          <w:rtl w:val="true"/>
          <w:lang w:bidi="he-IL"/>
        </w:rPr>
        <w:t>כִי</w:t>
      </w:r>
      <w:r>
        <w:rPr/>
        <w:t xml:space="preserve"> </w:t>
      </w:r>
      <w:r>
        <w:rPr/>
        <w:t xml:space="preserve">ließe sich lesen # als kausales </w:t>
      </w:r>
      <w:r>
        <w:rPr>
          <w:rtl w:val="true"/>
          <w:lang w:bidi="he-IL"/>
        </w:rPr>
        <w:t>כִי</w:t>
      </w:r>
      <w:r>
        <w:rPr/>
        <w:t xml:space="preserve">: „denn“; V. 4 wäre dann eine „gattungstypische hymnische Begründung“, mit der der Grund für eine Doxologie angegeben wird (so etwa Hossfeld/Zenger 2008, S. 864; Kraus 1961b, S. 965 u.ö.) - allerdings dient die Formel „X preist Y, denn“ eigentlich standardmäßig als Dankesformel (=„X dankt Y für X“), nicht zur Begründung einer Doxologie (vgl. z.B. Lande 1949, S. 106f.). # Besser ist daher als emphatisches </w:t>
      </w:r>
      <w:r>
        <w:rPr>
          <w:rtl w:val="true"/>
          <w:lang w:bidi="he-IL"/>
        </w:rPr>
        <w:t>כִי</w:t>
      </w:r>
      <w:r>
        <w:rPr/>
        <w:t xml:space="preserve"> </w:t>
      </w:r>
      <w:r>
        <w:rPr/>
        <w:t xml:space="preserve">zu deuten, das hier gattungstypisch die „hymnischen Affirmation“ einleitet (vgl. Gerstenberger 2001, S. 454; ein gutes Beispiel findet sich in Ps 135,14): „Ja!“, „Oh“; im Deutschen dann aber besser auszusparen. # Unter Umständen wäre außerdem möglich, das </w:t>
      </w:r>
      <w:r>
        <w:rPr>
          <w:rtl w:val="true"/>
          <w:lang w:bidi="he-IL"/>
        </w:rPr>
        <w:t>כִי</w:t>
      </w:r>
      <w:r>
        <w:rPr/>
        <w:t xml:space="preserve"> </w:t>
      </w:r>
      <w:r>
        <w:rPr/>
        <w:t xml:space="preserve">hier final zu lesen. Diese Verwendung von </w:t>
      </w:r>
      <w:r>
        <w:rPr>
          <w:rtl w:val="true"/>
          <w:lang w:bidi="he-IL"/>
        </w:rPr>
        <w:t>כִי</w:t>
      </w:r>
      <w:r>
        <w:rPr/>
        <w:t xml:space="preserve"> </w:t>
      </w:r>
      <w:r>
        <w:rPr/>
        <w:t>ist unsicher; vgl. aber HALOT zu 1Chr 21,18 (dagegen aber z.B. Schoors 1981, S. 255); dann auch Ps 17,6 (R-S: „So rufe ich zu Dir, daß Du mich, Gott, erhörest! / Neige Dein Ohr zu mir! Auf meine Rede höre“); 25,15 (SLT51: „Meine Augen sind stets auf den Herrn gerichtet, daß er meinen Fuß aus dem Netz ziehe.“); 86,7 (R-S: „In meiner Notzeit rufe ich zu Dir, daß Du mich hörest.“) u.ö.; so wohl auch das protosemitische Etymon k-; vgl. seine Kognate (-&gt; Etymologie) im Altsüdarabischen und Ugaritischen; s. z.B. das arabische Ag. XIV 41,22: „ich rufe euch, damit ihr antwortet.“ (Üs.: Reckendorf §277).Bes. im Zhg. mit der Deutung in FN p machte das Sinn, da so beide Teile des Psalms makellos parallel laufen würden.</w:t>
      </w:r>
    </w:p>
  </w:footnote>
  <w:footnote w:id="956">
    <w:p>
      <w:pPr>
        <w:pStyle w:val="Funote"/>
        <w:rPr/>
      </w:pPr>
      <w:r>
        <w:rPr/>
        <w:footnoteRef/>
        <w:tab/>
        <w:t>evt. seine als double duty-Suffix (-&gt;Brachylogie) aus Sticho a zu ergänzen; so Ceresko 1986, S. 180. Im Fokus steht in diesem Sticho aber wohl v.a. der Gegensatz, dass Gott gerade den „Gebeugten, Unterdrückten“ den Sieg verleiht - und nicht, dass er ihn seinen Unterdrückten verleiht.</w:t>
      </w:r>
    </w:p>
  </w:footnote>
  <w:footnote w:id="957">
    <w:p>
      <w:pPr>
        <w:pStyle w:val="Funote"/>
        <w:rPr/>
      </w:pPr>
      <w:r>
        <w:rPr/>
        <w:footnoteRef/>
        <w:tab/>
        <w:t>„</w:t>
      </w:r>
      <w:r>
        <w:rPr/>
        <w:t xml:space="preserve">Krönen“ nach EÜ, HER, MEN, NL, Christensen 2005.149; Gunkel 1911; Kraus 1961b; Terrien 2003; ähnlich H-R + Schmidt 1934: „kränzen“. Dieses „Krönen“/„Kränzen“ kommt wohl von der Zusammenlesung von </w:t>
      </w:r>
      <w:r>
        <w:rPr>
          <w:rtl w:val="true"/>
          <w:lang w:bidi="he-IL"/>
        </w:rPr>
        <w:t>פאר</w:t>
      </w:r>
      <w:r>
        <w:rPr/>
        <w:t xml:space="preserve"> </w:t>
      </w:r>
      <w:r>
        <w:rPr/>
        <w:t xml:space="preserve">II und </w:t>
      </w:r>
      <w:r>
        <w:rPr>
          <w:rtl w:val="true"/>
          <w:lang w:bidi="he-IL"/>
        </w:rPr>
        <w:t>פְאֵר</w:t>
      </w:r>
      <w:r>
        <w:rPr/>
        <w:t>, was aber zweifelhaft ist (vgl. z.B. Ges18, S. 1035).</w:t>
      </w:r>
    </w:p>
  </w:footnote>
  <w:footnote w:id="958">
    <w:p>
      <w:pPr>
        <w:pStyle w:val="Funote"/>
        <w:rPr/>
      </w:pPr>
      <w:r>
        <w:rPr/>
        <w:footnoteRef/>
        <w:tab/>
        <w:t xml:space="preserve">[seinem] evt. als double duty-Suffix (-&gt; Brachylogie) von </w:t>
      </w:r>
      <w:r>
        <w:rPr>
          <w:rtl w:val="true"/>
          <w:lang w:bidi="he-IL"/>
        </w:rPr>
        <w:t>בְעַמוֹ</w:t>
      </w:r>
      <w:r>
        <w:rPr/>
        <w:t xml:space="preserve"> </w:t>
      </w:r>
      <w:r>
        <w:rPr/>
        <w:t>zu ergänzen; vgl. FN t.</w:t>
      </w:r>
    </w:p>
  </w:footnote>
  <w:footnote w:id="959">
    <w:p>
      <w:pPr>
        <w:pStyle w:val="Funote"/>
        <w:rPr/>
      </w:pPr>
      <w:r>
        <w:rPr/>
        <w:footnoteRef/>
        <w:tab/>
        <w:t xml:space="preserve">W. auf den ersten Blick: „Die Getreuen sollen über Herrlichkeit jauchzen“. Was dann mit dieser „Herrlichkeit“ gemeint ist, ist unklar. Besser daher: Ergänze [ihre] als double duty-Suffix (-&gt; Brachylogie) aus </w:t>
      </w:r>
      <w:r>
        <w:rPr>
          <w:rtl w:val="true"/>
          <w:lang w:bidi="he-IL"/>
        </w:rPr>
        <w:t>מִשְכְבוֹתָם</w:t>
      </w:r>
      <w:r>
        <w:rPr/>
        <w:t xml:space="preserve"> </w:t>
      </w:r>
      <w:r>
        <w:rPr/>
        <w:t xml:space="preserve">(so Dahood 1970, S. 356); „Herrlichkeit“ ist hier (wie oft) ein Appelativ für JHWH (vgl. ebd; auch Boehmer 1903; Ceresko 1986; Taylor 1903; Zerr 1979); hier vermutlich (wg. dem Kontext; s. Vv. 7-9) in der Bedeutung „Macht“ (vgl. FN k zu Ps 3,4; Brettler 1993, S. 140). Übersetze also statt „Herrlichkeit“ besser „ihren Mächtigen“.Alternativ - aber wesentlich unwahrscheinlicher - ließe sich dieses Suffix auch textkritisch im hebräischen Text ergänzen (so Gunkel 1911, S. 338) oder das Jod des auf </w:t>
      </w:r>
      <w:r>
        <w:rPr>
          <w:rtl w:val="true"/>
          <w:lang w:bidi="he-IL"/>
        </w:rPr>
        <w:t>כָבוֹד</w:t>
      </w:r>
      <w:r>
        <w:rPr/>
        <w:t xml:space="preserve"> </w:t>
      </w:r>
      <w:r>
        <w:rPr/>
        <w:t xml:space="preserve">folgenden </w:t>
      </w:r>
      <w:r>
        <w:rPr>
          <w:rtl w:val="true"/>
          <w:lang w:bidi="he-IL"/>
        </w:rPr>
        <w:t>יְרַנְנוּ</w:t>
      </w:r>
      <w:r>
        <w:rPr/>
        <w:t xml:space="preserve"> </w:t>
      </w:r>
      <w:r>
        <w:rPr/>
        <w:t>als Haplographie der Abkürzung '</w:t>
      </w:r>
      <w:r>
        <w:rPr>
          <w:rtl w:val="true"/>
          <w:lang w:bidi="he-IL"/>
        </w:rPr>
        <w:t>י</w:t>
      </w:r>
      <w:r>
        <w:rPr/>
        <w:t xml:space="preserve"> </w:t>
      </w:r>
      <w:r>
        <w:rPr/>
        <w:t>für den Gottesnamen JHWH lesen, also „die Herrlichkeit JHWHs“ (so König 1903, S. 383; wohl auch Christensen 2005.149, S. 1).</w:t>
      </w:r>
    </w:p>
  </w:footnote>
  <w:footnote w:id="960">
    <w:p>
      <w:pPr>
        <w:pStyle w:val="Funote"/>
        <w:rPr/>
      </w:pPr>
      <w:r>
        <w:rPr/>
        <w:footnoteRef/>
        <w:tab/>
        <w:t>Die „Lager“ sind mysteriös. Am überzeugensten ist die Deutung von Ceresko 1986, S. 186f.: Wg. der Parallelität von Vv. 1.5 sind die „Lager“ mit der „Gemeinde der Getreuen“ in V. 1 zu vergleichen; beides gemeinsam konstituiert dann einen Merismus mit der ungefähren Bedeutung „öffentlich und privat“. Alternativ wurde vorgeschlagen, die Lager stünden hier für # „Privat-Ruhelager“; d.h. für den Ort, an dem man seinen intimsten Gefühlen Ausdruck gibt (so z.B. Dahood 1970; Gerstenberger 2001; Waltner 2006) # „Ruhelager von Kriegern“ (die sich des Nachts von ihrem Kampf erholen) (so z.B. Nötscher 1959; auch BB („Feldbetten“)) # „Gebetsteppiche“ bzw. allgemein „Ort, wo man sich niederwirft/liegt“ (so z.B. Allen 1983; Deissler 1989; Zenger 1987) # „Gräber“ (so z.B. Füglister 1987; Loretz 2002, S. 361). # Ebenfalls häufig vertreten wurde die Meinung, die „Lager“ stünden schlicht dafür, das etwas bis spät in die Nacht hinein / sehr lange / ohne Unterlass getan würde (so z.B. Alter 2007; Ehrlich 1905; Hossfeld/Zenger 2008; auch BB; GN; R-S; HfA; NET; NL).</w:t>
      </w:r>
    </w:p>
  </w:footnote>
  <w:footnote w:id="961">
    <w:p>
      <w:pPr>
        <w:pStyle w:val="Funote"/>
        <w:rPr/>
      </w:pPr>
      <w:r>
        <w:rPr/>
        <w:footnoteRef/>
        <w:tab/>
        <w:t>V. 6 ist entweder (a) eine Explikation zu V. 5 („Jubeln sollen sie auf ihren Lagern - Loblieder auf Gott in ihrem Mund und ein zweischneidiges Schwert in ihrer Hand - ...“, d.h. „Sie sollen auf ihren Lagern jubeln und dabei Loblieder auf Gott in ihrem Mund und ein zweischneidiges Schwert in ihrer Hand haben“) oder steht (b) als verbloser Satz auf gleicher Ebene mit V. 5; ergänze dann je eine jussive Kopula in Vv. 6a.b. (b) ist vorzuziehen, denn wahrscheinlich sind die „Lager“ - gesetzt, man interpretiert nicht als „Feldbetten“ - ein eher untypischer Ort, um dort ein Schwert zu schwingen.</w:t>
      </w:r>
    </w:p>
  </w:footnote>
  <w:footnote w:id="962">
    <w:p>
      <w:pPr>
        <w:pStyle w:val="Funote"/>
        <w:rPr/>
      </w:pPr>
      <w:r>
        <w:rPr/>
        <w:footnoteRef/>
        <w:tab/>
        <w:t xml:space="preserve">Das </w:t>
      </w:r>
      <w:r>
        <w:rPr>
          <w:rtl w:val="true"/>
          <w:lang w:bidi="he-IL"/>
        </w:rPr>
        <w:t>ו</w:t>
      </w:r>
      <w:r>
        <w:rPr/>
        <w:t xml:space="preserve"> </w:t>
      </w:r>
      <w:r>
        <w:rPr/>
        <w:t>ließe sich auch lesen als Waw adaequationis (z.B. BB, Zenger 1987) oder Waw explicativum (z.B. Tournay 1985; dagegen aber Booij 2008, S. 105; Vanoni 1991). Beides würde bedeuten, dass hier nicht tatsächlich von einem zweischneidigen Schwert die Rede ist, sondern dass die „Loblieder in ihrem Mund“ nur mit einem zweischneidigen Schwert verglichen werden. Theoretisch wäre das möglich; beides sind aber starke Minderheitenmeinungen.</w:t>
      </w:r>
    </w:p>
  </w:footnote>
  <w:footnote w:id="963">
    <w:p>
      <w:pPr>
        <w:pStyle w:val="Funote"/>
        <w:rPr/>
      </w:pPr>
      <w:r>
        <w:rPr/>
        <w:footnoteRef/>
        <w:tab/>
        <w:t xml:space="preserve">In Vv. 7-9 folgen aufeinander drei mit </w:t>
      </w:r>
      <w:r>
        <w:rPr>
          <w:rtl w:val="true"/>
          <w:lang w:bidi="he-IL"/>
        </w:rPr>
        <w:t>ל</w:t>
      </w:r>
      <w:r>
        <w:rPr/>
        <w:t xml:space="preserve">+Inf. cstr. konstruierte Zweckangaben, die stets übersetzt werden als „zum x-en“: V. 7ab: Zum Ausüben von Rache und Züchtigung; Vv. 8ab: Zum Binden; V. 9a: Zum Gericht-Halten. Gedeutet werden sie dann so, dass die im Psalm Angesprochen das in Vv. 5-6 Genannte tun sollten, damit sie dann auch Rache und Züchtigung üben, Könige und Adelige binden und ein Gericht halten könnten (dazu, wie z.B. theoretisch in der Tat selbst das „Tanzen“ zum Sieg beitragen kann, vgl. z.B. Oesterley 1923, S. 158f). Der damit geschilderte Sachverhalt - der nämlich, dass die „Getreuen“ mit dem Schwert ein Strafgericht an den Völkern und Nationen verüben würden -, wäre jedoch so singulär in der Bibel, dass etwa Leuenberger 2010 bis ins Henoch-Buch hinein suchen muss, um Parallelen für diesen hier vermeintlich geschilderten Sachverhalt zu finden. Sonst ist das die Aufgabe JHWHs; auch </w:t>
      </w:r>
      <w:r>
        <w:rPr>
          <w:rtl w:val="true"/>
          <w:lang w:bidi="he-IL"/>
        </w:rPr>
        <w:t>נְקָמָה</w:t>
      </w:r>
      <w:r>
        <w:rPr/>
        <w:t xml:space="preserve"> </w:t>
      </w:r>
      <w:r>
        <w:rPr/>
        <w:t>Rache ist etwas, das in der Bibel typischerweise JHWH, dem „Gott der Rache“ (Ps 94,1) zugeordnet wird; vgl. Num 31,3; Ri 11,36; 1Sam 4,8; 2Sam 22,48; Ps 18,48; 79,10; Jer 11,20; 20,12; 46,10; 50,15.28; 51,11.36; Ez 25,14.17 (vgl. ähnlich Allen 1983).Sinnvoller daher: Der Inf. cstr. im Hebräischen ist apersonal, weshalb man sich den Aktanten der mit Inf. cstr. bezeichneten Handlung je aus dem Kontext erschließen muss. Für gewöhnlich führt er das Subjekt des vorangehenden finiten Verbs fort, kann aber ebenso gut Subjektwechsel einführen; s. z.B. Ri 3,4: „Und sie [=die anderen Länder] waren zum Versuchen Israel durch sie, zum Wissen ob sie die Gebote halten würden.“=„Die Nationen waren dazu da, damit er Israel durch sie versuchen könne, damit er wüsste, ob sie die Gebote halten würden.“; 1Kön 3,9: „So gib deinem Sklaven ein hörendes Herz zum Richten dein Volk, zum Unterscheiden von Gut und Böse...“=„Gib [du] deinem Sklaven ein hörendes Herz, damit er dein Volk richten könne und damit er unterscheiden könne zwischen Gut und Böse...“ u.ö. Einen solchen Subjektwechsel sollte man wohl auch hier annehmen (vgl. ebenso Allen 1983): Die im Psalm Angesprochenen sollen das in Vv. 5-6 genannte nicht tun, damit sie Rache und Züchtigung üben, Könige und Adelige binden und ein Gericht halten können - sondern damit JHWH das tut. Ps 149 verdichtet dann das in der Bibel häufige Motiv des JHWH-Kriegs (eindrückliche Beispiele z.B. in Ps 47,3-4; Jes 54,5b.14), das auch Hossfeld/Zenger 2008 im Psalm verdichtet sehen: &lt;blockquote&gt;„Die [...] Kriegsmetaphorik des Psalms muss vom Konzept des sog. Heiligen Krieges bzw. des JHWH-Krieges verstanden werden. In diesem ist entscheidend, dass JHWH allein den Sieg herbeiführt, während Israel als bewaffnete Formation nur zuschauen soll (vgl. Ex 14,13f.) bzw. das Kriegsgeschrei ertönen lässt (vgl. Ri 6,21f.). In der Spätzeit des Alten Testaments genügt es, wie 2Chr 20,15-24 zeigt, dass das Volk sogar »nur« Psalmen singt, damit die Feinde vernichtet werden. Dieses »Kriegsmodell« ist offensichtlich in Ps 149 vorausgesetzt, wenn die Getreuen JHWHs mit dem Schwert in der Hand die Jubellieder auf JHWH singen sollen, um so das Strafgericht über die Feinde auszulösen.“&lt;/blockquote&gt; Übersetze daher je: „auf das er X tue“.</w:t>
      </w:r>
    </w:p>
  </w:footnote>
  <w:footnote w:id="964">
    <w:p>
      <w:pPr>
        <w:pStyle w:val="Funote"/>
        <w:rPr/>
      </w:pPr>
      <w:r>
        <w:rPr/>
        <w:footnoteRef/>
        <w:tab/>
        <w:t xml:space="preserve">Hossfeld/Zenger 2008, S. 868 bestimmen </w:t>
      </w:r>
      <w:r>
        <w:rPr>
          <w:rtl w:val="true"/>
          <w:lang w:bidi="he-IL"/>
        </w:rPr>
        <w:t>תּוֹכֵחָה</w:t>
      </w:r>
      <w:r>
        <w:rPr/>
        <w:t xml:space="preserve"> </w:t>
      </w:r>
      <w:r>
        <w:rPr/>
        <w:t xml:space="preserve">als einen „Begriff aus der Erziehung“ wie er in der Tat v.a. im Buch der Sprichwörter verwendet wird („Zurechtweisung“ + „Züchtigung“, vgl. Spr 1,23.25.30; 3,11; 5,12; 6,23; 10,17; 12,1; 13,18; 15,5.10.31f; 27,5; 29,1.15). Andere Stellen zeigen aber deutlich, dass das Wort ebenso gut auch für ein „strafendes Urteil“ und das „Strafgericht“ stehen kann (vgl. Ijob 13,6; 23,4 (wohl nicht „Verteidigungsrede“ oder „Beweis“; der Begriff bezeichnet Ijob's Anmaßung: nun rechtet er mit Gott)), das selbst zum Tod führen kann (vgl. Ps 39,12; Ez 25,17 (wie hier || </w:t>
      </w:r>
      <w:r>
        <w:rPr>
          <w:rtl w:val="true"/>
          <w:lang w:bidi="he-IL"/>
        </w:rPr>
        <w:t>נְקָמָה</w:t>
      </w:r>
      <w:r>
        <w:rPr/>
        <w:t xml:space="preserve"> </w:t>
      </w:r>
      <w:r>
        <w:rPr/>
        <w:t>Rache); Hos 5,9). Das ist sehr sicher auch in diesem Kontext seine Bedeutung.</w:t>
      </w:r>
    </w:p>
  </w:footnote>
  <w:footnote w:id="965">
    <w:p>
      <w:pPr>
        <w:pStyle w:val="Funote"/>
        <w:rPr/>
      </w:pPr>
      <w:r>
        <w:rPr/>
        <w:footnoteRef/>
        <w:tab/>
        <w:t>Übersetzungsalternativen nach Hossfeld/Zenger 2008, S. 857.</w:t>
      </w:r>
    </w:p>
  </w:footnote>
  <w:footnote w:id="966">
    <w:p>
      <w:pPr>
        <w:pStyle w:val="Funote"/>
        <w:rPr/>
      </w:pPr>
      <w:r>
        <w:rPr/>
        <w:footnoteRef/>
        <w:tab/>
        <w:t xml:space="preserve">W.: „um an ihnen zu vollziehen geschriebenes Recht“; „wie geschrieben steht“ ist die Standard-Übersetzung. Der Sinn dieser Phrase ist unklar; vermutlich ist sie entsprechend der Wendung </w:t>
      </w:r>
      <w:r>
        <w:rPr>
          <w:rtl w:val="true"/>
          <w:lang w:bidi="he-IL"/>
        </w:rPr>
        <w:t>כַּכָּתוּב</w:t>
      </w:r>
      <w:r>
        <w:rPr/>
        <w:t xml:space="preserve"> </w:t>
      </w:r>
      <w:r>
        <w:rPr/>
        <w:t>(„wie geschrieben steht“) zu verstehen - einer Hinweisformel, mit der man sich in der Bibel standardmäßig auf bereits existente, normative Stellen aus der heiligen Schrift bezieht (vgl. Donner 1994, S. 234); hier also vermutlich sinngemäß: „wie prophezeit wurde“, „gemäß der Prophezeiungen“.</w:t>
      </w:r>
    </w:p>
  </w:footnote>
  <w:footnote w:id="967">
    <w:p>
      <w:pPr>
        <w:pStyle w:val="Funote"/>
        <w:rPr/>
      </w:pPr>
      <w:r>
        <w:rPr/>
        <w:footnoteRef/>
        <w:tab/>
        <w:t>Drei mögliche Deutungen lässt dieser Vers zu. # Die Mehrheitsdeutung: All das zuvor geschilderte, von den „Getreuen“ erreichte, bringt ihnen oder ist ihre Ehre/Ruhm; Übersetzung: „Das bringt seinen Getreuen Ruhm.“ o.Ä.; vgl. z.B. Gerstenberger 2001, S. 455. - Das Problematische an dieser Deutung ist, dass damit gerade in einer Doxologie Gottes ein Motiv, das öfter im Zhg. mit Gott verwendet wird (vgl. z.B. Jes 2,10.19.21; s. auch THAT I, S.471f.) hier sogar mit dem selben Vokabular auf seine „Getreuen“ übertragen würde. Vorzuziehen ist daher: # „Er (=JHWH) ist ihr Mächtiger“; V. 9b greift dann noch einmal den Gedanken aus V.5a auf: JHWH ist der Mächtige seiner Getreuen. Ähnlich z.B. Bernfeld; B-R; Hossfeld/Zenger 2008, S. 855; RVmg; TUR; Zunz; Zenger 1987, S. 53. # „Er (=JHWH) ist ihre Herrlichkeit“ i.S.v. „JHWH ist herrlich und an dieser Herrlichkeit haben auch seine Getreuen teil“; vgl. die (sehr freie) Übersetzung der BB: „So zeigt sich sein Glanz in der Welt. / Alle seine Frommen haben daran teil.“ Dieses Verständnis - dass an der Herrlichkeit JHWH auch die Menschen teilhaben - ist in der Bibel recht häufig, vgl. Ps 21,6; 45,4f; Spr 14,28; Klg 1,6; Ez 16,14; Mi 2,9; dazu und ad loc. auch THAT I, S. 472.V. 9 wäre so die Wiederholung gleichzeitig der Verse 4b und 5a, was gut zur Struktur des Psalmes passt. Noch besser klänge es mit Vers 4b zusammen, wenn man auch dort (s. FN k) ein double duty-Suffix läße: Mit seinem Sieg verherrlicht JHWH (auch) seine Getreuen. Vorzuziehen ist hier aber wohl wg. dem Kontext (s. Vv. 7-9) Variante 2.</w:t>
      </w:r>
    </w:p>
  </w:footnote>
  <w:footnote w:id="968">
    <w:p>
      <w:pPr>
        <w:pStyle w:val="Funote"/>
        <w:rPr/>
      </w:pPr>
      <w:r>
        <w:rPr/>
        <w:footnoteRef/>
        <w:tab/>
        <w:t>[Status: Zuverlässig]</w:t>
      </w:r>
    </w:p>
  </w:footnote>
  <w:footnote w:id="969">
    <w:p>
      <w:pPr>
        <w:pStyle w:val="Funote"/>
        <w:rPr/>
      </w:pPr>
      <w:r>
        <w:rPr/>
        <w:footnoteRef/>
        <w:tab/>
        <w:t xml:space="preserve">Siehe übersetzt die hebräischen Fokuspartikel </w:t>
      </w:r>
      <w:r>
        <w:rPr>
          <w:rtl w:val="true"/>
          <w:lang w:bidi="he-IL"/>
        </w:rPr>
        <w:t>הִנֵּה</w:t>
      </w:r>
      <w:r>
        <w:rPr/>
        <w:t>, die das Hebräische häufig setzt, wo das Deutsche keine Fokuspartikel setzen würde. Hier ist ihre Funktion wohl nur, den Beginn des Abschnitts Jes 52,13-53,12 zu markieren (vgl. z.B. Gentry 2007, S. 26) und könnte in der LF ohne Bedeutungsverlust ausgespart werden.</w:t>
      </w:r>
    </w:p>
  </w:footnote>
  <w:footnote w:id="970">
    <w:p>
      <w:pPr>
        <w:pStyle w:val="Funote"/>
        <w:rPr/>
      </w:pPr>
      <w:r>
        <w:rPr/>
        <w:footnoteRef/>
        <w:tab/>
        <w:t xml:space="preserve">Das hebräische Wort </w:t>
      </w:r>
      <w:r>
        <w:rPr>
          <w:rtl w:val="true"/>
          <w:lang w:bidi="he-IL"/>
        </w:rPr>
        <w:t>עַבְדִּי</w:t>
      </w:r>
      <w:r>
        <w:rPr/>
        <w:t xml:space="preserve"> </w:t>
      </w:r>
      <w:r>
        <w:rPr/>
        <w:t>kann sowohl Sklaven bezeichnen als auch hochgestellte Persönlichkeiten (etwa im Dienst eines Königs) und Propheten (Gottesdiener). Zur Übersetzung mit »Getreuer« siehe Schmidt 2013, S. 115. Es gibt zahlreiche verschiedene Thesen zur Person des Dieners/Getreuen. Im Neuen Testament werden Jes 52,13–53,12 auf Jesus Christus bezogen. Andere Deutungen sind: Das jüdische Volk, die kleine Gruppe der Frommen inmitten der Unfrommen, ein konkreter einzelner Mensch, der Messias, Jeremia, Mose. (Vgl. Berlin/Brettler 2004, S. 891)Für die Interpretation des Textes ist die Festlegung auf eine bestimmte Deutung nicht notwendig (Schmidt 2013, S. 119-120).</w:t>
      </w:r>
    </w:p>
  </w:footnote>
  <w:footnote w:id="971">
    <w:p>
      <w:pPr>
        <w:pStyle w:val="Funote"/>
        <w:rPr/>
      </w:pPr>
      <w:r>
        <w:rPr/>
        <w:footnoteRef/>
        <w:tab/>
        <w:t>Textkritik: Einige hebräische Handschriften lesen ihn, andere dich. Die Lesart dich ist besser bezeugt. Da dieser Perspektivwechsel den Text sperriger macht, wurde vermutlich in den übrigen Handschriften zu ihm geändert (Schmidt 2013, S. 225). Es ist die einzige Stelle in diesem Text, an dem JHWH den Diener anspricht und nicht über ihn redet (Schmidt 2013, S. 225) – sofern man den Personenwechsel nicht als bedeutungslose und unübersetzbare Eigenheit der hebräischen Sprache deutet (Kaiser 1959, S. 85f; North 1964, S. 227; Nyberg 1942, S. 48; vgl. GKC §144p).</w:t>
      </w:r>
    </w:p>
  </w:footnote>
  <w:footnote w:id="972">
    <w:p>
      <w:pPr>
        <w:pStyle w:val="Funote"/>
        <w:rPr/>
      </w:pPr>
      <w:r>
        <w:rPr/>
        <w:footnoteRef/>
        <w:tab/>
        <w:t>generisches Maskulinum</w:t>
      </w:r>
    </w:p>
  </w:footnote>
  <w:footnote w:id="973">
    <w:p>
      <w:pPr>
        <w:pStyle w:val="Funote"/>
        <w:rPr/>
      </w:pPr>
      <w:r>
        <w:rPr/>
        <w:footnoteRef/>
        <w:tab/>
        <w:t xml:space="preserve">Vers 14bc wird in der wissenschaftlichen Literatur verschieden in das Satzgefüge des Textes eingeordnet. Unsere Übersetzung folgt Schmidt 2013, 224. Es sind aber auch andere Deutungen möglich. Die meisten verstehen Vers 14bc als Einschub; dann wäre zu übersetzen: Ebensosehr, wie viele über dich (ihn) entsetzt waren – so entstellt … war sein Aussehen … – ebensosehr wird er viele Völker aufschrecken. Andere übersetzen die Abfolge </w:t>
      </w:r>
      <w:r>
        <w:rPr>
          <w:rtl w:val="true"/>
          <w:lang w:bidi="he-IL"/>
        </w:rPr>
        <w:t xml:space="preserve">כִּי </w:t>
      </w:r>
      <w:r>
        <w:rPr>
          <w:rtl w:val="true"/>
          <w:lang w:val="he-IL"/>
        </w:rPr>
        <w:t xml:space="preserve">- </w:t>
      </w:r>
      <w:r>
        <w:rPr>
          <w:rtl w:val="true"/>
          <w:lang w:bidi="he-IL"/>
        </w:rPr>
        <w:t xml:space="preserve">כן </w:t>
      </w:r>
      <w:r>
        <w:rPr>
          <w:rtl w:val="true"/>
          <w:lang w:val="he-IL"/>
        </w:rPr>
        <w:t xml:space="preserve">- </w:t>
      </w:r>
      <w:r>
        <w:rPr>
          <w:rtl w:val="true"/>
          <w:lang w:bidi="he-IL"/>
        </w:rPr>
        <w:t>כן</w:t>
      </w:r>
      <w:r>
        <w:rPr/>
        <w:t xml:space="preserve"> </w:t>
      </w:r>
      <w:r>
        <w:rPr/>
        <w:t xml:space="preserve">als Ebensosehr - ebensosehr - ebensosehr (Bartélemy 1986, 386; Gentry 2007, S. 26; Schenker 2001, 67): Ebensosehr, wie viele über dich (ihn) entsetzt waren, ebenso entstellt … war sein Aussehen …, ebensosehr wird er viele Völker aufschrecken. Diskutiert wird auch, ob die Textüberlieferung an dieser Stelle fehlerhaft ist. Dann wäre entweder 14bc hinter Vers 53,2 zu verschieben (BHS, Blenkinsopp 2002, Westermann 1966) oder </w:t>
      </w:r>
      <w:r>
        <w:rPr>
          <w:rtl w:val="true"/>
          <w:lang w:bidi="he-IL"/>
        </w:rPr>
        <w:t>כן</w:t>
      </w:r>
      <w:r>
        <w:rPr/>
        <w:t xml:space="preserve"> </w:t>
      </w:r>
      <w:r>
        <w:rPr/>
        <w:t xml:space="preserve">ebenso nach </w:t>
      </w:r>
      <w:r>
        <w:rPr>
          <w:rtl w:val="true"/>
          <w:lang w:bidi="he-IL"/>
        </w:rPr>
        <w:t>כִּי</w:t>
      </w:r>
      <w:r>
        <w:rPr/>
        <w:t xml:space="preserve"> </w:t>
      </w:r>
      <w:r>
        <w:rPr/>
        <w:t>denn zu korrigieren: So viele Menschen waren über dich (ihn) entsetzt, denn … denn … (Barré 2000, S. 25; Ziegler 1958, S. 173; so schon Duhm). Da sich diese Vermutungen eines ursprünglich anderen Textes nicht überprüfen lassen, müssen sie jedoch als sehr unsicher eingeordnet werden.</w:t>
      </w:r>
    </w:p>
  </w:footnote>
  <w:footnote w:id="974">
    <w:p>
      <w:pPr>
        <w:pStyle w:val="Funote"/>
        <w:rPr/>
      </w:pPr>
      <w:r>
        <w:rPr/>
        <w:footnoteRef/>
        <w:tab/>
        <w:t xml:space="preserve">Die genaue Übersetzung dieser Stelle ist unklar. Der Urtext hat hier das Wort </w:t>
      </w:r>
      <w:r>
        <w:rPr>
          <w:rtl w:val="true"/>
          <w:lang w:bidi="he-IL"/>
        </w:rPr>
        <w:t>יַזֶּה</w:t>
      </w:r>
      <w:r>
        <w:rPr/>
        <w:t xml:space="preserve"> </w:t>
      </w:r>
      <w:r>
        <w:rPr/>
        <w:t xml:space="preserve">(besprengen), was in diesem Zusammenhang nicht viel Sinn ergibt. Die griechische Übersetzung LXX hat </w:t>
      </w:r>
      <w:r>
        <w:rPr>
          <w:lang w:val="el-GR"/>
        </w:rPr>
        <w:t>θαυμάσονται</w:t>
      </w:r>
      <w:r>
        <w:rPr/>
        <w:t xml:space="preserve"> (sie staunen). Der Kontext legt die Aussageabsicht nahe, dass viele Völker von dem erfolgreichen (V. 13) Menschen Notiz nehmen – ebenso wie die Könige. Für die Übersetzung des Wortes werden vier Lösungen diskutiert: (i) Es wird ein dem arab. nazâ analoges </w:t>
      </w:r>
      <w:r>
        <w:rPr>
          <w:rtl w:val="true"/>
          <w:lang w:bidi="he-IL"/>
        </w:rPr>
        <w:t>נזה</w:t>
      </w:r>
      <w:r>
        <w:rPr/>
        <w:t xml:space="preserve"> </w:t>
      </w:r>
      <w:r>
        <w:rPr/>
        <w:t xml:space="preserve">II aufspringen machen angesetzt, das dann entweder bewundern, verwundert sein über (was mit LXX zusammenstimmen würde: </w:t>
      </w:r>
      <w:r>
        <w:rPr>
          <w:lang w:val="el-GR"/>
        </w:rPr>
        <w:t>θαυμάσονται</w:t>
      </w:r>
      <w:r>
        <w:rPr/>
        <w:t xml:space="preserve"> sie staunen) oder aufschrecken heißen soll (der häufigste Alternativvorschlag, z.B. Blenkinsopp 2002, Childs 2001, Oswalt 1998, Watts 1987 u.a.) - allerdings ist hiergegen eingewendet worden, dass das arab. nazâ gar nicht die Bedeutung »verwundert sein« habe, vgl. z.B. Gentry 2007, S. 27; Smith 2009, S. 440. (ii) Man emendiert nach </w:t>
      </w:r>
      <w:r>
        <w:rPr>
          <w:rtl w:val="true"/>
          <w:lang w:bidi="he-IL"/>
        </w:rPr>
        <w:t>יִרְגְּזוּ</w:t>
      </w:r>
      <w:r>
        <w:rPr/>
        <w:t xml:space="preserve"> </w:t>
      </w:r>
      <w:r>
        <w:rPr/>
        <w:t xml:space="preserve">sie werden erstaunt sein (Westermann 1966), aber eigentlich bedeutet </w:t>
      </w:r>
      <w:r>
        <w:rPr>
          <w:rtl w:val="true"/>
          <w:lang w:bidi="he-IL"/>
        </w:rPr>
        <w:t>רגז</w:t>
      </w:r>
      <w:r>
        <w:rPr/>
        <w:t xml:space="preserve"> </w:t>
      </w:r>
      <w:r>
        <w:rPr/>
        <w:t xml:space="preserve">gar nicht »erstaunt sein«, sd. »erregt sein, unruhig sein«; vgl. ad loc. auch Ges18, S. 798. Außerdem ist (iii) vorgeschlagen worden, zu emendieren nach </w:t>
      </w:r>
      <w:r>
        <w:rPr>
          <w:rtl w:val="true"/>
          <w:lang w:bidi="he-IL"/>
        </w:rPr>
        <w:t>יִזְהוּ</w:t>
      </w:r>
      <w:r>
        <w:rPr/>
        <w:t xml:space="preserve"> </w:t>
      </w:r>
      <w:r>
        <w:rPr/>
        <w:t xml:space="preserve">sie werden sich freuen (Barré 2000, S. 10f.) - allerdings ist dieses Wort ein wenig unsicher - oder (iv) nach </w:t>
      </w:r>
      <w:r>
        <w:rPr>
          <w:rtl w:val="true"/>
          <w:lang w:bidi="he-IL"/>
        </w:rPr>
        <w:t>יִבְזֻהוּ</w:t>
      </w:r>
      <w:r>
        <w:rPr/>
        <w:t xml:space="preserve"> </w:t>
      </w:r>
      <w:r>
        <w:rPr/>
        <w:t>sie verachten (vgl. BHS). Trotz Widersprüchen ist die erste Lösung (a) die verbreitetste und (b) die unproblematischste, weshalb auch wir ihr hier den Vorzug gegeben haben.</w:t>
      </w:r>
    </w:p>
  </w:footnote>
  <w:footnote w:id="975">
    <w:p>
      <w:pPr>
        <w:pStyle w:val="Funote"/>
        <w:rPr/>
      </w:pPr>
      <w:r>
        <w:rPr/>
        <w:footnoteRef/>
        <w:tab/>
        <w:t>»Den Mund verschließen« ist wohl als Geste der Verehrung zu verstehen; vgl. Ijob 29,9; 40,4 (; Mic 7,16).</w:t>
      </w:r>
    </w:p>
  </w:footnote>
  <w:footnote w:id="976">
    <w:p>
      <w:pPr>
        <w:pStyle w:val="Funote"/>
        <w:rPr/>
      </w:pPr>
      <w:r>
        <w:rPr/>
        <w:footnoteRef/>
        <w:tab/>
        <w:t>Vers 15 ist hier als prophetisches Perfekt übersetzt (vgl. Childs 2001, S. 407); alternativ möglich: Futur II. Eine weitere Übersetzungmöglichkeit ist: „so sehr schreckt er [nun] … auf, denn … sie haben es gesehen … sie haben es verstanden“.</w:t>
      </w:r>
    </w:p>
  </w:footnote>
  <w:footnote w:id="977">
    <w:p>
      <w:pPr>
        <w:pStyle w:val="Funote"/>
        <w:rPr/>
      </w:pPr>
      <w:r>
        <w:rPr/>
        <w:footnoteRef/>
        <w:tab/>
        <w:t>[Status: Zuverlässig]</w:t>
      </w:r>
    </w:p>
  </w:footnote>
  <w:footnote w:id="978">
    <w:p>
      <w:pPr>
        <w:pStyle w:val="Funote"/>
        <w:rPr/>
      </w:pPr>
      <w:r>
        <w:rPr/>
        <w:footnoteRef/>
        <w:tab/>
        <w:t>die Kunde (das Gehörte, Offenbarte, Verkündigte) - wg. dem folgenden Sticho (»Wem ist JHWHs Macht enthüllt« -&gt; JHWHs Tun wird gerade als verborgen vorgestellt) sind die »theologischeren« Alternativen »Offenbartes« und »Verkündigtes« eher unwahrscheinlich; vgl. Kaiser 1959, S. 95; KBL3, S. 1439.</w:t>
      </w:r>
    </w:p>
  </w:footnote>
  <w:footnote w:id="979">
    <w:p>
      <w:pPr>
        <w:pStyle w:val="Funote"/>
        <w:rPr/>
      </w:pPr>
      <w:r>
        <w:rPr/>
        <w:footnoteRef/>
        <w:tab/>
        <w:t>Die Identität des »wir« in Vers 1–6 ist unklar. Zwei mögliche Deutungen sind Identifizierungen mit dem Volk Israel oder mit benachbarten Völkern. (Vgl. Berlin/Brettler 2005, S. 891.) Siehe auch die Fußnote zu »Diener« in Jes52,13.</w:t>
      </w:r>
    </w:p>
  </w:footnote>
  <w:footnote w:id="980">
    <w:p>
      <w:pPr>
        <w:pStyle w:val="Funote"/>
        <w:rPr/>
      </w:pPr>
      <w:r>
        <w:rPr/>
        <w:footnoteRef/>
        <w:tab/>
        <w:t xml:space="preserve">vor ihm - BHS vermutet einen Überlieferungsfehler und hält </w:t>
      </w:r>
      <w:r>
        <w:rPr>
          <w:rtl w:val="true"/>
          <w:lang w:bidi="he-IL"/>
        </w:rPr>
        <w:t>לְפָנֵינוּ</w:t>
      </w:r>
      <w:r>
        <w:rPr/>
        <w:t xml:space="preserve"> </w:t>
      </w:r>
      <w:r>
        <w:rPr/>
        <w:t>vor uns, vor unseren Augen für urspünglich. So z.B. auch Barré 2000, S. 25; Kaiser 1959, S. 86. Anders Allen 1971; Driver 1968b; Ehrlich 1912; Gordon 1970; North 1964, die übersetzen mit »gerade(wegs) nach oben« (»right up«): vor sich bezieht sich ihnen zufolge auf den Wachsenden selbst, vor sich selbst hinaufziehen soll dann meinen: »emporschießen, emporwachsen«. Diese Deutung ist plausibel; da aber die wörtliche Übersetzung mit »vor ihm« immer noch weitaus mehr Anhänger hat, haben auch wir diese Lösung gewählt.</w:t>
      </w:r>
    </w:p>
  </w:footnote>
  <w:footnote w:id="981">
    <w:p>
      <w:pPr>
        <w:pStyle w:val="Funote"/>
        <w:rPr/>
      </w:pPr>
      <w:r>
        <w:rPr/>
        <w:footnoteRef/>
        <w:tab/>
        <w:t>»Schössling« nach Baltzer 1999; Blenkinsopp 2002; Edel 1964; Niccacci 2005; vgl. auch ZLH, S. 882 ad loc..</w:t>
      </w:r>
    </w:p>
  </w:footnote>
  <w:footnote w:id="982">
    <w:p>
      <w:pPr>
        <w:pStyle w:val="Funote"/>
        <w:rPr/>
      </w:pPr>
      <w:r>
        <w:rPr/>
        <w:footnoteRef/>
        <w:tab/>
        <w:t>keine Gestalt und keine Schönheit - Hendiadyoin. Das Hendiadyoin (=Ausdruck eines Konzeptes durch zwei durch »und« verbundene Wörter) ist im (adjektiv-armen) Hebräisch sehr viel häufiger als im Deutschen und fungiert oft ähnlich der deutschen Konstruktion [Adjektiv-Substantiv] oder dem deutsche Wortbildungsmodell »Komposition« (=Wortzusammensetzung, z.B. »Gast« + »Arbeiter« = »Gastarbeiter)«; sinngemäß daher statt »Gestalt und Schönheit«: »schöne Gestalt«.</w:t>
      </w:r>
    </w:p>
  </w:footnote>
  <w:footnote w:id="983">
    <w:p>
      <w:pPr>
        <w:pStyle w:val="Funote"/>
        <w:rPr/>
      </w:pPr>
      <w:r>
        <w:rPr/>
        <w:footnoteRef/>
        <w:tab/>
        <w:t>Generisches Maskulinum</w:t>
      </w:r>
    </w:p>
  </w:footnote>
  <w:footnote w:id="984">
    <w:p>
      <w:pPr>
        <w:pStyle w:val="Funote"/>
        <w:rPr/>
      </w:pPr>
      <w:r>
        <w:rPr/>
        <w:footnoteRef/>
        <w:tab/>
        <w:t xml:space="preserve">In der wissenschaftlichen Literatur werden verschiedene sprachliche Deutungen des hebräischen Textes diskutiert (vgl. CDCH 147). Neben der von uns gewählten Übersetzung werden auch </w:t>
      </w:r>
      <w:r>
        <w:rPr>
          <w:rtl w:val="true"/>
          <w:lang w:bidi="he-IL"/>
        </w:rPr>
        <w:t>ידע</w:t>
      </w:r>
      <w:r>
        <w:rPr/>
        <w:t xml:space="preserve"> </w:t>
      </w:r>
      <w:r>
        <w:rPr/>
        <w:t xml:space="preserve">II (demütigen) und </w:t>
      </w:r>
      <w:r>
        <w:rPr>
          <w:rtl w:val="true"/>
          <w:lang w:bidi="he-IL"/>
        </w:rPr>
        <w:t>ידע</w:t>
      </w:r>
      <w:r>
        <w:rPr/>
        <w:t xml:space="preserve"> </w:t>
      </w:r>
      <w:r>
        <w:rPr/>
        <w:t>IV (strafen) vorgeschlagen. Beides ist aber nicht allgemein anerkannt.</w:t>
      </w:r>
    </w:p>
  </w:footnote>
  <w:footnote w:id="985">
    <w:p>
      <w:pPr>
        <w:pStyle w:val="Funote"/>
        <w:rPr/>
      </w:pPr>
      <w:r>
        <w:rPr/>
        <w:footnoteRef/>
        <w:tab/>
        <w:t>W. Und [er war] wie ein Verbergen der Gesichter (des Gesichts) vor ihm (uns). Wer Subjekt des Gesicht-Verbergens ist und ob er sein Gesicht vor »ihm«=dem Gottesknecht oder dem nicht identifizierten »uns« verbirgt, ist im heb. Text nicht ausgedrückt. Möglich wären die Deutungen: (a) Impersonal: Man verbirgt sein Gesicht vor ihm; (b) Wir verbergen unsere Gesichter vor ihm; (c) Gott verbirgt sein Gesicht vor ihm; (d) Er verbirg sein Gesicht vor uns. Rein sprachlich betrachtet am naheliegendsten - da dann das Fehlen eines expliziten Subjekts keiner ad-hoc-Erklärung bedarf - ist (a). Dass aber die Rede vom »Verbergen des Gesichtes« in der Bibel ein häufiges Idiom für den »Gnaden-Entzug JHWHs« ist (JHWH verbirgt sein Gesicht vor X = JHWH schaut X nicht mehr gnädig an; vgl. Friedman 1977, bes. 146f; s. auch FN u zu Ps 30,8), spricht für (c). Der Gottesknecht ist die »konzentrierte Gesichtsverbergung«; er wirkt wie der Inbegriff dessen, was das Gesichts-verbergen JHWHs mit sich bringt - nämlich Schmerzen, Krankheit, Missachtung und Geringschätzung. Die meisten Übersetzungen und Kommentare übersetzen so wie wir. (Ausnahmen: JPS 1985/1999 übersetzt: »As one who hid his face from us« und Buber: »wie wenn das Antlitz sich vor uns verbergen muß«.) Möglicherweise liegt hier eine Anspielung auf Aussatz vor. (Vgl. Berlin/Brettler 2005, S. 891; Lev 13,45ff.)</w:t>
      </w:r>
    </w:p>
  </w:footnote>
  <w:footnote w:id="986">
    <w:p>
      <w:pPr>
        <w:pStyle w:val="Funote"/>
        <w:rPr/>
      </w:pPr>
      <w:r>
        <w:rPr/>
        <w:footnoteRef/>
        <w:tab/>
        <w:t>Textkritik: eine Handschrift: »und wir haben ihn ausgeplündert«</w:t>
      </w:r>
    </w:p>
  </w:footnote>
  <w:footnote w:id="987">
    <w:p>
      <w:pPr>
        <w:pStyle w:val="Funote"/>
        <w:rPr/>
      </w:pPr>
      <w:r>
        <w:rPr/>
        <w:footnoteRef/>
        <w:tab/>
        <w:t>In V. 4a-c finden sich einige sprachliche Auffälligkeiten. (1) Die Objekte unsere Krankheiten und unsere Leiden sind hier emphatisch (-&gt;Emphase) vorangestellt; (2) Sticho a steht ein redundantes Pronomen er, das so eigentlich schon in der Flexionsendung von er hat getragen enthalten wäre; streng wörtlich also: »Jedoch unsere Krankheiten: Er, er hat sie getragen«. (3) Ähnlich ist in Sticho b das unsere Leiden überflüssigerweise noch einmal enthalten in er hat sie ertragen - streng wörtlich also »unsere Leiden, sie hat er ertragen« - und (4) wird in Sticho c das wir ebenfalls durch ein redundantes Pronomen ausgedrückt; streng wörtlich also: »und wir, wir hielten ihn...«. Durch diese doppelte Hervorhebung von »unsere Krankheiten« und »unsere Leiden« und die Betonung von »er«, »sie« und »wir« wird sprachlich eine doppelte Gegensätzlichkeit markiert: (a) Die Tatsache, dass er nicht etwa seine, sondern unsere Leiden trug und (b) dass er sie selbst auf sich geladen hat, während wir dachten, er sei mit ihnen von Gott gestraft worden.Daher am sinngemäßesten etwas wie: »Dabei waren es unsere Krankheiten, die er auf sich geladen hat - unsere Leiden hat er erduldet! - während wir dachten, er sei von Gott geschlagen« (vgl. ähnlich Edel 1964, S. 128; Joachimsen 2011, S. 109-112; North 1964, S. 238f; Paul 2012, S. 404. Sehr gut die Üss. von Baltzer 1999 (»Fürwahr, unsere Krankheit hat jener getragen, / und unsere Leiden - er hat sie aufgeladen! / Wir aber haben ihn für einen gehalten...«) und North 1964 (»But ours were the sicknesses that he bore / ours the sorrows he carried; / while we supposed him stricken, / smitten by God, and afflicted.«).</w:t>
      </w:r>
    </w:p>
  </w:footnote>
  <w:footnote w:id="988">
    <w:p>
      <w:pPr>
        <w:pStyle w:val="Funote"/>
        <w:rPr/>
      </w:pPr>
      <w:r>
        <w:rPr/>
        <w:footnoteRef/>
        <w:tab/>
        <w:t xml:space="preserve">Textkritik: BHS, Baltzer 1999, S. 518 u.a. punktieren mit Aq und Tg Jes um von </w:t>
      </w:r>
      <w:r>
        <w:rPr>
          <w:rtl w:val="true"/>
          <w:lang w:bidi="he-IL"/>
        </w:rPr>
        <w:t>מְחֹלָל</w:t>
      </w:r>
      <w:r>
        <w:rPr/>
        <w:t xml:space="preserve"> </w:t>
      </w:r>
      <w:r>
        <w:rPr/>
        <w:t xml:space="preserve">durchbohrt, verwundet nach </w:t>
      </w:r>
      <w:r>
        <w:rPr>
          <w:rtl w:val="true"/>
          <w:lang w:bidi="he-IL"/>
        </w:rPr>
        <w:t>מְחֻלָּל</w:t>
      </w:r>
      <w:r>
        <w:rPr/>
        <w:t xml:space="preserve"> </w:t>
      </w:r>
      <w:r>
        <w:rPr/>
        <w:t xml:space="preserve">entweiht, da </w:t>
      </w:r>
      <w:r>
        <w:rPr>
          <w:rtl w:val="true"/>
          <w:lang w:bidi="he-IL"/>
        </w:rPr>
        <w:t>חלל</w:t>
      </w:r>
      <w:r>
        <w:rPr/>
        <w:t xml:space="preserve"> </w:t>
      </w:r>
      <w:r>
        <w:rPr/>
        <w:t>II verwunden, durchbohren in der Regel die tödliche Verwundung meint, der Gottesknecht aber ja offensichtlich »lebend leidet.« MT ist beizubehalten; das Wort kann vereinzelt auch allgemein für das Verwunden stehen.</w:t>
      </w:r>
    </w:p>
  </w:footnote>
  <w:footnote w:id="989">
    <w:p>
      <w:pPr>
        <w:pStyle w:val="Funote"/>
        <w:rPr/>
      </w:pPr>
      <w:r>
        <w:rPr/>
        <w:footnoteRef/>
        <w:tab/>
        <w:t>»verletzt« nach Joachimsen 2011; Watts 1987; »zerrüttet« nach ZLH, S. 172.</w:t>
      </w:r>
    </w:p>
  </w:footnote>
  <w:footnote w:id="990">
    <w:p>
      <w:pPr>
        <w:pStyle w:val="Funote"/>
        <w:rPr/>
      </w:pPr>
      <w:r>
        <w:rPr/>
        <w:footnoteRef/>
        <w:tab/>
        <w:t xml:space="preserve">Wörtlich: »Die Züchtigung unseres Heils (Glücks, Friedens) auf ihm«. Textkritik: Torczyner 1912 hat sinnvoll vorgeschlagen, hier nach Ps 90,8 (dazu BHS) statt </w:t>
      </w:r>
      <w:r>
        <w:rPr>
          <w:rtl w:val="true"/>
          <w:lang w:bidi="he-IL"/>
        </w:rPr>
        <w:t>שלומנו</w:t>
      </w:r>
      <w:r>
        <w:rPr/>
        <w:t xml:space="preserve"> </w:t>
      </w:r>
      <w:r>
        <w:rPr/>
        <w:t xml:space="preserve">für unser Heil zu lesen </w:t>
      </w:r>
      <w:r>
        <w:rPr>
          <w:rtl w:val="true"/>
          <w:lang w:bidi="he-IL"/>
        </w:rPr>
        <w:t>עלומינו</w:t>
      </w:r>
      <w:r>
        <w:rPr/>
        <w:t xml:space="preserve"> </w:t>
      </w:r>
      <w:r>
        <w:rPr/>
        <w:t>für unsere (verborgenen) Sünden. Der Sticho wäre dann parallel nicht zu Sticho d, sondern zu den Stichos a.b. Nötig ist das allerdings nicht, weshalb man von dieser Maßnahme besser absehen sollte.</w:t>
      </w:r>
    </w:p>
  </w:footnote>
  <w:footnote w:id="991">
    <w:p>
      <w:pPr>
        <w:pStyle w:val="Funote"/>
        <w:rPr/>
      </w:pPr>
      <w:r>
        <w:rPr/>
        <w:footnoteRef/>
        <w:tab/>
        <w:t>Fast alle Kommentare und Übersetzungen deuten das Verben als impersonales Passiv: »es war Heilung, es gab Heilung« (gut K/D + Westermann 1966: »Durch seine Striemen ward uns Heilung«); vgl. Joachimsen 2011, S. 116f. Die meisten Übersetzungen umschreiben diesen Satz mit einer freieren Formulierung im Sinne von »durch seine Wunden wurden wir geheilt« (vgl. JPS 1985/1999); theoretisch wäre außerdem möglich: »an seinen Wunden wurde er für uns geheilt« (vgl. JPS 1917).</w:t>
      </w:r>
    </w:p>
  </w:footnote>
  <w:footnote w:id="992">
    <w:p>
      <w:pPr>
        <w:pStyle w:val="Funote"/>
        <w:rPr/>
      </w:pPr>
      <w:r>
        <w:rPr/>
        <w:footnoteRef/>
        <w:tab/>
        <w:t>Wir alle: »Wir« wird hier extra (unnötigerweise) gesetzt und zudem noch beschwert durch »wir alle«, um den Gegensatz zw. Sticho ab und Sticho c zu betonen: Dass JHWH unsere Sünden auf ihn treffen ließ, weil wir alle uns wie Schafe verlaufen hatten. Zusätzlich wird dies dadurch verstärkt, dass exakt das selbe Wort (</w:t>
      </w:r>
      <w:r>
        <w:rPr>
          <w:rtl w:val="true"/>
          <w:lang w:bidi="he-IL"/>
        </w:rPr>
        <w:t>כֻּלָּֽנוּ</w:t>
      </w:r>
      <w:r>
        <w:rPr/>
        <w:t xml:space="preserve">) - im hebräischen Text das erste des Verses - als letztes Wort des Verses noch einmal wiederholt wird: »die Sünden von uns allen«. Dorthinein spielt außerdem, dass Sticho 2 noch einmal emphatisch (-&gt;Emphase) das </w:t>
      </w:r>
      <w:r>
        <w:rPr>
          <w:rtl w:val="true"/>
          <w:lang w:bidi="he-IL"/>
        </w:rPr>
        <w:t>אִישׁ</w:t>
      </w:r>
      <w:r>
        <w:rPr/>
        <w:t xml:space="preserve"> </w:t>
      </w:r>
      <w:r>
        <w:rPr/>
        <w:t>jeder dem Satz voransteht. Wollte man das im Dt. einigermaßen nachahmen, etwa so: »Wir, allesamt, hatten uns wie Vieh verlaufen; / jeder [von uns] lief in eine andere Richtung, / und auf ihn ließ Gott treffen die Sünden von uns allen«</w:t>
      </w:r>
    </w:p>
  </w:footnote>
  <w:footnote w:id="993">
    <w:p>
      <w:pPr>
        <w:pStyle w:val="Funote"/>
        <w:rPr/>
      </w:pPr>
      <w:r>
        <w:rPr/>
        <w:footnoteRef/>
        <w:tab/>
        <w:t>Ehrlich 1912 und Paul 2012 wollen diesen Ausdruck nach Jes 56,11 als einen Ausdruck für »seinen eigenen materiellen Interessen nachgehen« deuten. Der Parallelismus macht aber deutlich, dass »jeder wendete sich (ging) auf seinem Weg« hier als ein alternativer Ausdruck für das »Umherirren« zu lesen ist, daher vielleicht näher am Sinn: »jeder lief in eine andere Richtung«.</w:t>
      </w:r>
    </w:p>
  </w:footnote>
  <w:footnote w:id="994">
    <w:p>
      <w:pPr>
        <w:pStyle w:val="Funote"/>
        <w:rPr/>
      </w:pPr>
      <w:r>
        <w:rPr/>
        <w:footnoteRef/>
        <w:tab/>
        <w:t>Vgl. Vers 12.</w:t>
      </w:r>
    </w:p>
  </w:footnote>
  <w:footnote w:id="995">
    <w:p>
      <w:pPr>
        <w:pStyle w:val="Funote"/>
        <w:rPr/>
      </w:pPr>
      <w:r>
        <w:rPr/>
        <w:footnoteRef/>
        <w:tab/>
        <w:t>das hebräische Wort für »vor« (</w:t>
      </w:r>
      <w:r>
        <w:rPr>
          <w:rtl w:val="true"/>
          <w:lang w:bidi="he-IL"/>
        </w:rPr>
        <w:t>לִפְנֵי</w:t>
      </w:r>
      <w:r>
        <w:rPr/>
        <w:t>) hat bisweilen einen drohenden Unterton (vgl. z.B. Dahood 1965, S. 133f; Sabottka 1972, S. 32) und ist daher hier höchst treffend: Auch der Scherer wird als etwas Schreckliches für die Schafe dargestellt und kann daher sinnvoll mit der Schlachtung parallelisiert werden.</w:t>
      </w:r>
    </w:p>
  </w:footnote>
  <w:footnote w:id="996">
    <w:p>
      <w:pPr>
        <w:pStyle w:val="Funote"/>
        <w:rPr/>
      </w:pPr>
      <w:r>
        <w:rPr/>
        <w:footnoteRef/>
        <w:tab/>
        <w:t>Textkritik: Manche Exegeten vermuten, dass der letzte Sticho nicht ursprünglich ist, sondern als Schreibfehler (Dittographie) zu streichen ist, so z.B. BHS (»prb«), Box/Driver, Budde, Driver, Duhm, Giesebrecht, Haller, Kaiser, Lagarde, Marti, Stark, Volz u.a. Allerdings sind Wiederholungen in Deuterojesaja nicht selten, so dass das wohl nicht nötig ist (so auch North 1964, S. 229). Ohne die Verdoppelung wäre der Text zwar etwas sprachlich glatter, was aber bei diesem insgesamt sprachlich komplexen Text eher für die Ursprünglichkeit der Wiederholung sprechen dürfte.</w:t>
      </w:r>
    </w:p>
  </w:footnote>
  <w:footnote w:id="997">
    <w:p>
      <w:pPr>
        <w:pStyle w:val="Funote"/>
        <w:rPr/>
      </w:pPr>
      <w:r>
        <w:rPr/>
        <w:footnoteRef/>
        <w:tab/>
        <w:t>Die Übersetzung dieses Verses wird in der Wissenschaft kontrovers diskutiert. Vgl. Childs 2001, S. 416 und Kraus 1990, S. 150.</w:t>
      </w:r>
    </w:p>
  </w:footnote>
  <w:footnote w:id="998">
    <w:p>
      <w:pPr>
        <w:pStyle w:val="Funote"/>
        <w:rPr/>
      </w:pPr>
      <w:r>
        <w:rPr/>
        <w:footnoteRef/>
        <w:tab/>
        <w:t xml:space="preserve">Die wörtliche Übersetzung ist inhaltlich unklar. Es werden darum zwei verschiedene Arten diskutiert, diesen Vers anders zu deuten:1. »Wer denkt an sein Schicksal«: Hierzu muss man »Schicksal« als eine sonst unbelegte weitere Bedeutung von dôr postulieren (analog zu Akk. dûru and Arab dauru), so z.B. Blenkinsopp 2002, S. 345; Driver 1968, S. 95; Ehrlich 1912, S. 192 (!); Hermisson 1996, S. 8.9; Kaiser 1959, S. 85; North 1964, S. 230; Nyberg 1942, S. 53; Paul 2012, S. 102.408; Soggin 1975; Watts 1987.2. »Bei seinen Zeitgenossen – wen kümmert es«: Hier muss man entweder eine Textverderbnis annehmen oder </w:t>
      </w:r>
      <w:r>
        <w:rPr>
          <w:rtl w:val="true"/>
          <w:lang w:bidi="he-IL"/>
        </w:rPr>
        <w:t>אֶת</w:t>
      </w:r>
      <w:r>
        <w:rPr/>
        <w:t xml:space="preserve"> </w:t>
      </w:r>
      <w:r>
        <w:rPr/>
        <w:t>als bei/neben übersetzen, was beides ebenfalls nicht unproblematisch ist.Die JPS 1985/1999 übersetzt: »Who could describe his abode?«</w:t>
      </w:r>
    </w:p>
  </w:footnote>
  <w:footnote w:id="999">
    <w:p>
      <w:pPr>
        <w:pStyle w:val="Funote"/>
        <w:rPr/>
      </w:pPr>
      <w:r>
        <w:rPr/>
        <w:footnoteRef/>
        <w:tab/>
        <w:t>Textkritik: Die hebräischen Handschriften unterscheiden sich an dieser Stelle. Besser in den Kontext passt »seines Volkes« (NET Bible). Das bedeutet jedoch nicht, dass sie ursprünglich sein muss, da es sich um die leichter zu erklärende Lesart handelt.</w:t>
      </w:r>
    </w:p>
  </w:footnote>
  <w:footnote w:id="1000">
    <w:p>
      <w:pPr>
        <w:pStyle w:val="Funote"/>
        <w:rPr/>
      </w:pPr>
      <w:r>
        <w:rPr/>
        <w:footnoteRef/>
        <w:tab/>
        <w:t xml:space="preserve">Textkritik: Wörtlich Wegen des Unrechts meines Volkes [war] ihm ein Schlag; ungrammatisch. Lies mit BHS, Blenkinsopp, Box/Driver, Driver, Duhm, Elliger, Hermisson, Paul, Schenker, Westermann, Whybry, Ziegler nach Syr, VUL, 1QIsaa statt </w:t>
      </w:r>
      <w:r>
        <w:rPr>
          <w:rtl w:val="true"/>
          <w:lang w:bidi="he-IL"/>
        </w:rPr>
        <w:t>נֶגַע</w:t>
      </w:r>
      <w:r>
        <w:rPr/>
        <w:t xml:space="preserve"> </w:t>
      </w:r>
      <w:r>
        <w:rPr/>
        <w:t xml:space="preserve">ein Schlag besser </w:t>
      </w:r>
      <w:r>
        <w:rPr>
          <w:rtl w:val="true"/>
          <w:lang w:bidi="he-IL"/>
        </w:rPr>
        <w:t>נֻגַּע</w:t>
      </w:r>
      <w:r>
        <w:rPr/>
        <w:t xml:space="preserve"> </w:t>
      </w:r>
      <w:r>
        <w:rPr/>
        <w:t xml:space="preserve">er wurde geschlagen und nach LXX statt </w:t>
      </w:r>
      <w:r>
        <w:rPr>
          <w:rtl w:val="true"/>
          <w:lang w:bidi="he-IL"/>
        </w:rPr>
        <w:t>לָֽמו</w:t>
      </w:r>
      <w:r>
        <w:rPr/>
        <w:t xml:space="preserve"> </w:t>
      </w:r>
      <w:r>
        <w:rPr/>
        <w:t xml:space="preserve">ihm besser </w:t>
      </w:r>
      <w:r>
        <w:rPr>
          <w:rtl w:val="true"/>
          <w:lang w:bidi="he-IL"/>
        </w:rPr>
        <w:t>לַמָּוֶת</w:t>
      </w:r>
      <w:r>
        <w:rPr/>
        <w:t xml:space="preserve"> </w:t>
      </w:r>
      <w:r>
        <w:rPr/>
        <w:t>zu Tode, also er wurde zu Tode geprügelt oder – wenn hyperbatisch gedeutet – er wurde schrecklich verprügelt.</w:t>
      </w:r>
    </w:p>
  </w:footnote>
  <w:footnote w:id="1001">
    <w:p>
      <w:pPr>
        <w:pStyle w:val="Funote"/>
        <w:rPr/>
      </w:pPr>
      <w:r>
        <w:rPr/>
        <w:footnoteRef/>
        <w:tab/>
        <w:t xml:space="preserve">Textkritik: MT hat »er gab«; viele lesen daher statt </w:t>
      </w:r>
      <w:r>
        <w:rPr>
          <w:rtl w:val="true"/>
          <w:lang w:bidi="he-IL"/>
        </w:rPr>
        <w:t>וַיִּתֵּן</w:t>
      </w:r>
      <w:r>
        <w:rPr/>
        <w:t xml:space="preserve"> </w:t>
      </w:r>
      <w:r>
        <w:rPr/>
        <w:t xml:space="preserve">er gab </w:t>
      </w:r>
      <w:r>
        <w:rPr>
          <w:rtl w:val="true"/>
          <w:lang w:bidi="he-IL"/>
        </w:rPr>
        <w:t>וַיֻּתַּן</w:t>
      </w:r>
      <w:r>
        <w:rPr/>
        <w:t xml:space="preserve"> </w:t>
      </w:r>
      <w:r>
        <w:rPr/>
        <w:t>es wurde gegeben. Das ist unnötig, 3. Pers. sg. mask. kann im Hebräischen auch als impersonaler Singular verwendet werden: »Man gab...« (vgl. GKC §144d; Joachimsen 2011, S. 132; North 1964, S. 231; Soggin 1975, S. 348). Zum Sinn vgl. Barré 2000, S. 20: »V. 9ab meint nicht, dass der Knecht begraben worden wäre oder dass sein Grab gegraben worden wäre. Diese Bedeutung hat der Ausdruck ntn qeber nie. Es meint vielmehr, dass ein Grab (oder ein Begräbnisort) angelegt oder jemandem zugewiesen wird.«</w:t>
      </w:r>
    </w:p>
  </w:footnote>
  <w:footnote w:id="1002">
    <w:p>
      <w:pPr>
        <w:pStyle w:val="Funote"/>
        <w:rPr/>
      </w:pPr>
      <w:r>
        <w:rPr/>
        <w:footnoteRef/>
        <w:tab/>
        <w:t>Ein nicht-standesgemäßes Begräbnis galt im Alten Israel als ein schwerer Fluch; das Begräbnis bei Frevlern stimmt also gut zusammen mit dem furchtbaren Leben des Gottesknechts; aus diesem Grund ist im hebräischen Text bei Frevlern auch emphatisch (-&gt;Emphase) vorangestellt.</w:t>
      </w:r>
    </w:p>
  </w:footnote>
  <w:footnote w:id="1003">
    <w:p>
      <w:pPr>
        <w:pStyle w:val="Funote"/>
        <w:rPr/>
      </w:pPr>
      <w:r>
        <w:rPr/>
        <w:footnoteRef/>
        <w:tab/>
        <w:t>Viele Kommentare nehmen an dieser Stelle eine Text-Verderbnis an und schlagen verschiedene Konjekturen vor, z.B. »[Man gab ihm] sein Grabmal bei Übeltätern.« (Ehrlich 1912; Touzard 1920; Ziegler 1958, S. 174; zu weiteren Vertretern siehe Joachimsen 2011, S. 132). Hierüber gibt es jedoch keinen wissenschaftlichen Konsens (Childs 2001, S. 417). Eine Änderung wäre an dieser Stelle zwar aus inhaltlichen Gründen erfreulich, denn »Reiche« wurden in Felsengräbern begraben, »Frevler« entweder gar nicht oder mit Erdbegräbnis, so dass man nicht gleichzeitig bei »Frevlern und Reichen« begraben werden kann. Andererseits lässt sich dies aber textkritisch nicht belegen, und gerade bei wünschenswerten Eingriffen in den Text ist besondere Vorsicht geboten.</w:t>
      </w:r>
    </w:p>
  </w:footnote>
  <w:footnote w:id="1004">
    <w:p>
      <w:pPr>
        <w:pStyle w:val="Funote"/>
        <w:rPr/>
      </w:pPr>
      <w:r>
        <w:rPr/>
        <w:footnoteRef/>
        <w:tab/>
        <w:t xml:space="preserve">Wörtlich: nach seinen Toden (Pl. von »Tod«); vermutlich (bedeutungsloser, in der hebräischen Poesie typischer) N-Shift; vgl. z.B. Alexander 1865, S. 301. Alternativ zu erklären als abstrakter Plural mit Sg.-Bedeutung (North 1964, S. 231); übersetze: »nach seinem Tod«. Textkritik: Viele wollen emendieren zu von </w:t>
      </w:r>
      <w:r>
        <w:rPr>
          <w:rtl w:val="true"/>
          <w:lang w:bidi="he-IL"/>
        </w:rPr>
        <w:t>בְּמֹתָיו</w:t>
      </w:r>
      <w:r>
        <w:rPr/>
        <w:t xml:space="preserve"> </w:t>
      </w:r>
      <w:r>
        <w:rPr/>
        <w:t xml:space="preserve">nach seinem Tod zu </w:t>
      </w:r>
      <w:r>
        <w:rPr>
          <w:rtl w:val="true"/>
          <w:lang w:bidi="he-IL"/>
        </w:rPr>
        <w:t>בָּמָתוׂ</w:t>
      </w:r>
      <w:r>
        <w:rPr/>
        <w:t xml:space="preserve"> </w:t>
      </w:r>
      <w:r>
        <w:rPr/>
        <w:t>sein Grabmal (BHS; Barré 2000; Barthélemy 1986, S. 400; Blenkinsopp 2002; Driver 1968, S. 95f; Ehrlich 1912; Paul 2012; Soggin 1975, S. 348; Westermann 1966; Ziegler 1958, S. 174)</w:t>
      </w:r>
    </w:p>
  </w:footnote>
  <w:footnote w:id="1005">
    <w:p>
      <w:pPr>
        <w:pStyle w:val="Funote"/>
        <w:rPr/>
      </w:pPr>
      <w:r>
        <w:rPr/>
        <w:footnoteRef/>
        <w:tab/>
        <w:t xml:space="preserve">Zu </w:t>
      </w:r>
      <w:r>
        <w:rPr>
          <w:rtl w:val="true"/>
          <w:lang w:bidi="he-IL"/>
        </w:rPr>
        <w:t>על</w:t>
      </w:r>
      <w:r>
        <w:rPr/>
        <w:t xml:space="preserve"> </w:t>
      </w:r>
      <w:r>
        <w:rPr/>
        <w:t>mit dem Sinn »obwohl« vgl. noch Ijob 16,17 (North 1964, S. 231); Esra 10,2 (Paul 2012, S. 409); so fast alle Üss.</w:t>
      </w:r>
    </w:p>
  </w:footnote>
  <w:footnote w:id="1006">
    <w:p>
      <w:pPr>
        <w:pStyle w:val="Funote"/>
        <w:rPr/>
      </w:pPr>
      <w:r>
        <w:rPr/>
        <w:footnoteRef/>
        <w:tab/>
        <w:t>Statt »du« ließe sich auch »sie« übersetzen (so z.B. Barthélemy 1986; Delitzsch 1889; Edel 1964; Gentry 2007; LEB; Niccacci 2005; North 1964); dann: »Wenn seine Seele eine Schuldtilgung einsetzt«. Die meisten Exegeten nehmen eine Textverderbnis an und ändern entweder in »ihn« oder nehmen größere Änderungen am Text vor. Beides ist jedoch unnötig, wenn man den Wechsel der Sprecher von dem »Wir« zu JHWH bereits an dieser Stelle ansetzt (so Schmidt 2014, 227 und 232). Diese Lösung hat zwar die Schwierigkeit, dass der Name JHWH in Stichto d in der dritten Person steht, aber es gibt auch andere Bibelstellen mit demselben Phänomen (233, Fußnote 50). Inhaltliche Aussage ist dann: Auch wenn dieser Tod dir als Schuldtilgung zugute kommt, so sorgt JHWH dennoch für das Wohlergehen dieses seines Getreuen – und schenkt ihm somit trotz seines Todes neue Zukunft.</w:t>
      </w:r>
    </w:p>
  </w:footnote>
  <w:footnote w:id="1007">
    <w:p>
      <w:pPr>
        <w:pStyle w:val="Funote"/>
        <w:rPr/>
      </w:pPr>
      <w:r>
        <w:rPr/>
        <w:footnoteRef/>
        <w:tab/>
        <w:t xml:space="preserve">Analog dem Akkadischen (vgl. CAD 13, S. 192) und dem Ugaritischen (vgl. Tropper § 82.411) fungiert das Hebräische </w:t>
      </w:r>
      <w:r>
        <w:rPr>
          <w:rtl w:val="true"/>
          <w:lang w:bidi="he-IL"/>
        </w:rPr>
        <w:t>בְּיָד</w:t>
      </w:r>
      <w:r>
        <w:rPr/>
        <w:t xml:space="preserve"> </w:t>
      </w:r>
      <w:r>
        <w:rPr/>
        <w:t xml:space="preserve">oft nur als »verstärktes </w:t>
      </w:r>
      <w:r>
        <w:rPr>
          <w:rtl w:val="true"/>
          <w:lang w:bidi="he-IL"/>
        </w:rPr>
        <w:t>בְּ</w:t>
      </w:r>
      <w:r>
        <w:rPr/>
        <w:t>« (KBL3, S. 371) zum Ausdruck der Mediation; also ein stärkeres »durch ihn«.</w:t>
      </w:r>
    </w:p>
  </w:footnote>
  <w:footnote w:id="1008">
    <w:p>
      <w:pPr>
        <w:pStyle w:val="Funote"/>
        <w:rPr/>
      </w:pPr>
      <w:r>
        <w:rPr/>
        <w:footnoteRef/>
        <w:tab/>
        <w:t>Die meisten Exegeten ergänzen nach 1QJesab, 4QJesd und LXX das Objekt »Licht«, einige aber nicht (z.B. Childs 2001, 409; Schmidt 2013, 227; Seeligmann 2004).</w:t>
      </w:r>
    </w:p>
  </w:footnote>
  <w:footnote w:id="1009">
    <w:p>
      <w:pPr>
        <w:pStyle w:val="Funote"/>
        <w:rPr/>
      </w:pPr>
      <w:r>
        <w:rPr/>
        <w:footnoteRef/>
        <w:tab/>
        <w:t xml:space="preserve">Oder: »Er wird satt. In seiner Erkenntnis macht er gerecht, der Gerechte, mein Getreuer, für die Vielen.« Zu </w:t>
      </w:r>
      <w:r>
        <w:rPr>
          <w:rtl w:val="true"/>
          <w:lang w:bidi="he-IL"/>
        </w:rPr>
        <w:t>עַבְדִּי</w:t>
      </w:r>
      <w:r>
        <w:rPr/>
        <w:t xml:space="preserve"> </w:t>
      </w:r>
      <w:r>
        <w:rPr/>
        <w:t>(mein Getreuer/Diener/Knecht) siehe die Fußnote in Jes52,13.</w:t>
      </w:r>
    </w:p>
  </w:footnote>
  <w:footnote w:id="1010">
    <w:p>
      <w:pPr>
        <w:pStyle w:val="Funote"/>
        <w:rPr/>
      </w:pPr>
      <w:r>
        <w:rPr/>
        <w:footnoteRef/>
        <w:tab/>
        <w:t xml:space="preserve">V. 12a wird eingeleitet mit einer Heilszusage; </w:t>
      </w:r>
      <w:r>
        <w:rPr>
          <w:rtl w:val="true"/>
          <w:lang w:bidi="he-IL"/>
        </w:rPr>
        <w:t>לָכֵן</w:t>
      </w:r>
      <w:r>
        <w:rPr/>
        <w:t xml:space="preserve"> </w:t>
      </w:r>
      <w:r>
        <w:rPr/>
        <w:t>ist daher wohl am Besten so zu deuten, dass es diese Heilszusage nur markieren soll und nicht übersetzt werden muss (vgl. z.B. Paul 2012: »Assuredly, ...«)</w:t>
      </w:r>
    </w:p>
  </w:footnote>
  <w:footnote w:id="1011">
    <w:p>
      <w:pPr>
        <w:pStyle w:val="Funote"/>
        <w:rPr/>
      </w:pPr>
      <w:r>
        <w:rPr/>
        <w:footnoteRef/>
        <w:tab/>
        <w:t>[Beute] - double-duty-Objekt (-&gt;Brachylogie) aus Sticho b; vgl. z.B. Dillmann 1898, S. 457</w:t>
      </w:r>
    </w:p>
  </w:footnote>
  <w:footnote w:id="1012">
    <w:p>
      <w:pPr>
        <w:pStyle w:val="Funote"/>
        <w:rPr/>
      </w:pPr>
      <w:r>
        <w:rPr/>
        <w:footnoteRef/>
        <w:tab/>
        <w:t xml:space="preserve">Wir haben V. 12ab hier sehr wörtlich übersetzt (wie Schmidt 2013, 227; Childs 2001, 408). Möglich wären aber auch die folgenden Übersetzungen. (i) »Deshalb werde ich ihm die Beute gemeinsam mit den Starken zuteilen, und mit den Mächtigen wird er die Beute teilen« (so z.B. Alexander 1864; Baltzer 1999; Barré 2000; Blenkinsopp 2002; Dillmann 1898; Driver 1968; Edel 1964; Oswalt 1998; Smith 2009; Watts 1987; Westermann 1966) (ii) »Deshalb werde ich ihm Viele als Beute zuteilen, und Zahlreiche wird er als Beute teilen.« (so z.B. Ehrlich 1912; Joachimsen 2011; North 1964; Ziegler 1958) – Driver 1968, S. 102 emendiert von </w:t>
      </w:r>
      <w:r>
        <w:rPr>
          <w:rtl w:val="true"/>
          <w:lang w:bidi="he-IL"/>
        </w:rPr>
        <w:t>יְחַלֵּק</w:t>
      </w:r>
      <w:r>
        <w:rPr/>
        <w:t xml:space="preserve"> </w:t>
      </w:r>
      <w:r>
        <w:rPr/>
        <w:t xml:space="preserve">er wird teilen nach </w:t>
      </w:r>
      <w:r>
        <w:rPr>
          <w:rtl w:val="true"/>
          <w:lang w:bidi="he-IL"/>
        </w:rPr>
        <w:t>יַחֲלּׂק</w:t>
      </w:r>
      <w:r>
        <w:rPr/>
        <w:t xml:space="preserve"> </w:t>
      </w:r>
      <w:r>
        <w:rPr/>
        <w:t>er wird empfangen. Ziegler übersetzt so, ohne zu emendieren. Weil all diese Varianten gleich metaphorisch sind, ist die Entscheidung zwischen ihnen mehr oder weniger unmöglich (so auch Oswalt 1998, S. 405f). Paul 2012 bietet denn einfach beide Versionen aus dieser Fußnote in seiner Übersetzung an.</w:t>
      </w:r>
    </w:p>
  </w:footnote>
  <w:footnote w:id="1013">
    <w:p>
      <w:pPr>
        <w:pStyle w:val="Funote"/>
        <w:rPr/>
      </w:pPr>
      <w:r>
        <w:rPr/>
        <w:footnoteRef/>
        <w:tab/>
        <w:t>»Leben ausgießen« ist ein hebräisches (auch: akkadisches) Idiom für »sterben« (vgl. Ps 141,8; Ges18, S. 1012; hier ist es zusätzlich erweitert durch »in den Tod«; sinngemäß also einfach: »Dafür, dass er den Tod auf sich genommen hat«</w:t>
      </w:r>
    </w:p>
  </w:footnote>
  <w:footnote w:id="1014">
    <w:p>
      <w:pPr>
        <w:pStyle w:val="Funote"/>
        <w:rPr/>
      </w:pPr>
      <w:r>
        <w:rPr/>
        <w:footnoteRef/>
        <w:tab/>
        <w:t>An dieser Stelle steht dasselbe Wort wie in Vers 6 (</w:t>
      </w:r>
      <w:r>
        <w:rPr>
          <w:rtl w:val="true"/>
          <w:lang w:bidi="he-IL"/>
        </w:rPr>
        <w:t>פָּגַע</w:t>
      </w:r>
      <w:r>
        <w:rPr/>
        <w:t>), das sowohl »angreifen« als auch »dringlich bitten« bedeuten kann. Vermutlich beschreibt es denselben Sachverhalt wie der vorangehende Sticho. Es steht in einer anderen Zeitstufe, was wohl ein (bedeutungsloser) T-Shift ist. Alternativ kann man den Vers so deuten, dass mit dem letzten Sticho ein neuer Gedanke in das Lied gebracht wird: Nicht nur hat der Gottesknecht die Sünden der Vielen auf sich genommen, sondern zusätzlich tritt er auch jetzt noch und immer (habituelles Yiqtol) für sie ein.</w:t>
      </w:r>
    </w:p>
  </w:footnote>
  <w:footnote w:id="1015">
    <w:p>
      <w:pPr>
        <w:pStyle w:val="Funote"/>
        <w:rPr/>
      </w:pPr>
      <w:r>
        <w:rPr/>
        <w:footnoteRef/>
        <w:tab/>
        <w:t>[Status: Zuverlässig]</w:t>
      </w:r>
    </w:p>
  </w:footnote>
  <w:footnote w:id="1016">
    <w:p>
      <w:pPr>
        <w:pStyle w:val="Funote"/>
        <w:rPr/>
      </w:pPr>
      <w:r>
        <w:rPr/>
        <w:footnoteRef/>
        <w:tab/>
        <w:t>Jona wird sonst nur in 2. Könige 14,25 erwähnt und dort als Prophet bezeichnet. Er lebte im 8. Jahrhundert v. Chr. (Price 1978, 50). Die Sprache des Jonabuchs deutet darauf hin, dass es wesentlich später (6.–4. Jh. v. Chr.) geschrieben wurde (Golka 22007, 44). Der Einleitungssatz datiert die Geschichte also deutlich in die Vergangenheit. Die äußerste knappe Information zu Jona als Person zeigt, dass der Autor des Buches nur ein geringes Interesse an historischen Informationen über Jona hat. „Historie spielt in dieser Geschichte offensichtlich keine Rolle.“ (Golka 22007, 48)Und das Wort Gottes kam kann daher im Sinne von „Es war einmal …“ verstanden werden (Golka 22007, 48). Eine noch bessere deutsche Übertragung wäre vielleicht: „Eines Tages...“ oder „Einmal...“ (Price 1978, 48). So erklärt sich der Anfang mit „und“.</w:t>
      </w:r>
    </w:p>
  </w:footnote>
  <w:footnote w:id="1017">
    <w:p>
      <w:pPr>
        <w:pStyle w:val="Funote"/>
        <w:rPr/>
      </w:pPr>
      <w:r>
        <w:rPr/>
        <w:footnoteRef/>
        <w:tab/>
        <w:t>rufe [die Anklage] gegen sie Die Formulierung »rufen gegen« (</w:t>
      </w:r>
      <w:r>
        <w:rPr>
          <w:rtl w:val="true"/>
          <w:lang w:bidi="he-IL"/>
        </w:rPr>
        <w:t>קרא על</w:t>
      </w:r>
      <w:r>
        <w:rPr/>
        <w:t>) wird an anderen Stellen der hebräischen Bibel zur Bezeichnung von Anklagen (Dtn 15,9, Dtn 24,15, 1 Kön 13,2) und Angriffsrufen (Klgl 1:15, Ez 38,21) verwendet.</w:t>
      </w:r>
    </w:p>
  </w:footnote>
  <w:footnote w:id="1018">
    <w:p>
      <w:pPr>
        <w:pStyle w:val="Funote"/>
        <w:rPr/>
      </w:pPr>
      <w:r>
        <w:rPr/>
        <w:footnoteRef/>
        <w:tab/>
        <w:t xml:space="preserve">ihre bezieht sich im Hebräischen nicht auf die Stadt, sondern auf ein nicht genanntes Objekt in der dritten Person Plural, wahrscheinlich ihre Bewohner (Hebr. </w:t>
      </w:r>
      <w:r>
        <w:rPr>
          <w:rtl w:val="true"/>
          <w:lang w:bidi="he-IL"/>
        </w:rPr>
        <w:t>יֹשְׁבִים</w:t>
      </w:r>
      <w:r>
        <w:rPr/>
        <w:t>; Constructio ad sensum). Am Sinn ändert das jedoch nichts.</w:t>
      </w:r>
    </w:p>
  </w:footnote>
  <w:footnote w:id="1019">
    <w:p>
      <w:pPr>
        <w:pStyle w:val="Funote"/>
        <w:rPr/>
      </w:pPr>
      <w:r>
        <w:rPr/>
        <w:footnoteRef/>
        <w:tab/>
        <w:t>Tarschisch war vermutlich ein Ort an der spanischen Küste, also in entgegengesetzter Richtung und am anderen Ende des Mittelmeers (vgl. Price 1978, 52).</w:t>
      </w:r>
    </w:p>
  </w:footnote>
  <w:footnote w:id="1020">
    <w:p>
      <w:pPr>
        <w:pStyle w:val="Funote"/>
        <w:rPr/>
      </w:pPr>
      <w:r>
        <w:rPr/>
        <w:footnoteRef/>
        <w:tab/>
        <w:t>traf auf Oder „fand“. Gemeint ist jedoch nicht das Ergebnis einer Suche, sondern ein Finden im Sinne des zufälligen Antreffens (Price 1978, 52).</w:t>
      </w:r>
    </w:p>
  </w:footnote>
  <w:footnote w:id="1021">
    <w:p>
      <w:pPr>
        <w:pStyle w:val="Funote"/>
        <w:rPr/>
      </w:pPr>
      <w:r>
        <w:rPr/>
        <w:footnoteRef/>
        <w:tab/>
        <w:t>das im Begriff war ... zu fahren ist die freie Wiedergabe eines Partizips, das etwa so zu verstehen ist.</w:t>
      </w:r>
    </w:p>
  </w:footnote>
  <w:footnote w:id="1022">
    <w:p>
      <w:pPr>
        <w:pStyle w:val="Funote"/>
        <w:rPr/>
      </w:pPr>
      <w:r>
        <w:rPr/>
        <w:footnoteRef/>
        <w:tab/>
        <w:t>mit ihnen D.h. mit der Besatzung. Aus dieser Wendung lässt sich vielleicht schließen, dass Jona Teil der Besatzung wurde (Price 1978, 52).</w:t>
      </w:r>
    </w:p>
  </w:footnote>
  <w:footnote w:id="1023">
    <w:p>
      <w:pPr>
        <w:pStyle w:val="Funote"/>
        <w:rPr/>
      </w:pPr>
      <w:r>
        <w:rPr/>
        <w:footnoteRef/>
        <w:tab/>
        <w:t>weg von JHWH JHWHs Wohnort war der Tempel (Jon 2,8). Ist Jona so verzweifelt (oder zynisch; s. Jon 4,2), oder weiß er nicht besser, dass Gott nicht nur in Israel wirkt? Er selbst weiß, dass JHWH der Gott des Himmels ist und die ganze Welt („Meer und Land“) erschaffen hat (V. 9). Vielleicht hofft er also einfach, dass JHWH ihn schon nicht zum Gehorsam zwingen wird, Allmacht hin oder her. Die Lehre aus Jonas Erlebnis ist es dann, dass man Gott nicht nur nicht entkommen kann, sondern dass er seine Pläne umsetzen wird, egal ob die eingeplanten Menschen gehorsam sind oder nicht.</w:t>
      </w:r>
    </w:p>
  </w:footnote>
  <w:footnote w:id="1024">
    <w:p>
      <w:pPr>
        <w:pStyle w:val="Funote"/>
        <w:rPr/>
      </w:pPr>
      <w:r>
        <w:rPr/>
        <w:footnoteRef/>
        <w:tab/>
        <w:t>ließ ... los W. etwa „schleuderte“.</w:t>
      </w:r>
    </w:p>
  </w:footnote>
  <w:footnote w:id="1025">
    <w:p>
      <w:pPr>
        <w:pStyle w:val="Funote"/>
        <w:rPr/>
      </w:pPr>
      <w:r>
        <w:rPr/>
        <w:footnoteRef/>
        <w:tab/>
        <w:t>Im Hebräischen ist hier ein Anklang oder Wortspiel, der sich auf Deutsch am ehesten mit einem Reim wiedergeben ließe, z.B.: „so kam das Boot in große Not“</w:t>
      </w:r>
    </w:p>
  </w:footnote>
  <w:footnote w:id="1026">
    <w:p>
      <w:pPr>
        <w:pStyle w:val="Funote"/>
        <w:rPr/>
      </w:pPr>
      <w:r>
        <w:rPr/>
        <w:footnoteRef/>
        <w:tab/>
        <w:t>Gegenstände (Ladung, Ausrüstung) Viele Übersetzungen entscheiden sich für „Ladung“, aber das zugrunde liegende hebräische Wort bezeichnet recht allgemein Gegenstände, bei denen es sich hier sowohl (aber nicht nur) um die Ladung als auch um die Ausrüstung handeln könnte (vgl. Price 1978, 56.</w:t>
      </w:r>
    </w:p>
  </w:footnote>
  <w:footnote w:id="1027">
    <w:p>
      <w:pPr>
        <w:pStyle w:val="Funote"/>
        <w:rPr/>
      </w:pPr>
      <w:r>
        <w:rPr/>
        <w:footnoteRef/>
        <w:tab/>
        <w:t>um [das Schiff] {von ihnen} leichter zu machen W. „um [sich/das Schiff] von ihnen (d.h. ihrer) zu erleichtern“. Einige Übersetzungen: „um die Gefahr zu verringern“ (z.B. GNB).</w:t>
      </w:r>
    </w:p>
  </w:footnote>
  <w:footnote w:id="1028">
    <w:p>
      <w:pPr>
        <w:pStyle w:val="Funote"/>
        <w:rPr/>
      </w:pPr>
      <w:r>
        <w:rPr/>
        <w:footnoteRef/>
        <w:tab/>
        <w:t>in den Rumpf (unter Deck) Das Wort bezeichnet quasi die hinterste Ecke oder den untersten Raum (so EÜ, ELB) des Schiffs, wo Jona seine Ruhe hatte. Wie groß das Schiff war, ist schwer abzuschätzen. GNB: „nach unten“.</w:t>
      </w:r>
    </w:p>
  </w:footnote>
  <w:footnote w:id="1029">
    <w:p>
      <w:pPr>
        <w:pStyle w:val="Funote"/>
        <w:rPr/>
      </w:pPr>
      <w:r>
        <w:rPr/>
        <w:footnoteRef/>
        <w:tab/>
        <w:t>der Oberste der Seeleute D.h. wohl der Kapitän.</w:t>
      </w:r>
    </w:p>
  </w:footnote>
  <w:footnote w:id="1030">
    <w:p>
      <w:pPr>
        <w:pStyle w:val="Funote"/>
        <w:rPr/>
      </w:pPr>
      <w:r>
        <w:rPr/>
        <w:footnoteRef/>
        <w:tab/>
        <w:t>kam ... in seine Nähe Das Verb heißt eigentlich „näherkommen“ oder „zu jmdm. kommen“. Hier ist es offenbar so zu verstehen, dass der Mann zufällig auf Jona stieß (Price 1978, 58).</w:t>
      </w:r>
    </w:p>
  </w:footnote>
  <w:footnote w:id="1031">
    <w:p>
      <w:pPr>
        <w:pStyle w:val="Funote"/>
        <w:rPr/>
      </w:pPr>
      <w:r>
        <w:rPr/>
        <w:footnoteRef/>
        <w:tab/>
        <w:t>Warum schläfst du? Wörtlich: Was [ist mit] dir, (fest) Schlafender? Die Frage hat einen zurechtweisenden Tonfall (Preice 1978, 58).</w:t>
      </w:r>
    </w:p>
  </w:footnote>
  <w:footnote w:id="1032">
    <w:p>
      <w:pPr>
        <w:pStyle w:val="Funote"/>
        <w:rPr/>
      </w:pPr>
      <w:r>
        <w:rPr/>
        <w:footnoteRef/>
        <w:tab/>
        <w:t>zueinander W. „einer/ein jeder zu seinem Nachbarn/Nächsten“.</w:t>
      </w:r>
    </w:p>
  </w:footnote>
  <w:footnote w:id="1033">
    <w:p>
      <w:pPr>
        <w:pStyle w:val="Funote"/>
        <w:rPr/>
      </w:pPr>
      <w:r>
        <w:rPr/>
        <w:footnoteRef/>
        <w:tab/>
        <w:t>wie es kommt, dass (V. 7 und 8) bzw. wer daran schuld ist, dass (Alternative in V. 7) gibt eine Anhäufung von Partikeln wieder, die sich nicht wörtlich übersetzen lässt. Sie fragt im Grunde nach der Verantwortlichkeit (vgl. GK §150k).</w:t>
      </w:r>
    </w:p>
  </w:footnote>
  <w:footnote w:id="1034">
    <w:p>
      <w:pPr>
        <w:pStyle w:val="Funote"/>
        <w:rPr/>
      </w:pPr>
      <w:r>
        <w:rPr/>
        <w:footnoteRef/>
        <w:tab/>
        <w:t>Was [ist] dein Beruf oder vielleicht »Was ist deine Mission« im Sinne von »Was machst du eigentlich auf diesem Schiff?« (Price 1978, 61).</w:t>
      </w:r>
    </w:p>
  </w:footnote>
  <w:footnote w:id="1035">
    <w:p>
      <w:pPr>
        <w:pStyle w:val="Funote"/>
        <w:rPr/>
      </w:pPr>
      <w:r>
        <w:rPr/>
        <w:footnoteRef/>
        <w:tab/>
        <w:t>»Himmelsgott« ist in der persischen Verwaltungssprache die amtliche Bezeichung für den Gott der Juden (Golka 22007, 56).</w:t>
      </w:r>
    </w:p>
  </w:footnote>
  <w:footnote w:id="1036">
    <w:p>
      <w:pPr>
        <w:pStyle w:val="Funote"/>
        <w:rPr/>
      </w:pPr>
      <w:r>
        <w:rPr/>
        <w:footnoteRef/>
        <w:tab/>
        <w:t>Wörtl. „fürchteten sie große Furcht“, eine figura ethymologica. Die Seeleute hatten schon seit V. 5 Angst vor dem Sturm. Nun bekamen sie noch größere Angst, als sie erfuhren, dass der Sturm auf eine erzürnte Gottheit zurückzuführen war, der das Meer auch noch erschaffen haben sollte.</w:t>
      </w:r>
    </w:p>
  </w:footnote>
  <w:footnote w:id="1037">
    <w:p>
      <w:pPr>
        <w:pStyle w:val="Funote"/>
        <w:rPr/>
      </w:pPr>
      <w:r>
        <w:rPr/>
        <w:footnoteRef/>
        <w:tab/>
        <w:t>vor JHWH Die Betonung (Kursivschreibung) ist auf die hebräische Satzstellung zurückzuführen. Dieser Zusammenhang ist also der Grund für das Erschrecken der Seeleute.</w:t>
      </w:r>
    </w:p>
  </w:footnote>
  <w:footnote w:id="1038">
    <w:p>
      <w:pPr>
        <w:pStyle w:val="Funote"/>
        <w:rPr/>
      </w:pPr>
      <w:r>
        <w:rPr/>
        <w:footnoteRef/>
        <w:tab/>
        <w:t>weil er [es] ihnen erzählt hatte Dieser Satzteil müsste in einem geordneteren Text am Anfang des Verses stehen. Man muss ihn sich wohl als Teil von Jonas Äußerung im vorhergehenden Vers denken. Anders ist gar nicht zu verstehen, warum die Seeleute so große Angst bekamen (vgl. Price 1978, 64). GNB (vgl. NLB) stellt diese Information tatsächlich an den Anfang: „Er sagte ihnen auch, dass er auf der Flucht vor dem Herrn war. Da ...“ Der nächste Vers enthält eine ähnliche nachgeschobene Begründung.</w:t>
      </w:r>
    </w:p>
  </w:footnote>
  <w:footnote w:id="1039">
    <w:p>
      <w:pPr>
        <w:pStyle w:val="Funote"/>
        <w:rPr/>
      </w:pPr>
      <w:r>
        <w:rPr/>
        <w:footnoteRef/>
        <w:tab/>
        <w:t xml:space="preserve">stürmte immer heftiger den(V. 11 und V. 13) Hier stehen im Hebräischen zwei Partizipien nebeneinander: „gehend und stürmend“. Das Ptz. „gehend“ von </w:t>
      </w:r>
      <w:r>
        <w:rPr>
          <w:rtl w:val="true"/>
          <w:lang w:bidi="he-IL"/>
        </w:rPr>
        <w:t>הלך</w:t>
      </w:r>
      <w:r>
        <w:rPr/>
        <w:t xml:space="preserve"> </w:t>
      </w:r>
      <w:r>
        <w:rPr/>
        <w:t>mit einem anderen Ptz. drückt (sich steigernde) Fortdauer aus (GK §113u; Price 1978, 65f.).</w:t>
      </w:r>
    </w:p>
  </w:footnote>
  <w:footnote w:id="1040">
    <w:p>
      <w:pPr>
        <w:pStyle w:val="Funote"/>
        <w:rPr/>
      </w:pPr>
      <w:r>
        <w:rPr/>
        <w:footnoteRef/>
        <w:tab/>
        <w:t>ruderten mit aller Kraft W. „gruben“, das ist hier am ehesten als ein Anrudern gegen Wind und Wellen zu verstehen (Price 1978, 67). Andere Übersetzungen vermeiden die spezifische Wiedergabe „rudern“. Ruder werden ja sonst nirgendwo erwähnt. Menge, SLT: „sie strengten sich an“. GNB: „machten einen letzten Versuch, durch Rudern...“ Die Übersetzung folgt der Mehrzahl der deutschen Bibeln.</w:t>
      </w:r>
    </w:p>
  </w:footnote>
  <w:footnote w:id="1041">
    <w:p>
      <w:pPr>
        <w:pStyle w:val="Funote"/>
        <w:rPr/>
      </w:pPr>
      <w:r>
        <w:rPr/>
        <w:footnoteRef/>
        <w:tab/>
        <w:t>Blut steht stellvertretend für das genommene Leben, für den Tod Jonas, den die Seeleute für sicher halten, wenn sie ihn ins Meer werfen. Das Stilmittel ist wohl eine Metonymie (Konkretes für Abstraktes; Wirkung für Ursache) oder Synekdoche (Generelles für Spezifisches).</w:t>
      </w:r>
    </w:p>
  </w:footnote>
  <w:footnote w:id="1042">
    <w:p>
      <w:pPr>
        <w:pStyle w:val="Funote"/>
        <w:rPr/>
      </w:pPr>
      <w:r>
        <w:rPr/>
        <w:footnoteRef/>
        <w:tab/>
        <w:t>Dieser Vers enthält gleich drei figurae etymologicae. W. etwa „Da fürchteten sie große Furcht und da opferten sie Opfer und da gelobten sie Gelübde.“ Opfer und Gelübde gehören zu den gängigsten Arten der religiösen Verehrung. Das heißt aber noch nicht gleich, dass die Seeleute nun Anhänger JHWHs wurden. Es ist plausibel, dass die Männer die Opfer (für die ja Tiere erforderlich waren) und Gelübde erst leisteten, als sie Land erreichten (Price 1978, 71).</w:t>
      </w:r>
    </w:p>
  </w:footnote>
  <w:footnote w:id="1043">
    <w:p>
      <w:pPr>
        <w:pStyle w:val="Funote"/>
        <w:rPr/>
      </w:pPr>
      <w:r>
        <w:rPr/>
        <w:footnoteRef/>
        <w:tab/>
        <w:t>[Status: Zuverlässig]</w:t>
      </w:r>
    </w:p>
  </w:footnote>
  <w:footnote w:id="1044">
    <w:p>
      <w:pPr>
        <w:pStyle w:val="Funote"/>
        <w:rPr/>
      </w:pPr>
      <w:r>
        <w:rPr/>
        <w:footnoteRef/>
        <w:tab/>
        <w:t xml:space="preserve">in zukünftigen (späteren, letzten) Tagen (zu einer späteren Zeit, am Ende der Zeit) Die so übersetzte Phrase </w:t>
      </w:r>
      <w:r>
        <w:rPr>
          <w:rtl w:val="true"/>
          <w:lang w:bidi="he-IL"/>
        </w:rPr>
        <w:t>בְּאַחֲרִ֣ית הַיָּמִ֗ים</w:t>
      </w:r>
      <w:r>
        <w:rPr/>
        <w:t xml:space="preserve"> </w:t>
      </w:r>
      <w:r>
        <w:rPr/>
        <w:t>kommt im AT 13 mal vor. Entgegen der aus der LXX übernommenen geläufigen Übersetzung „in den letzten Tagen“ bezeichnet sie an keiner Stelle eine „letzte“ Zeit, sondern eher allgemein eine zukünftige, „spätere“ Zeit im Vergleich zur Gegenwart. Diese Zukunft folgt in den Prophetentexten einer von Gott durch sein aktives Wirken herbeigeführten Wende der Geschichte (Andersen, Micah, S. 401. Vgl. Kessler, Micha, S. 183; Waltke, Micah, S. 192f.). Auch hier in Mi 4 ist Gottes Handeln zunächst nur implizit, dann ganz deutlich die Ursache für die heilvolle Zeit, die Micha Israel in Aussicht stellt. In anderen, nichtprophetischen Kontexten, so in Gen 49,1; Dtn 4,30; 31,29 und evtl. auch Num 24,14, kommen dagegen Voraussagen in den Blick, die innerhalb des AT schon eingetroffen sind.</w:t>
      </w:r>
    </w:p>
  </w:footnote>
  <w:footnote w:id="1045">
    <w:p>
      <w:pPr>
        <w:pStyle w:val="Funote"/>
        <w:rPr/>
      </w:pPr>
      <w:r>
        <w:rPr/>
        <w:footnoteRef/>
        <w:tab/>
        <w:t>Berg [mit dem] Haus Appositiver Genitiv, der das Objekt näher identifiziert.</w:t>
      </w:r>
    </w:p>
  </w:footnote>
  <w:footnote w:id="1046">
    <w:p>
      <w:pPr>
        <w:pStyle w:val="Funote"/>
        <w:rPr/>
      </w:pPr>
      <w:r>
        <w:rPr/>
        <w:footnoteRef/>
        <w:tab/>
        <w:t xml:space="preserve">als Herausragender (Wichtigster, Höchster, Gipfel, Anführer) der Berge Die Präposition </w:t>
      </w:r>
      <w:r>
        <w:rPr>
          <w:rtl w:val="true"/>
          <w:lang w:bidi="he-IL"/>
        </w:rPr>
        <w:t>בְּ</w:t>
      </w:r>
      <w:r>
        <w:rPr/>
        <w:t xml:space="preserve"> „</w:t>
      </w:r>
      <w:r>
        <w:rPr/>
        <w:t xml:space="preserve">als“ ist „Bet essentiae“, bezeichnet also eine Subjekts-Identifikationsergänzung. Die Constructus-Verbindung </w:t>
      </w:r>
      <w:r>
        <w:rPr>
          <w:rtl w:val="true"/>
          <w:lang w:bidi="he-IL"/>
        </w:rPr>
        <w:t>רֹאשׁ הֶהָרִ֔ים</w:t>
      </w:r>
      <w:r>
        <w:rPr/>
        <w:t xml:space="preserve"> </w:t>
      </w:r>
      <w:r>
        <w:rPr/>
        <w:t>bezeichnet im AT sonst einfach einen Berggipfel, aber dass der Tempelberg zum Berggipfel der übrigen Berge wird (oder, als Lokalangabe verstanden, auf ihnen zu ruhen kommt), ist ein etwas unsinniger Gedanke, der schon aufgrund des Subjekts, des Bergs Zion, unwahrscheinlich wird. So wird aus dem Kontext klar, dass das Wort hier nicht „Gipfel“ heißt, sondern in seiner häufigen übertragenen Bedeutung vorkommt. Dieser Berggipfel Zion wird souverän über den übrigen stehen (vgl. Waltke, Micah, S. 194.). höher unterstützt dieses Wortspiel, denn auch diese Wurzel kann sowohl wörtlich „Höhe“ als auch übertragen „Bedeutung“ ausdrücken. Mit dem Vergleich „höher als die Hügel“ polemisiert Micha gegen die Götterberge anderer Völker, wie sie aus dem ganzen alten vorderen Orient (etwa aus Sumer und Ugarit) bekannt sind (Wolff, Micha, S. 91; Kessler, Micha, S. 183f.; Waltke, Micah, S. 194f.). Michas Prophetie zielt also nicht auf die faktische Höhe des Bergs Zion, sondern symbolisiert die Macht des Gottes, der darauf wohnt. Wo die Hügelgottheiten im AVO oft nur lokal wirkten, ist Zion im AT Symbol von Gottes Allherrschaft (Ps 48,3; 68,15-18) (zum damaligen kulturellen Hintergrund schreibt Keel, Bildsymbolik, S. 100f.). Wenn nun der Tempelberg über alle Hügel erhoben wird und Völker zu ihm strömen, drückt das aus, dass JHWHs endgültig seine Überlegenheit gegenüber den anderen Göttern gezeigt hat – und die Völker nun nicht mehr ihre eigenen Götter verehren, sondern ihn (Waltke, Micah, S. 195; vgl. Jeremias, Micha, S. 172).</w:t>
      </w:r>
    </w:p>
  </w:footnote>
  <w:footnote w:id="1047">
    <w:p>
      <w:pPr>
        <w:pStyle w:val="Funote"/>
        <w:rPr/>
      </w:pPr>
      <w:r>
        <w:rPr/>
        <w:footnoteRef/>
        <w:tab/>
        <w:t>wird … gefestigt sein Die meisten Übersetzungen formulieren „fest stehen“ oder „fest gegründet sein“. Der Gebrauch des Partizips mit einer Futurform hebt die Dauerhaftigkeit des Vorgangs hervor (Joüon/Moraoka, §121e). Theoretisch möglich wäre auch die im Kontext jedoch unsinnige Übersetzung „sich auf dem Gipfel/Wichtigsten der Berge befinden“ (dazu s. die vorige Fußnote).</w:t>
      </w:r>
    </w:p>
  </w:footnote>
  <w:footnote w:id="1048">
    <w:p>
      <w:pPr>
        <w:pStyle w:val="Funote"/>
        <w:rPr/>
      </w:pPr>
      <w:r>
        <w:rPr/>
        <w:footnoteRef/>
        <w:tab/>
        <w:t>anhand seiner Wege und nach seiner Art leben/auf seinen Pfaden wandeln sind parallel und sagen mit anderen Worten das gleiche aus. Die beiden Zeilen sind wiederum parallel zu den beiden folgenden Zeilen, wo (wiederum mit gleicher Aussage in anderen Worten) von Weisung/Torah und JHWHs Botschaft aus Jerusalem die Rede ist. Weil diese Parallelität beachtet werden muss, ist es nicht wahrscheinlich, dass hier von der Torah als dem jüdischen Gesetz die Rede ist (wie Utzschneider, Micha, S. 89f.). Allgemeiner wird von göttlichem Unterricht zur Lebensführung und Konfliktlösung die Rede sein. Diese Deutung passt besonders gut in den Kontext, wo nichts von Gesetzesauflagen zu finden ist, sondern beschrieben wird, wie sich ganze Nationen Gottes vermittelnden Entscheidungen unterordnen (V. 3). Sie wird gerade von jüdischen Auslegern vertreten (Ben Zvi, Micah, S. 98; Schwartz, Torah, S. 16f.). Wer diese Prophezeiung aus christlicher Sicht auch als deutliche Anspielung auf die Erhöhung Christi am Kreuz und die weltverändernde Wirkung seines Heil bringenden Todes verstehen möchte, wird die von Jerusalem ausgehende Weisung natürlich als das sich seit Pfingsten ausbreitende Evangelium bzw. die christliche Lehre verstehen (so vielleicht Lk 24,47).</w:t>
      </w:r>
    </w:p>
  </w:footnote>
  <w:footnote w:id="1049">
    <w:p>
      <w:pPr>
        <w:pStyle w:val="Funote"/>
        <w:rPr/>
      </w:pPr>
      <w:r>
        <w:rPr/>
        <w:footnoteRef/>
        <w:tab/>
        <w:t xml:space="preserve">Zum Schlusszeichen: Ob die Aussage der Pilger vor oder hinter die letzten beiden Zeilen von V. 2 endet, ist inhaltlich unerheblich. Sie liefern (mit </w:t>
      </w:r>
      <w:r>
        <w:rPr>
          <w:rtl w:val="true"/>
          <w:lang w:bidi="he-IL"/>
        </w:rPr>
        <w:t>כִּי</w:t>
      </w:r>
      <w:r>
        <w:rPr/>
        <w:t xml:space="preserve"> </w:t>
      </w:r>
      <w:r>
        <w:rPr/>
        <w:t>denn) die Grundlage für den in so großen Worten beschriebenen prophetischen Völkerzug zum Zion. Beide Möglichkeiten sind denkbar: dass die Angehörigen der anderen Völker sich auch diese Begründung zurufen, oder dass der Prophet sie als Erklärung für ihr Verhalten festhält.</w:t>
      </w:r>
    </w:p>
  </w:footnote>
  <w:footnote w:id="1050">
    <w:p>
      <w:pPr>
        <w:pStyle w:val="Funote"/>
        <w:rPr/>
      </w:pPr>
      <w:r>
        <w:rPr/>
        <w:footnoteRef/>
        <w:tab/>
        <w:t>[das] Schwert erheben Es handelt sich um eine Metonymie der Adjunktion für die Provokation oder die Führung eines Kriegs. Dazu passt der parallele zweite Versteil.</w:t>
      </w:r>
    </w:p>
  </w:footnote>
  <w:footnote w:id="1051">
    <w:p>
      <w:pPr>
        <w:pStyle w:val="Funote"/>
        <w:rPr/>
      </w:pPr>
      <w:r>
        <w:rPr/>
        <w:footnoteRef/>
        <w:tab/>
        <w:t>niemanden, der [ihnen] Angst einflößt ([sie] aufstört, zum Zittern bringt) Dieses als Nebensatz aufgelöste substantivierte Partizip Hifil heißt im Qal „zittern“. Die ungefähre Bedeutung im Hifil, „Angst einflößen“, lässt sich nur daraus ableiten. Zwar ist hier kein Objekt vorhanden, aber weil das Hifil kausativ ist, sollte man dennoch transitiv „der [sie] zittern macht“ → „der [sie] aufschreckt/erschreckt“ oder „der Angst macht“ übersetzen, nicht intransitiv „der aufschreckt/erschrickt“. Die wahrscheinliche Bedeutung „aufschrecken/Angst machen“ wäre eine metonymische (Wirkung für Ursache) Verwendung der ursprünglichen Bedeutung „zittern machen“ für emotionale Verstörung oder Angst. Kessler bewertet die Konnotation etwas anders und übersetzt den Begriff transitiv mit „aufstören“ (Kessler, Micha, S. 186f.). Das passt zumindest an den Stellen, wo von Tieren die Rede ist, besonders gut (Dtn 28,26; Jer 7,23; Jes 17,2; Zef 3,13; Nah 2,12), macht in der Praxis aber keinen großen Unterschied.</w:t>
      </w:r>
    </w:p>
  </w:footnote>
  <w:footnote w:id="1052">
    <w:p>
      <w:pPr>
        <w:pStyle w:val="Funote"/>
        <w:rPr/>
      </w:pPr>
      <w:r>
        <w:rPr/>
        <w:footnoteRef/>
        <w:tab/>
        <w:t>die Hinkenden und die Vertriebenen Es handelt sich jeweils um ein Ptz. Qal bzw. Nifal fem. Sg., einen Sammelbegriff wie auf Deutsch etwa „das Hinkende“ (das wäre hier jedoch missverständlich formuliert). Er bezeichnet metonymisch (abstractum pro concreto) die verstreuten Mitglieder Israels. Beide machen symbolische Anspielungen an hilfsbedürftige Herdentiere, die die Hilfe des Schäfers benötigen (vgl. schon Mi 2,12 und Zef ; Kessler, Micha, S. 194).</w:t>
      </w:r>
    </w:p>
  </w:footnote>
  <w:footnote w:id="1053">
    <w:p>
      <w:pPr>
        <w:pStyle w:val="Funote"/>
        <w:rPr/>
      </w:pPr>
      <w:r>
        <w:rPr/>
        <w:footnoteRef/>
        <w:tab/>
        <w:t>will ich zusammenführen … sammeln Kohortativ (Imperativ der 1. Person), hier modal übersetzt.</w:t>
      </w:r>
    </w:p>
  </w:footnote>
  <w:footnote w:id="1054">
    <w:p>
      <w:pPr>
        <w:pStyle w:val="Funote"/>
        <w:rPr/>
      </w:pPr>
      <w:r>
        <w:rPr/>
        <w:footnoteRef/>
        <w:tab/>
        <w:t xml:space="preserve">Entfernten (Ermüdeten; Vertriebenen) Das Wort </w:t>
      </w:r>
      <w:r>
        <w:rPr>
          <w:rtl w:val="true"/>
          <w:lang w:bidi="he-IL"/>
        </w:rPr>
        <w:t>נַהֲלָאָה</w:t>
      </w:r>
      <w:r>
        <w:rPr/>
        <w:t xml:space="preserve"> </w:t>
      </w:r>
      <w:r>
        <w:rPr/>
        <w:t xml:space="preserve">ist nur hier bezeugt, deshalb ist seine Bedeutung unbekannt. Der Targum wiederholt aus V. 6 „das Vertriebene“. Auch die alten Übersetzungen sind sich uneinig (LXX: </w:t>
      </w:r>
      <w:r>
        <w:rPr>
          <w:lang w:val="el-GR"/>
        </w:rPr>
        <w:t>τὴν ἀπωσμένην</w:t>
      </w:r>
      <w:r>
        <w:rPr/>
        <w:t xml:space="preserve"> „das Abgelehnte“, Peschitta: „das Entfernte“ (ebenfalls aus V. 6), Vulg: eam quæ laboraverat „diejenige, die gearbeitet hat“) Es gibt mehrere Deutungsmöglichkeiten, von denen die meisten von einem determinierten Ptz. Nifal fem. ausgehen: 1. Es könnte sich um ein funktionales Synonym zu </w:t>
      </w:r>
      <w:r>
        <w:rPr>
          <w:rtl w:val="true"/>
          <w:lang w:bidi="he-IL"/>
        </w:rPr>
        <w:t>הַנִּדָּחָה</w:t>
      </w:r>
      <w:r>
        <w:rPr/>
        <w:t xml:space="preserve"> </w:t>
      </w:r>
      <w:r>
        <w:rPr/>
        <w:t xml:space="preserve">(V. 6) handeln und würde dann ebenfalls „das Vertriebene“ bezeichnen (Waltke, Micah, S. 222 übersetzt so, lässt die Entscheidung aber offen; DBL Hebrew. So auch der Targum Jonathan, vgl. LXX). 2. Es könnte, ebenfalls parallel zu </w:t>
      </w:r>
      <w:r>
        <w:rPr>
          <w:rtl w:val="true"/>
          <w:lang w:bidi="he-IL"/>
        </w:rPr>
        <w:t>הַנִּדָּחָה</w:t>
      </w:r>
      <w:r>
        <w:rPr/>
        <w:t xml:space="preserve"> </w:t>
      </w:r>
      <w:r>
        <w:rPr/>
        <w:t xml:space="preserve">(V. 6), von der Wurzel </w:t>
      </w:r>
      <w:r>
        <w:rPr>
          <w:rtl w:val="true"/>
          <w:lang w:bidi="he-IL"/>
        </w:rPr>
        <w:t>הלא</w:t>
      </w:r>
      <w:r>
        <w:rPr/>
        <w:t xml:space="preserve"> </w:t>
      </w:r>
      <w:r>
        <w:rPr/>
        <w:t xml:space="preserve">mit der mutmaßlichen Bedeutung „weit entfernt sein“ abstammen (DCH; Wolff, Micha, 84; Kessler, Micha, S. 191; Ges18). Sie ist in der Phrase </w:t>
      </w:r>
      <w:r>
        <w:rPr>
          <w:rtl w:val="true"/>
          <w:lang w:bidi="he-IL"/>
        </w:rPr>
        <w:t>הָלְאָה</w:t>
      </w:r>
      <w:r>
        <w:rPr/>
        <w:t xml:space="preserve"> „</w:t>
      </w:r>
      <w:r>
        <w:rPr/>
        <w:t xml:space="preserve">darüber hinaus/weiter weg/jenseits“ (Num 32,19; 1Sam 10,3; 20,22.37) oder „Weg mit dir!“ o.ä. (Gen 19,9) „weit weg“ (Num 17,2) immerhin 16 mal belegt (vgl. Ges18 und DCH). 3. Es könnte als funktionales Synonym zu </w:t>
      </w:r>
      <w:r>
        <w:rPr>
          <w:rtl w:val="true"/>
          <w:lang w:bidi="he-IL"/>
        </w:rPr>
        <w:t>הַצֹּֽלֵעָה</w:t>
      </w:r>
      <w:r>
        <w:rPr/>
        <w:t xml:space="preserve"> „</w:t>
      </w:r>
      <w:r>
        <w:rPr/>
        <w:t xml:space="preserve">das Humpelnde“ (V. 7a) aufzufassen sein. Dann könnte es sich von einer unbezeugten Wurzel </w:t>
      </w:r>
      <w:r>
        <w:rPr>
          <w:rtl w:val="true"/>
          <w:lang w:bidi="he-IL"/>
        </w:rPr>
        <w:t>הלא</w:t>
      </w:r>
      <w:r>
        <w:rPr/>
        <w:t xml:space="preserve"> </w:t>
      </w:r>
      <w:r>
        <w:rPr/>
        <w:t xml:space="preserve">(oder </w:t>
      </w:r>
      <w:r>
        <w:rPr>
          <w:rtl w:val="true"/>
          <w:lang w:bidi="he-IL"/>
        </w:rPr>
        <w:t>לאה</w:t>
      </w:r>
      <w:r>
        <w:rPr/>
        <w:t xml:space="preserve">) „ermüden“ o.ä. ableiten (Ges18, vgl. DCH und Waltke, Micah, 222; sowie die Vulgata-Übersetzung). 4. Auch eine Konjektur von </w:t>
      </w:r>
      <w:r>
        <w:rPr>
          <w:rtl w:val="true"/>
          <w:lang w:bidi="he-IL"/>
        </w:rPr>
        <w:t>הַנַּהֲלָאָה</w:t>
      </w:r>
      <w:r>
        <w:rPr/>
        <w:t xml:space="preserve"> </w:t>
      </w:r>
      <w:r>
        <w:rPr/>
        <w:t xml:space="preserve">zu dem undeterminierten Adjektiv </w:t>
      </w:r>
      <w:r>
        <w:rPr>
          <w:rtl w:val="true"/>
          <w:lang w:bidi="he-IL"/>
        </w:rPr>
        <w:t>חַנַּהֲלָאָ֖ה</w:t>
      </w:r>
      <w:r>
        <w:rPr/>
        <w:t xml:space="preserve"> </w:t>
      </w:r>
      <w:r>
        <w:rPr/>
        <w:t xml:space="preserve">(„das Erkrankte“ von </w:t>
      </w:r>
      <w:r>
        <w:rPr>
          <w:rtl w:val="true"/>
          <w:lang w:bidi="he-IL"/>
        </w:rPr>
        <w:t>חָלָא</w:t>
      </w:r>
      <w:r>
        <w:rPr/>
        <w:t xml:space="preserve">) wäre denkbar (Wellhausen; So Waltke, Micha, S. 222, und Wolff, Micha, S. 84, ohne nähere bibliographische Angaben). Die zweite Option wird vorgezogen, weil sie lexikalisch noch am besten gestützt ist und zudem am besten zur strukturellen Parallele </w:t>
      </w:r>
      <w:r>
        <w:rPr>
          <w:rtl w:val="true"/>
          <w:lang w:bidi="he-IL"/>
        </w:rPr>
        <w:t>הַנִּדָּחָה</w:t>
      </w:r>
      <w:r>
        <w:rPr/>
        <w:t xml:space="preserve"> </w:t>
      </w:r>
      <w:r>
        <w:rPr/>
        <w:t>die Vertriebenen (V. 6) passt (So Kessler, Micha, 191).</w:t>
      </w:r>
    </w:p>
  </w:footnote>
  <w:footnote w:id="1055">
    <w:p>
      <w:pPr>
        <w:pStyle w:val="Funote"/>
        <w:rPr/>
      </w:pPr>
      <w:r>
        <w:rPr/>
        <w:footnoteRef/>
        <w:tab/>
        <w:t>mächtigen Volk Hier wird die Formulierung aus V. 3 aufgegriffen.</w:t>
      </w:r>
    </w:p>
  </w:footnote>
  <w:footnote w:id="1056">
    <w:p>
      <w:pPr>
        <w:pStyle w:val="Funote"/>
        <w:rPr/>
      </w:pPr>
      <w:r>
        <w:rPr/>
        <w:footnoteRef/>
        <w:tab/>
        <w:t xml:space="preserve">Turm der Herde (Migdal Eder) (Hebr. </w:t>
      </w:r>
      <w:r>
        <w:rPr>
          <w:rtl w:val="true"/>
          <w:lang w:bidi="he-IL"/>
        </w:rPr>
        <w:t>מִגְדַּל־עֵדֶר</w:t>
      </w:r>
      <w:r>
        <w:rPr/>
        <w:t xml:space="preserve">) Je nach Interpretation ein poetischer Name für Jerusalem oder ein entsprechender Ortsname (wie Gen 35:21). In dieser dreifachen Anrede scheint es jedoch am einfachsten und logischsten anzunehmen, dass sich wie Tochter Zions auch Turm der Herde und Ophel auf Jerusalem beziehen (bzw. metonymisch auf den israelitischen König; so Waltke, Micah, S. 229-31; Kessler, Micha, S. 199; Andersen, Micah, S. 439). Das AT bezeichnet den König häufiger als Hirten seines Volkes. Der Turm Davids aus Hld 4,4 könnte Ophel (Hebr. </w:t>
      </w:r>
      <w:r>
        <w:rPr>
          <w:rtl w:val="true"/>
          <w:lang w:bidi="he-IL"/>
        </w:rPr>
        <w:t>עֹפֶל</w:t>
      </w:r>
      <w:r>
        <w:rPr/>
        <w:t>) kommt im AT achtmal vor und bezeichnet einen Ort in Jerusalem, nämlich eine Hügelfestung in der alten Davidsstadt (Wolff, Micha, S. 96). Obwohl der Bezug nicht ganz sicher ist, ist er der am besten belegte. Tochter Zions Eine im AT häufige poetische Bezeichnung Jerusalems. Zion ist der Tempelhügel.</w:t>
      </w:r>
    </w:p>
  </w:footnote>
  <w:footnote w:id="1057">
    <w:p>
      <w:pPr>
        <w:pStyle w:val="Funote"/>
        <w:rPr/>
      </w:pPr>
      <w:r>
        <w:rPr/>
        <w:footnoteRef/>
        <w:tab/>
        <w:t>Tochter Jerusalems Wie Tochter Zions eine poetische Bezeichnung Jerusalems (s. vorige Fußnote).</w:t>
      </w:r>
    </w:p>
  </w:footnote>
  <w:footnote w:id="1058">
    <w:p>
      <w:pPr>
        <w:pStyle w:val="Funote"/>
        <w:rPr/>
      </w:pPr>
      <w:r>
        <w:rPr/>
        <w:footnoteRef/>
        <w:tab/>
        <w:t>[Status: Zuverlässig]</w:t>
      </w:r>
    </w:p>
  </w:footnote>
  <w:footnote w:id="1059">
    <w:p>
      <w:pPr>
        <w:pStyle w:val="Funote"/>
        <w:rPr/>
      </w:pPr>
      <w:r>
        <w:rPr/>
        <w:footnoteRef/>
        <w:tab/>
        <w:t>Kann auch »worfeln« bedeuten; vgl. Koh 20,8.</w:t>
      </w:r>
    </w:p>
  </w:footnote>
  <w:footnote w:id="1060">
    <w:p>
      <w:pPr>
        <w:pStyle w:val="Funote"/>
        <w:rPr/>
      </w:pPr>
      <w:r>
        <w:rPr/>
        <w:footnoteRef/>
        <w:tab/>
        <w:t xml:space="preserve">Gesenius übersetzt hier »dermaßen dass« und J. Wellhausen ändert </w:t>
      </w:r>
      <w:r>
        <w:rPr>
          <w:rtl w:val="true"/>
          <w:lang w:bidi="he-IL"/>
        </w:rPr>
        <w:t>אִישׁ</w:t>
      </w:r>
      <w:r>
        <w:rPr/>
        <w:t xml:space="preserve"> </w:t>
      </w:r>
      <w:r>
        <w:rPr/>
        <w:t xml:space="preserve">in </w:t>
      </w:r>
      <w:r>
        <w:rPr>
          <w:rtl w:val="true"/>
          <w:lang w:bidi="he-IL"/>
        </w:rPr>
        <w:t>אֲשֶׁר</w:t>
      </w:r>
      <w:r>
        <w:rPr/>
        <w:t xml:space="preserve"> </w:t>
      </w:r>
      <w:r>
        <w:rPr/>
        <w:t>um.</w:t>
      </w:r>
    </w:p>
  </w:footnote>
  <w:footnote w:id="1061">
    <w:p>
      <w:pPr>
        <w:pStyle w:val="Funote"/>
        <w:rPr/>
      </w:pPr>
      <w:r>
        <w:rPr/>
        <w:footnoteRef/>
        <w:tab/>
        <w:t>Auch: mit Steinen beschmeißen.</w:t>
      </w:r>
    </w:p>
  </w:footnote>
  <w:footnote w:id="1062">
    <w:p>
      <w:pPr>
        <w:pStyle w:val="Funote"/>
        <w:rPr/>
      </w:pPr>
      <w:r>
        <w:rPr>
          <w:rtl w:val="true"/>
          <w:lang w:bidi="he-IL"/>
        </w:rPr>
        <w:footnoteRef/>
        <w:tab/>
        <w:t>הַגֹּויִם</w:t>
      </w:r>
      <w:r>
        <w:rPr/>
        <w:t xml:space="preserve"> </w:t>
      </w:r>
      <w:r>
        <w:rPr/>
        <w:t>meint die fremden, nicht jüdischen Völker.</w:t>
      </w:r>
    </w:p>
  </w:footnote>
  <w:footnote w:id="1063">
    <w:p>
      <w:pPr>
        <w:pStyle w:val="Funote"/>
        <w:rPr/>
      </w:pPr>
      <w:r>
        <w:rPr/>
        <w:footnoteRef/>
        <w:tab/>
        <w:t>Die anderen dt. Übersetzungen sagen: »zu messen«; die hier verwendete Übersetzung folgt Gesenius17, S. 387.</w:t>
      </w:r>
    </w:p>
  </w:footnote>
  <w:footnote w:id="1064">
    <w:p>
      <w:pPr>
        <w:pStyle w:val="Funote"/>
        <w:rPr/>
      </w:pPr>
      <w:r>
        <w:rPr/>
        <w:footnoteRef/>
        <w:tab/>
        <w:t>Also für Jerusalem.</w:t>
      </w:r>
    </w:p>
  </w:footnote>
  <w:footnote w:id="1065">
    <w:p>
      <w:pPr>
        <w:pStyle w:val="Funote"/>
        <w:rPr/>
      </w:pPr>
      <w:r>
        <w:rPr/>
        <w:footnoteRef/>
        <w:tab/>
        <w:t>Das Wort Zaphon bedeutet »Norden«, es ist aber auch der Eigenname des kanaanitischen Weltenberges Zaphon (Ṣāpôn), auf dem Ba'al wohnt (vgl. Jes 14,13 und Ps 48,2). Hier bezeichnet »Land des Nordens« allerdings Babylon (vgl. V. 11). In Jer 25,9 (Sacharja bezieht sich immer wieder auf Jer 25) wird Babylon als Feind aus dem Norden identifiziert. Obwohl Babylon östlich von Israel liegt, muss man auf der Reise dorthin die arabische Wüste weiträumig nördlich umgehen. Entscheidend ist dabei also, woher man von dort aus nach Israel kommt, nicht die absolute Richtung.</w:t>
      </w:r>
    </w:p>
  </w:footnote>
  <w:footnote w:id="1066">
    <w:p>
      <w:pPr>
        <w:pStyle w:val="Funote"/>
        <w:rPr/>
      </w:pPr>
      <w:r>
        <w:rPr/>
        <w:footnoteRef/>
        <w:tab/>
        <w:t>Alternativübersetzung: »[nach] Zion entkomme« (Menge, GNB, ESV, NRSV).</w:t>
      </w:r>
    </w:p>
  </w:footnote>
  <w:footnote w:id="1067">
    <w:p>
      <w:pPr>
        <w:pStyle w:val="Funote"/>
        <w:rPr/>
      </w:pPr>
      <w:r>
        <w:rPr/>
        <w:footnoteRef/>
        <w:tab/>
        <w:t>Attributives Ptz..</w:t>
      </w:r>
    </w:p>
  </w:footnote>
  <w:footnote w:id="1068">
    <w:p>
      <w:pPr>
        <w:pStyle w:val="Funote"/>
        <w:rPr/>
      </w:pPr>
      <w:r>
        <w:rPr/>
        <w:footnoteRef/>
        <w:tab/>
        <w:t>Das Wort »nach« (</w:t>
      </w:r>
      <w:r>
        <w:rPr>
          <w:rtl w:val="true"/>
          <w:lang w:bidi="he-IL"/>
        </w:rPr>
        <w:t>אחר</w:t>
      </w:r>
      <w:r>
        <w:rPr/>
        <w:t xml:space="preserve">) stellt Ausleger vor große Probleme. Manche gehen von einer Textverderbnis aus und lesen »dessen Herrlichkeit« (dann Relativpronomen </w:t>
      </w:r>
      <w:r>
        <w:rPr>
          <w:rtl w:val="true"/>
          <w:lang w:bidi="he-IL"/>
        </w:rPr>
        <w:t>אשׁר</w:t>
      </w:r>
      <w:r>
        <w:rPr/>
        <w:t>; so LUT, EÜ?), andere deuten den Abschnitt als Glosse (dann »nachdem«; Satz als Einschub; so NRSV). Eine modale (»mit Nachdruck«, nicht »mit Herrlichkeit«; vgl. Ps 73,24), temporale (»nachdem« (REB, Zür, SLT, ESV, TNIV), »später« (Tiemeyer)) oder finale (»zu [seiner] Herrlichkeit«; LXX (»</w:t>
      </w:r>
      <w:r>
        <w:rPr>
          <w:lang w:val="el-GR"/>
        </w:rPr>
        <w:t>εἰς δόξαν</w:t>
      </w:r>
      <w:r>
        <w:rPr/>
        <w:t>«, NET; vgl. Jes 49,37) Deutung ist mit demselben Recht vertretbar. Menge: »nach Herrlichem«. Hier wurde die finale Deutung (wg. LXX) gewählt.</w:t>
      </w:r>
    </w:p>
  </w:footnote>
  <w:footnote w:id="1069">
    <w:p>
      <w:pPr>
        <w:pStyle w:val="Funote"/>
        <w:rPr/>
      </w:pPr>
      <w:r>
        <w:rPr/>
        <w:footnoteRef/>
        <w:tab/>
        <w:t>Subst. Ptz. Pl.</w:t>
      </w:r>
    </w:p>
  </w:footnote>
  <w:footnote w:id="1070">
    <w:p>
      <w:pPr>
        <w:pStyle w:val="Funote"/>
        <w:rPr/>
      </w:pPr>
      <w:r>
        <w:rPr/>
        <w:footnoteRef/>
        <w:tab/>
        <w:t>Attributives Ptz..</w:t>
      </w:r>
    </w:p>
  </w:footnote>
  <w:footnote w:id="1071">
    <w:p>
      <w:pPr>
        <w:pStyle w:val="Funote"/>
        <w:rPr/>
      </w:pPr>
      <w:r>
        <w:rPr/>
        <w:footnoteRef/>
        <w:tab/>
        <w:t>Wörtlich: »Zentrum/Pupille seines Auges«.</w:t>
      </w:r>
    </w:p>
  </w:footnote>
  <w:footnote w:id="1072">
    <w:p>
      <w:pPr>
        <w:pStyle w:val="Funote"/>
        <w:rPr/>
      </w:pPr>
      <w:r>
        <w:rPr/>
        <w:footnoteRef/>
        <w:tab/>
        <w:t>»Siehe« wirkt hier als Marker einer Ankündigung. Könnte den Aspekt der Unmittelbarkeit der angekündigten Handlung ausdrücken, steht hier wohl hauptsächlich zwecks Nachdruck.</w:t>
      </w:r>
    </w:p>
  </w:footnote>
  <w:footnote w:id="1073">
    <w:p>
      <w:pPr>
        <w:pStyle w:val="Funote"/>
        <w:rPr/>
      </w:pPr>
      <w:r>
        <w:rPr/>
        <w:footnoteRef/>
        <w:tab/>
        <w:t>Prädikatives Ptz.; auch futurisch »werde schütteln«.</w:t>
      </w:r>
    </w:p>
  </w:footnote>
  <w:footnote w:id="1074">
    <w:p>
      <w:pPr>
        <w:pStyle w:val="Funote"/>
        <w:rPr/>
      </w:pPr>
      <w:r>
        <w:rPr/>
        <w:footnoteRef/>
        <w:tab/>
        <w:t>D.h. »ich werde sie bestrafen« (s. NET Sach 2,9 Fußnote 12).</w:t>
      </w:r>
    </w:p>
  </w:footnote>
  <w:footnote w:id="1075">
    <w:p>
      <w:pPr>
        <w:pStyle w:val="Funote"/>
        <w:rPr/>
      </w:pPr>
      <w:r>
        <w:rPr/>
        <w:footnoteRef/>
        <w:tab/>
        <w:t>Direkter Rückbezug zu »ausplündern« in V. 12 durch Verwendung derselben Wurzel (</w:t>
      </w:r>
      <w:r>
        <w:rPr>
          <w:rtl w:val="true"/>
          <w:lang w:bidi="he-IL"/>
        </w:rPr>
        <w:t>שלל</w:t>
      </w:r>
      <w:r>
        <w:rPr/>
        <w:t>).</w:t>
      </w:r>
    </w:p>
  </w:footnote>
  <w:footnote w:id="1076">
    <w:p>
      <w:pPr>
        <w:pStyle w:val="Funote"/>
        <w:rPr/>
      </w:pPr>
      <w:r>
        <w:rPr/>
        <w:footnoteRef/>
        <w:tab/>
        <w:t>»Siehe« wirkt hier als Marker einer Ankündigung. Könnte den Aspekt der Unmittelbarkeit der angekündigten Handlung ausdrücken, steht hier wohl hauptsächlich zwecks Nachdruck.</w:t>
      </w:r>
    </w:p>
  </w:footnote>
  <w:footnote w:id="1077">
    <w:p>
      <w:pPr>
        <w:pStyle w:val="Funote"/>
        <w:rPr/>
      </w:pPr>
      <w:r>
        <w:rPr/>
        <w:footnoteRef/>
        <w:tab/>
        <w:t xml:space="preserve">Ptz. und Pf. cons. hat – wie hier – eine stark finale Ausrichtung. Alternativübersetzung (mit </w:t>
      </w:r>
      <w:r>
        <w:rPr>
          <w:rtl w:val="true"/>
          <w:lang w:bidi="he-IL"/>
        </w:rPr>
        <w:t>בָא</w:t>
      </w:r>
      <w:r>
        <w:rPr/>
        <w:t xml:space="preserve"> </w:t>
      </w:r>
      <w:r>
        <w:rPr/>
        <w:t>nicht als Ptz., sondern als Pf.): »Ich bin gekommen und werde wohnen« (so NET).</w:t>
      </w:r>
    </w:p>
  </w:footnote>
  <w:footnote w:id="1078">
    <w:p>
      <w:pPr>
        <w:pStyle w:val="Funote"/>
        <w:rPr/>
      </w:pPr>
      <w:r>
        <w:rPr/>
        <w:footnoteRef/>
        <w:tab/>
        <w:t>Selbe Wendung wie in 1,17; wirkt als Klammer um die Kapitel 1-2.</w:t>
      </w:r>
    </w:p>
  </w:footnote>
  <w:footnote w:id="1079">
    <w:p>
      <w:pPr>
        <w:pStyle w:val="Funote"/>
        <w:rPr/>
      </w:pPr>
      <w:r>
        <w:rPr/>
        <w:footnoteRef/>
        <w:tab/>
        <w:t>[Status: Zuverlässig]</w:t>
      </w:r>
    </w:p>
  </w:footnote>
  <w:footnote w:id="1080">
    <w:p>
      <w:pPr>
        <w:pStyle w:val="Funote"/>
        <w:rPr/>
      </w:pPr>
      <w:r>
        <w:rPr/>
        <w:footnoteRef/>
        <w:tab/>
        <w:t>Ihr steht im Griechischen betont am Ende des Satzes und grenzt so die Jünger von den „plappernden Heuchlern“ ab (Hagner 1993, S. 147): Im Gegensatz zu diesen sollen die Jünger „folgendermaßen beten“.</w:t>
      </w:r>
    </w:p>
  </w:footnote>
  <w:footnote w:id="1081">
    <w:p>
      <w:pPr>
        <w:pStyle w:val="Funote"/>
        <w:rPr/>
      </w:pPr>
      <w:r>
        <w:rPr/>
        <w:footnoteRef/>
        <w:tab/>
        <w:t>im Himmel - W. „in den Himmeln“; idiomatischer Plural, der sich häufiger im NT findet (wohl ein Semitismus). In der LF sollte mit Einzahl übersetzt werden.</w:t>
      </w:r>
    </w:p>
  </w:footnote>
  <w:footnote w:id="1082">
    <w:p>
      <w:pPr>
        <w:pStyle w:val="Funote"/>
        <w:rPr/>
      </w:pPr>
      <w:r>
        <w:rPr/>
        <w:footnoteRef/>
        <w:tab/>
        <w:t xml:space="preserve">Unser Vater im Himmel - Man geht gemeinhin davon aus, dass die auf Griechisch überlieferten Formen des Vaterunsers auf eine ursprünglich aramäische Überlieferung zurückgehen. Vermutlich liegt Mt 6,9 (Unser Vater im Himmel, gr. </w:t>
      </w:r>
      <w:r>
        <w:rPr>
          <w:lang w:val="el-GR"/>
        </w:rPr>
        <w:t>Πάτερ ἡμῶν ὁ ἐν τοῖς οὐρανοῖς</w:t>
      </w:r>
      <w:r>
        <w:rPr/>
        <w:t xml:space="preserve">) und Lk 11,2 (schlicht „Vater“, gr. </w:t>
      </w:r>
      <w:r>
        <w:rPr>
          <w:lang w:val="el-GR"/>
        </w:rPr>
        <w:t>Πάτερ</w:t>
      </w:r>
      <w:r>
        <w:rPr/>
        <w:t xml:space="preserve">) das aramäische und für Jesus typische </w:t>
      </w:r>
      <w:r>
        <w:rPr>
          <w:rtl w:val="true"/>
          <w:lang w:bidi="he-IL"/>
        </w:rPr>
        <w:t>אַבָּא</w:t>
      </w:r>
      <w:r>
        <w:rPr/>
        <w:t xml:space="preserve"> </w:t>
      </w:r>
      <w:r>
        <w:rPr/>
        <w:t xml:space="preserve">´Abba „Vater“ zu Grunde (nicht: „Papa“ oder gar „Papi“, wie öfter zu lesen ist; vgl. Barr 1988). Das bedeutet: Die matthäische Version ist sowohl (1) um </w:t>
      </w:r>
      <w:r>
        <w:rPr>
          <w:lang w:val="el-GR"/>
        </w:rPr>
        <w:t>ἡμῶν</w:t>
      </w:r>
      <w:r>
        <w:rPr/>
        <w:t xml:space="preserve"> unser als auch (2) um </w:t>
      </w:r>
      <w:r>
        <w:rPr>
          <w:lang w:val="el-GR"/>
        </w:rPr>
        <w:t>ὁ ἐν τοῖς οὐρανοῖς</w:t>
      </w:r>
      <w:r>
        <w:rPr/>
        <w:t xml:space="preserve"> im Himmel angereichert. Die Intention dahinter war wohl, das schlichte „Vater“ beizubehalten und gleichzeitig „liturgietauglich“ zu machen: „Unser Vater“ findet sich häufiger in jüdischen Gebeten (s. z. B. das „Unser Vater, unser König“) und war wohl charakteristisch für Gemeindegebete (Grimm 1992, S. 26; Gundry 1994, S. 105; Lambrecht 1984, S. 128f). Ähnliches gilt für „Vater im Himmel“, das sich ebenfalls häufiger in jüdischen Gebeten fand: „Wo immer die Rabbinen von Gott als dem Vater sprachen, führten sie den Zusatz »himmlisch« ein, weil ihnen die vertraulich-intime Anrede »Vater« gegenüber Gott zu respektlos erschien.“ (Schnackenburg 1984, S. 111; so fast alle Exegeten). Die Frage nach der sinnvollsten Übersetzung ist schwierig: Eigentlich ist weder das evangelische „unser Vater“ noch das katholische „Vater unser“ korrektes Deutsch, da das Deutsche Vokative nicht mit Pronomina konstruiert - außer in geprägten Wendungen wie „Eure Majestät“ und eben „Vater unser“. Die Wortstellung in „Vater unser“ ist zudem zwar nicht „grammatikalisch falsch“ (Luz 1985, S. 333), aber veraltet, ohne dabei einen bedeutungsmäßigen Unterschied zu machen. Wie also übersetzen? Für jede mögliche Übersetzung - (1) Unser Vater im Himmel, (2) Unser Vater im Himmel, (3) Vater unser im Himmel - lässt sich sinnvoll argumentieren. Zum Beispiel: (1) ist das beste Deutsch und erfüllt die gleiche Funktion wie das griechische „Unser Vater im Himmel“, da es im Deutschen ja auch ohne dieses Pronomen ein „liturgietaugliches Gemeindegebet“ wäre. Andererseits wäre (3) gerade als geprägte und veraltete Wendung stilistisch am nähsten am Griechischen. Und (2) ist ein sinnvoller Mittelweg zw. natürlichem Deutsch und Treue zum Griechischen. Letztlich ist wohl jede dieser Übersetzungen gleichermaßen möglich.</w:t>
      </w:r>
    </w:p>
  </w:footnote>
  <w:footnote w:id="1083">
    <w:p>
      <w:pPr>
        <w:pStyle w:val="Funote"/>
        <w:rPr/>
      </w:pPr>
      <w:r>
        <w:rPr/>
        <w:footnoteRef/>
        <w:tab/>
        <w:t>Möge - Imperativ Aorist; die griechische Standard-Verbform für Gebete (die sonst keine weitere temporalsemantische Bedeutung hat; vgl. Grosvenor/Zerwick u. a.): Wieder - wie schon in Vater unser im Himmel - greift Mt zurück auf ein „Gebetsidiom“. Vielleicht entspricht dem heute eher das deutsche Gebetsidiom „Wir bitten (dafür), dass...“? B/N zumindest übersetzen sehr gut mit „Lass uns...“</w:t>
      </w:r>
    </w:p>
  </w:footnote>
  <w:footnote w:id="1084">
    <w:p>
      <w:pPr>
        <w:pStyle w:val="Funote"/>
        <w:rPr/>
      </w:pPr>
      <w:r>
        <w:rPr/>
        <w:footnoteRef/>
        <w:tab/>
        <w:t>Möge dein Name geheiligt werden - jüdisches Idiom. Inhaltlich bedeutet es etwa „Gottes Willen tun“, „Gottes Geboten folgen“ (vgl. z. B. B/S I, S. 411-4; ThWNT I, S. 99; Lohfink 2015, S. 10f; Oakman 1999, S. 161-164)* - eine Tätigkeit, der man missionarische Wirksamkeit zusprach (für ein schönes Bsp. s. Lazarus 1922, S. 43f): „[Es] entstand nun die zwar schon im AT mehrfach belegte [s. v.a. Lev 22,31f], aber in ihrer Reinheit erst in der späteren jüdischen Litteratur vorkommende Anschauung, dass man durch ein sittliches Leben, ja durch jede sittliche Handlungsweise den Namen Gottes heilige, d.h. ihm Ehre mache und damit zu seiner Anerkennung unter den Menschen beitrage“ (Perles 1903, S. 68). Noch heute ist dieses Kiddusch Haschem, die „Heiligung des Namens“, eines der zentralsten jüdischen Gebote überhaupt (s. z.B. Eisenberg 2005, S. 12f). Alternativ gibt es zur Stelle heute recht häufig (1) die Interpretation, dass Gott das Subjekt der Heiligung seines Namens sei und dass die „Namensheiligung“ meine, dass er gegen die Entweihung seines Namens durch die Menschen vorgehe, indem er sich am Ende der Zeit als der Heilige offenbare, und v.a. in freieren Üss. (2) die Interpretation, dass „Gottes Namen heiligen“ schlicht meine „Gott preisen“. Aber beide Interpretationen berücksichtigen die Vorhandenheit des besagten Idioms nicht genug. V. 9c meint so das selbe wie 10a und 10b; in allen drei Teilversen wird gebetet um die Herrschaft Gottes auf Erden, die aus drei verschiedenen Perspektiven in den Blick genommen wird: (9c) Aus der der Menschen, die Gottes Namen heiligen = seinen Geboten folgen und so auch andere mit dieser Gesetzestreue anstecken sollen, (10a) aus der der Herrschaft selbst, die sich auf der Erde durchsetzen soll (s. nächste FN) und (10b) aus der Gottes, dessen Wille sich auf der Erde durchsetzen soll. *Ein sehr schönes Beispiel ist die jüdische Tradition, der zufolge das Königtum deshalb dem Stamm Juda zugefallen sei, weil Nachschom zur Zeit des Exodus Gottes Befehl, das Meer zu durchziehen, schon befolgte, bevor sich das Meer geteilt hatte und einfach in die Fluten sprang. Darauf spricht Gott: „Jener, der am Meer meinen Namen geheiligt hat, wird kommen und über Israel herrschen“ (Menn 1997, S. 264).</w:t>
      </w:r>
    </w:p>
  </w:footnote>
  <w:footnote w:id="1085">
    <w:p>
      <w:pPr>
        <w:pStyle w:val="Funote"/>
        <w:rPr/>
      </w:pPr>
      <w:r>
        <w:rPr/>
        <w:footnoteRef/>
        <w:tab/>
        <w:t>Königtum (Königsherrschaft, Königreich) - traditionell „Reich“, aber die Wendung „Reich Gottes“ hat seltenst räumliche Bedeutung, sondern meint das Faktum der Herrschaft Gottes; das dynamische Königtum Gottes im Vollzug (Jeremias 1971, S. 101; ad loc. Lambrecht 1984, S. 130 u.v.a.). Arichea 1980, S. 227 schlägt als kommunikative Üss. daher vor: (1) „Mögest du über uns herrschen“, (2) „Mögest du unser König sein“, (3) „Mögest du über alle Menschen herrschen“. V. 10a meint damit genau das selbe wie 9c.</w:t>
      </w:r>
    </w:p>
  </w:footnote>
  <w:footnote w:id="1086">
    <w:p>
      <w:pPr>
        <w:pStyle w:val="Funote"/>
        <w:rPr/>
      </w:pPr>
      <w:r>
        <w:rPr/>
        <w:footnoteRef/>
        <w:tab/>
        <w:t>kommen - In der Exegese geht man heute zumeist davon aus, dass Jesus das Königtum Gottes als mit seinem Auftreten bereits angebrochen, aber noch nicht vollends realisiert verstand (in der Theologie spricht man hier von der „Spannung von schon-jetzt und noch-nicht“). So muss wohl das „kommen“ erklärt werden: Der Beter soll um die völlige Realisierung der bereits angebrochenen Herrschaft Gottes bitten.</w:t>
      </w:r>
    </w:p>
  </w:footnote>
  <w:footnote w:id="1087">
    <w:p>
      <w:pPr>
        <w:pStyle w:val="Funote"/>
        <w:rPr/>
      </w:pPr>
      <w:r>
        <w:rPr/>
        <w:footnoteRef/>
        <w:tab/>
        <w:t>wie im Himmel so auch auf der Erde - Cullmann 1997 und schon einige vor ihm haben erwogen, ob sich „wie im Himmel, so auch auf der Erde“ auch deuten ließe als „sowohl im Himmel als auch auf der Erde“; dagegen aber gut z. B. Lohfink 1989, S. 123. Gottes Wille soll auf Erden ebenso geschehen, wie er im Himmel geschieht.</w:t>
      </w:r>
    </w:p>
  </w:footnote>
  <w:footnote w:id="1088">
    <w:p>
      <w:pPr>
        <w:pStyle w:val="Funote"/>
        <w:rPr/>
      </w:pPr>
      <w:r>
        <w:rPr/>
        <w:footnoteRef/>
        <w:tab/>
        <w:t>Brot (Essen) - „Brot“ steht in der Bibel häufig pars pro toto für Nahrung i.A., da das Gros der Mahlzeiten im Alten Israel nur aus Brot und Wasser bestand. So auch hier, vgl. ad loc. Arichea 1980, S. 221; Luz 1985, S. 347; Schürmann 1958, S. 63; Schweizer 1981, s. 97</w:t>
      </w:r>
    </w:p>
  </w:footnote>
  <w:footnote w:id="1089">
    <w:p>
      <w:pPr>
        <w:pStyle w:val="Funote"/>
        <w:rPr/>
      </w:pPr>
      <w:r>
        <w:rPr/>
        <w:footnoteRef/>
        <w:tab/>
        <w:t xml:space="preserve">kommend (notwendig, heutig, das auf uns kommt) - Das griechische Wort </w:t>
      </w:r>
      <w:r>
        <w:rPr>
          <w:lang w:val="el-GR"/>
        </w:rPr>
        <w:t>ἐπιούσιος</w:t>
      </w:r>
      <w:r>
        <w:rPr/>
        <w:t xml:space="preserve"> epiusios ist umstritten. Es findet sich nur hier, in der lk Parallelstelle Lk 11,3 und wahrscheinlich auf einem alten Papyrus, der überdies mittlerweile wieder verloren gegangen ist. Die Bedeutung des Wortes muss daher erschlossen werden, indem man rekonstruiert, von welchen griechischen Worten es sich herleitet: # von </w:t>
      </w:r>
      <w:r>
        <w:rPr>
          <w:lang w:val="el-GR"/>
        </w:rPr>
        <w:t>ἔπι + ιέναι</w:t>
      </w:r>
      <w:r>
        <w:rPr/>
        <w:t xml:space="preserve">: kommend (i.S.v. nächster), morgig. Dieser Ableitung folgen heute die meisten und sie ist die unproblematischste.(1a) Das </w:t>
      </w:r>
      <w:r>
        <w:rPr>
          <w:lang w:val="el-GR"/>
        </w:rPr>
        <w:t>ἄρτος ἐπιούσιος</w:t>
      </w:r>
      <w:r>
        <w:rPr/>
        <w:t xml:space="preserve"> wäre dann das „kommende Brot“ und würde sich nachmittags oder abends geäußert auf den morgigen Tag und morgens geäußert auf den kommenden Tag beziehen.(1b) Alternativ haben einige vorgeschlagen, „kommend“ als künftig zu verstehen; das „künftige Brot“ wäre dann das Himmelsbrot, das am Ende der Zeit verspeist wird (s. Lk 14,15): Auch „Unser künftiges Brot gib uns heute“ wäre dann eine Bitte um den Anbruch der Gottesherrschaft am Ende der Zeit. Allerdings störte hier dann das „unser“ (Luz 1985, S. 342; Vögtle 1975, S. 350).(1c) Orchard 1973 und Hultgren 1990 haben außerdem vorgeschlagen, mit dem „kommenden Brot“ sei das „Brot, das uns begegnet“ gemeint, sind damit aber zu Recht auf keinen großen Anklang gestoßen. # von </w:t>
      </w:r>
      <w:r>
        <w:rPr>
          <w:lang w:val="el-GR"/>
        </w:rPr>
        <w:t>ἔπι + οὐσία</w:t>
      </w:r>
      <w:r>
        <w:rPr/>
        <w:t xml:space="preserve">: für die Existenz, notwendig. Allerdings würde bei dieser Wortbildung das Iota ellidiert werden (Hemer 1984, S. 92; Luz 1985, S. 342f) und das extra betonte „heute“ wäre redundant (Hagner 1993, S. 149) # vom Ausdruck </w:t>
      </w:r>
      <w:r>
        <w:rPr>
          <w:lang w:val="el-GR"/>
        </w:rPr>
        <w:t>ἔπι την οὖσαν ἡμέραν</w:t>
      </w:r>
      <w:r>
        <w:rPr/>
        <w:t xml:space="preserve">: für den heutigen Tag, aber auch hier müsste das Iota ellidiert werden (Hemer 1984, S. 92; Luz 1985, S. 342) und das „heute“ wäre überflüssig (Hagner 1993, S. 149); außerdem ist </w:t>
      </w:r>
      <w:r>
        <w:rPr>
          <w:lang w:val="el-GR"/>
        </w:rPr>
        <w:t>οὖσαν</w:t>
      </w:r>
      <w:r>
        <w:rPr/>
        <w:t xml:space="preserve"> ohne </w:t>
      </w:r>
      <w:r>
        <w:rPr>
          <w:lang w:val="el-GR"/>
        </w:rPr>
        <w:t>ἡμέραν</w:t>
      </w:r>
      <w:r>
        <w:rPr/>
        <w:t xml:space="preserve"> nie für „heutig“ belegt (Luz 1985, S. 342). Es läuft also deutlich auf „morgig“ hinaus. Dafür spricht auch stark, dass laut Hieronymus im alten Hebräerevangelium </w:t>
      </w:r>
      <w:r>
        <w:rPr>
          <w:rtl w:val="true"/>
          <w:lang w:bidi="he-IL"/>
        </w:rPr>
        <w:t>מחר</w:t>
      </w:r>
      <w:r>
        <w:rPr/>
        <w:t xml:space="preserve"> </w:t>
      </w:r>
      <w:r>
        <w:rPr/>
        <w:t>machar („morgen“) gestanden hatte. Es passt außerdem zur Verkündigung Jesu, der sich ja ausgesprochen (auch) an die Armen - die sich eben nicht sicher sein konnten, ob sie am nächsten Tag Arbeit finden und so ihr Brot verdienen würden - wandte (so z. B. Heininger 2002, S. 197f; Klauck in seinen Vorlesungen zum Mt-Ev.), und ebenso passt es zur Situation der Wanderprediger, durch die (in der Spruchquelle Q) das Vaterunser tradiert wurde und die gleichfalls nicht sicher sein konnten, ob sie am kommenden Tag ausreichend Nahrung erhalten würden (vgl. z.B. Heininger 2002, S. 197; Lohfink 2015, S. 8f).</w:t>
      </w:r>
    </w:p>
  </w:footnote>
  <w:footnote w:id="1090">
    <w:p>
      <w:pPr>
        <w:pStyle w:val="Funote"/>
        <w:rPr/>
      </w:pPr>
      <w:r>
        <w:rPr/>
        <w:footnoteRef/>
        <w:tab/>
        <w:t>Schulden (Schuld, Sünden) - Das Griechische ofeilemata bezeichnet eigentlich nur Geldschulden. Es ist dies ein Aramäismus: das aramäische choba´ meint sowohl Geldschulden als auch Sünden (so fast alle Exegeten). Arichea 1980, S. 222 empfiehlt die Übersetzung der Good News: „Die Fehler, die wir getan haben... denen, die an uns gefehlt haben“.</w:t>
      </w:r>
    </w:p>
  </w:footnote>
  <w:footnote w:id="1091">
    <w:p>
      <w:pPr>
        <w:pStyle w:val="Funote"/>
        <w:rPr/>
      </w:pPr>
      <w:r>
        <w:rPr/>
        <w:footnoteRef/>
        <w:tab/>
        <w:t>vergeben haben (vergeben) - Einigen Exegeten scheint es merkwürdig, dass hier die Vergebung durch die Menschen offenbar zur Bedingung der Vergebung Gottes gemacht wird („wie auch wir vergeben haben“); sie gehen daher davon aus, dass hinter diesem Aorist ein semitisches Perfekt gestanden habe, das sowohl Vergangenheits- als auch Gegenwartsbedeutung haben kann und man also übersetzen müsste: „wie auch wir vergeben“ (so z. B. Grimm 1992, S. 93; Jeremias 1971, S. 195; Kistemaker 1978, S. 324; Luz 1985, S. 348; Stöger 1980b, S. 102). Das ist abzulehnen; Vv. 14f machen klar, dass in diesem Kontext die Vergebung der Menschen tatsächlich als Bedingung für die Vergebung Gottes gedacht wird (Hagner 1993, S. 150f; Lambrecht 1984, S. 137).</w:t>
      </w:r>
    </w:p>
  </w:footnote>
  <w:footnote w:id="1092">
    <w:p>
      <w:pPr>
        <w:pStyle w:val="Funote"/>
        <w:rPr/>
      </w:pPr>
      <w:r>
        <w:rPr/>
        <w:footnoteRef/>
        <w:tab/>
        <w:t xml:space="preserve">führe (lass nicht zu, dass wir geraten), Versuchung (Tests), Bösen - Bei V. 13 arbeitet die Exegese sich v.a. an der Ambivalenz der beiden Ausdrücke (1) </w:t>
      </w:r>
      <w:r>
        <w:rPr>
          <w:lang w:val="el-GR"/>
        </w:rPr>
        <w:t>εἰσενέγκῃς εἰς πειρασμόν</w:t>
      </w:r>
      <w:r>
        <w:rPr/>
        <w:t xml:space="preserve"> und (2) </w:t>
      </w:r>
      <w:r>
        <w:rPr>
          <w:lang w:val="el-GR"/>
        </w:rPr>
        <w:t>ἀπὸ τοῦ πονηροῦ</w:t>
      </w:r>
      <w:r>
        <w:rPr/>
        <w:t xml:space="preserve"> ab. (1a) </w:t>
      </w:r>
      <w:r>
        <w:rPr>
          <w:lang w:val="el-GR"/>
        </w:rPr>
        <w:t>πειρασμός</w:t>
      </w:r>
      <w:r>
        <w:rPr/>
        <w:t xml:space="preserve"> heißt meist „Versuchung“ und bezieht sich dann auf das Streben Satans, den Gläubigen von seinem Glauben und seine Rechtschaffenheit abzubringen. Oder, (1b): Nach altjüdischer Vorstellung bringt Gott immer wieder Unheil über den gläubigen Menschen, damit dieser sich in diesen „Tests“ als rechter Gottesdiener bewähren kann (vgl. z. B. Gen 22,1; Ex 16,4; Ri 3,1-4; Ps 26,2; Sir 2,1); alternativ könnte sich </w:t>
      </w:r>
      <w:r>
        <w:rPr>
          <w:lang w:val="el-GR"/>
        </w:rPr>
        <w:t>πειρασμός</w:t>
      </w:r>
      <w:r>
        <w:rPr/>
        <w:t xml:space="preserve"> auf diese „Tests“ beziehen (vgl. EWNT III, S. 153: „Je nach Intention differenziert sich der Test positiv als Bewährungsprobe, negativ als Verleiten zum Fall. [...] Überwiegend ist eine Belastung und Bedrohung durch Menschen oder Mächte (vgl. »Drangsal, Verfolgung, Fallstricke« usw.) gemeint [...].“). Damit hängt zusammen die richtige Deutung von </w:t>
      </w:r>
      <w:r>
        <w:rPr>
          <w:lang w:val="el-GR"/>
        </w:rPr>
        <w:t>πονηρός</w:t>
      </w:r>
      <w:r>
        <w:rPr/>
        <w:t xml:space="preserve">: Hier könnte </w:t>
      </w:r>
      <w:r>
        <w:rPr>
          <w:lang w:val="el-GR"/>
        </w:rPr>
        <w:t>πονηρός</w:t>
      </w:r>
      <w:r>
        <w:rPr/>
        <w:t xml:space="preserve"> sowohl (2a) als Maskulinum gedeutet werden und dann „den Bösen“ meinen - also den Teufel, oder aber (2b) als Neutrum und dann „das Böse“=Unheil meinen. Kombiniert man die beiden (a)- und die beiden (b)-Deutungen, ergäbe das also: * (a) Versuche uns nicht (=strebe nicht danach, uns vom Glauben abzubringen); / rette uns vor dem Satan * (b) Unterziehe uns keinen Tests; / bewahre uns vor Unheil Das Problem von Deutung (a) wäre, dass dann ja Gott der Aktant der (satanischen) Versuchung wäre. In der Regel behilft man sich dann damit, </w:t>
      </w:r>
      <w:r>
        <w:rPr>
          <w:lang w:val="el-GR"/>
        </w:rPr>
        <w:t>εἰσφέρω</w:t>
      </w:r>
      <w:r>
        <w:rPr/>
        <w:t xml:space="preserve"> zu erklären als eine Fehlübersetzung eines aramäischen Verbs im Aphel-Stamm, das eigentlich permissive Bedeutung gehabt habe: „Lass nicht zu, dass wir [von Satan] versucht werden“ (z. B. de Moor 1988; Jeremias 1971; Jenni 1997b; Kistemaker 1978; Tournay 1998; Schnackenburg 1984; ähnlich Torrey 1933), also: * (a') Lass nicht zu, dass wir versucht werden / rette uns vor dem Satan Gegen (a') spricht: Eine Exegese auf Basis eines hypothetischen aramäischen Grundtexts ist sehr spekulativ und sollte daher stets letzte Wahl sein (vgl. Gielen 1998, S. 203; Heininger 2002, S. 201; Lambrecht 1984, S. 135); hier ist es überdies schlicht ein bewusstes Fehllesen des Texts (Fitzmyer 2003, S. 271). Zudem sollte man bei einer Übersetzung eines Aphel-Verbs eher ein griechisches Passiv-Verb erwarten und bei einer auf ein „Missverständnis“ zurückgehenden Fehlübersetzung außerdem (hier nicht vorhandene) Textvarianten (so gut Porter 1990, S. 360). Dass (a) problematisch ist, sieht man ja schon daran, dass so viele Exegeten sich veranlasst sahen, ob dieser Problematik stattdessen für (a') zu argumentieren. Berücksichtigt man dann noch die älteste Deutung dieser Bitte in 2Tim 4,18 („Der Herr wird mich retten vor jedem bösen Werk“), die für (b) spricht, sollte man sich hier dann doch deutlich für diese Deutung entscheiden.</w:t>
      </w:r>
    </w:p>
  </w:footnote>
  <w:footnote w:id="1093">
    <w:p>
      <w:pPr>
        <w:pStyle w:val="Funote"/>
        <w:rPr/>
      </w:pPr>
      <w:r>
        <w:rPr/>
        <w:footnoteRef/>
        <w:tab/>
        <w:t>Textkritik: An das Vaterunser schließt sich in jüngeren Texten oft noch eine Doxologie an, die klar sekundär ist (u. a. daran zu erkennen, dass sie in unterschiedlichen Ausgestaltungen angehängt wird). Am verbreitetsten ist die Doxologie, die auch in unserem Vaterunser gebetet wird: „denn dein ist das Reich (also: Herrschaft, Königtum) und die Kraft (besser: Macht) und die Herrlichkeit in Ewigkeit. Amen“; sie ist vermutlich abgeleitet von 1Chr 29,11 (Gnilka 1986, S. 228). Es ist dennoch keine Verfälschung, wenn wir das Vaterunser inklusive dieser sekundären Doxologie beten: Gebete wurden früher stets durch eine meist frei zu formulierende Doxologie abgeschlossen (vgl. 2Tim 4,18; Did 8,2 („denn dein ist die Macht und die Herrlichkeit, Amen“) und ad loc. z. B. Luz 1985, S. 349f; Schweizer 1981, S. 93); besagtes „denn dein ist das Königtum und die Macht und die Herrlichkeit in Ewigkeit, Amen“ ist sehr wahrscheinlich eine dieser frei formulierten Doxologien, die später standardisiert und angehängt wurden.</w:t>
      </w:r>
    </w:p>
  </w:footnote>
  <w:footnote w:id="1094">
    <w:p>
      <w:pPr>
        <w:pStyle w:val="Funote"/>
        <w:rPr/>
      </w:pPr>
      <w:r>
        <w:rPr/>
        <w:footnoteRef/>
        <w:tab/>
        <w:t>[Status: Zuverlässig]</w:t>
      </w:r>
    </w:p>
  </w:footnote>
  <w:footnote w:id="1095">
    <w:p>
      <w:pPr>
        <w:pStyle w:val="Funote"/>
        <w:rPr/>
      </w:pPr>
      <w:r>
        <w:rPr/>
        <w:footnoteRef/>
        <w:tab/>
        <w:t>{Und} - Übliche Markierung im Griechischen zur Eröffnung eines neuen Abschnittes. Im Dt. ist dies unüblich.</w:t>
      </w:r>
    </w:p>
  </w:footnote>
  <w:footnote w:id="1096">
    <w:p>
      <w:pPr>
        <w:pStyle w:val="Funote"/>
        <w:rPr/>
      </w:pPr>
      <w:r>
        <w:rPr/>
        <w:footnoteRef/>
        <w:tab/>
        <w:t>Pharisäer und Sadduzäer - Zwei jüd. Gruppierungen aus Jesu Zeit, die bei Mt auch in Mt 3,7 explizit negativ bewertet werden. Die Pharisäer zeichneten sich durch ihre besondere Strenge bei der Auslegung und der Befolgung göttlicher Gebote aus, die Sadduzäer waren meist Angehörige der Priesterklasse. Und gerade diese beiden Gruppierungen werden hier als „böses und ehebrecherisches Geschlecht“ bezeichnet.Gut übersetzt bei BigS: „Menschen, die zur pharisäischen oder sadduzäischen Gruppierung gehörten“.</w:t>
      </w:r>
    </w:p>
  </w:footnote>
  <w:footnote w:id="1097">
    <w:p>
      <w:pPr>
        <w:pStyle w:val="Funote"/>
        <w:rPr/>
      </w:pPr>
      <w:r>
        <w:rPr/>
        <w:footnoteRef/>
        <w:tab/>
        <w:t>Zeit - W. »Zeiten«.</w:t>
      </w:r>
    </w:p>
  </w:footnote>
  <w:footnote w:id="1098">
    <w:p>
      <w:pPr>
        <w:pStyle w:val="Funote"/>
        <w:rPr/>
      </w:pPr>
      <w:r>
        <w:rPr/>
        <w:footnoteRef/>
        <w:tab/>
        <w:t>Textkritik: Die wörtliche Rede in Vv. 2f. ist in vielen Handschriften nicht überliefert. Viele Kommentare halten die Verse daher für eine spätere Bearbeitung, die etwas ähnliches wie Lk 12,54-56 auch an unserer Stelle nachgetragen habe (so z.B. TCNT); so daher auch wir, obwohl diese Deutung durchaus nicht unumstritten ist (s. z.B. TCG, S. 334f.). In der LF sollte diese Stelle ausgespart werden.</w:t>
      </w:r>
    </w:p>
  </w:footnote>
  <w:footnote w:id="1099">
    <w:p>
      <w:pPr>
        <w:pStyle w:val="Funote"/>
        <w:rPr/>
      </w:pPr>
      <w:r>
        <w:rPr/>
        <w:footnoteRef/>
        <w:tab/>
        <w:t>ehebrecherisches (bundesbrüchiges) - Das Verhältnis von JHWH zu seinem Volk ist in der Bibel oft in den Begriffe einer Ehe gedacht (vgl. z.B. Ehe (AT) (WiBiLex)); die Rede vom »ehebrecherischen Geschlecht« meint daher soviel wie »Geschlecht, dass dem Bund, den JHWH mit seinem Volk geschlossen hat, nicht gerecht wird (besonders, indem es anderen Göttern hinterherläuft)«. Dass hier gerade die Pharisäer und Sadduzäer (s. FN b) als ein solches »ehebrecherisches Geschlecht« abqualifiziert werden, ist eigentlich unerhört.</w:t>
      </w:r>
    </w:p>
  </w:footnote>
  <w:footnote w:id="1100">
    <w:p>
      <w:pPr>
        <w:pStyle w:val="Funote"/>
        <w:rPr/>
      </w:pPr>
      <w:r>
        <w:rPr/>
        <w:footnoteRef/>
        <w:tab/>
        <w:t>Geschlecht (Generation, Pack) - Die Rede vom »Geschlecht« hat Mt aus Mk übernommen, wo das Wort beinahe wie ein Schimpfwort verwendet wird (s. Mk 8,12.38; 9,19; vgl. z.B. EWNT I, S. 294; TWNT I, S. 661), was bei Matthäus durch die Hinzufügung deutlicher Adjektive sogar noch verstärkt wird (»böse und ehebrecherisch«; s. ähnlich auch Mt 12,39.45; 17,17).Sinnvoll übersetzt daher z.B. B/N in den Mk-Stellen: »Dieses [böse und ehebrecherische] Pack«</w:t>
      </w:r>
    </w:p>
  </w:footnote>
  <w:footnote w:id="1101">
    <w:p>
      <w:pPr>
        <w:pStyle w:val="Funote"/>
        <w:rPr/>
      </w:pPr>
      <w:r>
        <w:rPr/>
        <w:footnoteRef/>
        <w:tab/>
        <w:t>an das jenseitige [Ufer] - W. „an das Jenseitige“; stehende Formulierung für eine Überquerung des Sees Gennesaret.</w:t>
      </w:r>
    </w:p>
  </w:footnote>
  <w:footnote w:id="1102">
    <w:p>
      <w:pPr>
        <w:pStyle w:val="Funote"/>
        <w:rPr/>
      </w:pPr>
      <w:r>
        <w:rPr/>
        <w:footnoteRef/>
        <w:tab/>
        <w:t>Als die Jünger ... kamen - Nach der Darstellung des Mt ist offenbar Jesus in Mt 15,39 allein nach Magadan gefahren; die Jünger stoßen nun nachträglich zu ihm (vgl. z.B. Luz 1990, S. 447).</w:t>
      </w:r>
    </w:p>
  </w:footnote>
  <w:footnote w:id="1103">
    <w:p>
      <w:pPr>
        <w:pStyle w:val="Funote"/>
        <w:rPr/>
      </w:pPr>
      <w:r>
        <w:rPr/>
        <w:footnoteRef/>
        <w:tab/>
        <w:t>[gerade] - Das Verb steht im Gr. im Imperfekt, um zu markieren, dass die Handlung gerade im Vollzug ist.</w:t>
      </w:r>
    </w:p>
  </w:footnote>
  <w:footnote w:id="1104">
    <w:p>
      <w:pPr>
        <w:pStyle w:val="Funote"/>
        <w:rPr/>
      </w:pPr>
      <w:r>
        <w:rPr/>
        <w:footnoteRef/>
        <w:tab/>
        <w:t>Wir haben das Brot nicht mitgenommen! - Im Gr. steht vor diesem Satz ein hoti. Wenn die Jünger hier auf Jesu Wort eingehen, ist dieses mit „weil“ zu übersetzen: „[Das hat er gesagt,] weil wir keine Brote mitgenommen haben!“ Andernfalls ist hoti als Einleitung der wörtlichen Rede zu verstehen und als Doppelpunkt wiederzugeben (vgl. z.B. France 2007, S. 606f., FN 2). Diese Deutung macht hier mehr Sinn; s. die Anmerkungen.</w:t>
      </w:r>
    </w:p>
  </w:footnote>
  <w:footnote w:id="1105">
    <w:p>
      <w:pPr>
        <w:pStyle w:val="Funote"/>
        <w:rPr/>
      </w:pPr>
      <w:r>
        <w:rPr/>
        <w:footnoteRef/>
        <w:tab/>
        <w:t>dass (weil) - Auch hier steht ein hoti; die Übersetzung hängt ab von der Deutung des hoti in V. 7 (s. FN j).</w:t>
      </w:r>
    </w:p>
  </w:footnote>
  <w:footnote w:id="1106">
    <w:p>
      <w:pPr>
        <w:pStyle w:val="Funote"/>
        <w:rPr/>
      </w:pPr>
      <w:r>
        <w:rPr/>
        <w:footnoteRef/>
        <w:tab/>
        <w:t>noch nicht ... und ... nicht [mehr] - Zur doppelten Verneinung s. FN x zur entsprechenden Formulierung in Mk 8,17: Sie legt noch zusätzliche Emphase auf diese kritische Nachfrage; sinngemäßer also etwa: »Begreift ihr [denn immer] noch nicht? Erinnert ihr euch [denn] nicht mehr...?«</w:t>
      </w:r>
    </w:p>
  </w:footnote>
  <w:footnote w:id="1107">
    <w:p>
      <w:pPr>
        <w:pStyle w:val="Funote"/>
        <w:rPr/>
      </w:pPr>
      <w:r>
        <w:rPr/>
        <w:footnoteRef/>
        <w:tab/>
        <w:t>Textkritik: des Brotes fehlt in einigen Handschriften; die Handschriften, die es haben, schwanken zwischen Sg. und Pl. Wahrscheinlich handelt es sich hier also um eine nachträgliche Einfügung, die den Sinn des Ausspruchs deutlicher machen sollte, den er aber auch so hat: Die Jünger verstehen, dass Jesus nicht von wortwörtlichem Sauerteig sprach, sondern eben von der Lehre. Vgl. z.B. France 2007, S. 607, FN 4.</w:t>
      </w:r>
    </w:p>
  </w:footnote>
  <w:footnote w:id="1108">
    <w:p>
      <w:pPr>
        <w:pStyle w:val="Funote"/>
        <w:rPr/>
      </w:pPr>
      <w:r>
        <w:rPr/>
        <w:footnoteRef/>
        <w:tab/>
        <w:t>Menschensohn - Den Begriff übernimmt Matthäus v.a. aus dem Markusevangelium; hier wie dort fällt er fast ausschließlich dann, wenn Jesus von sich selbst und seiner Rolle beim Ende der Zeit spricht: dass er von den Menschen verworfen, ausgeliefert und getötet werden müsse, dann aber in großer Macht und Herrlichkeit wiederkehren werde (vgl. besonders gut Danove 2003, S. 23-25. Zu näherem s. z.B. Menschensohn (WiBiLex)). Die Wortstellung »ich, der Menschensohn« soll offensichtlich den Kontrast zwischen diesem seinem Menschensohn-Sein und den Fehleinschätzungen der »Leute« zum Ausdruck bringen (so gut Luz 1990, S. 459).</w:t>
      </w:r>
    </w:p>
  </w:footnote>
  <w:footnote w:id="1109">
    <w:p>
      <w:pPr>
        <w:pStyle w:val="Funote"/>
        <w:rPr/>
      </w:pPr>
      <w:r>
        <w:rPr/>
        <w:footnoteRef/>
        <w:tab/>
        <w:t>Textkritik: ich - der Menschensohn! - (dass der Menschensohn) - me (»ich«) wird von der Mehrheit der Textzeugen überliefert; nur wenige - allerdings alte - Handschriften bezeugen die Variante ohne me. Die Variante mit me ist allerdings sicher als die schwierigere Lesart vorzuziehen (so z.B. Luz 1990, S. 452, Anm. 1; anders z.B. TCG, S. 344f.; TCNT).</w:t>
      </w:r>
    </w:p>
  </w:footnote>
  <w:footnote w:id="1110">
    <w:p>
      <w:pPr>
        <w:pStyle w:val="Funote"/>
        <w:rPr/>
      </w:pPr>
      <w:r>
        <w:rPr/>
        <w:footnoteRef/>
        <w:tab/>
        <w:t>der Gesalbte - Gr. christos. Im Alten Israel wurden Könige durch eine »Salbung« eingesetzt. Zur Zeit Jesu war die Hoffnung verbreitet, dass dereinst ein endzeitlicher König erstehen und Israel retten werde (s. z.B. Messias / Christus (WiBiLex)). Als diesen endzeitlichen König identifiziert Petrus hier Jesus.</w:t>
      </w:r>
    </w:p>
  </w:footnote>
  <w:footnote w:id="1111">
    <w:p>
      <w:pPr>
        <w:pStyle w:val="Funote"/>
        <w:rPr/>
      </w:pPr>
      <w:r>
        <w:rPr/>
        <w:footnoteRef/>
        <w:tab/>
        <w:t>[Wie] glücklich (selig, glückselig) - Übliche Einleitung einer sog. »Seligpreisung« (dazu s. näher z.B. Seligpreisung (AT) (WiBiLex). Solche »Seligpreisungen« haben sehr wenig mit einer »Seligsprechung« zu tun; die häufige Übersetzung mit »(glück)selig« ist daher eher unglücklich. Es handelt sich vielmehr um einen freudigen Ausruf, nachdem man etwas an einem Menschen wahrgenommen hat, für das man diesen als »glücklich zu preisen« einschätzt. Jesus freut sich also hier darüber, dass Petrus die Gnade zuteil wurde, Empfänger einer göttlichen Offenbarung zu sein.Sehr gut daher z.B. die Üss. »Wie glücklich bist du...!« (NeÜ); »Glücklich bist du zu preisen...!« (NGÜ).</w:t>
      </w:r>
    </w:p>
  </w:footnote>
  <w:footnote w:id="1112">
    <w:p>
      <w:pPr>
        <w:pStyle w:val="Funote"/>
        <w:rPr/>
      </w:pPr>
      <w:r>
        <w:rPr/>
        <w:footnoteRef/>
        <w:tab/>
        <w:t>bar Jona - W. »Sohn des Jona«. Solche sog. »Patronyme« waren im Alten Israel in etwa die Entsprechung eines Nachnamens.</w:t>
      </w:r>
    </w:p>
  </w:footnote>
  <w:footnote w:id="1113">
    <w:p>
      <w:pPr>
        <w:pStyle w:val="Funote"/>
        <w:rPr/>
      </w:pPr>
      <w:r>
        <w:rPr/>
        <w:footnoteRef/>
        <w:tab/>
        <w:t>Fleisch und Blut - d.h.: Menschen (vgl. Luz 1990, S. 461, FN 58) - was Petrus hier ausspricht, ist menschliches Wissen übersteigendes Wissen, das ihm daher nur von Gottvater offenbart worden sein konnte.</w:t>
      </w:r>
    </w:p>
  </w:footnote>
  <w:footnote w:id="1114">
    <w:p>
      <w:pPr>
        <w:pStyle w:val="Funote"/>
        <w:rPr/>
      </w:pPr>
      <w:r>
        <w:rPr/>
        <w:footnoteRef/>
        <w:tab/>
        <w:t>Himmel - Im Gr. Plural; »Himmel« steht im Gr. meist im Pl., wo das Dt. Sg. verwenden würde.</w:t>
      </w:r>
    </w:p>
  </w:footnote>
  <w:footnote w:id="1115">
    <w:p>
      <w:pPr>
        <w:pStyle w:val="Funote"/>
        <w:rPr/>
      </w:pPr>
      <w:r>
        <w:rPr/>
        <w:footnoteRef/>
        <w:tab/>
        <w:t>Petrus (Fels) ... Gefels - Wortspiel im Gr.: petros (»Fels«) - petra (»Gefels«). S. dazu und zum Rest von Vv. 18f. die Anmerkungen; zu den sprachlichen Aspekten des Wortspiels vgl. immer noch gut z.B. Lampe 1979.</w:t>
      </w:r>
    </w:p>
  </w:footnote>
  <w:footnote w:id="1116">
    <w:p>
      <w:pPr>
        <w:pStyle w:val="Funote"/>
        <w:rPr/>
      </w:pPr>
      <w:r>
        <w:rPr/>
        <w:footnoteRef/>
        <w:tab/>
        <w:t>Die Pforten des Hades sind im Weltbild des Alten Israel die Eingänge zur Unterwelt, dem »Hades«. S. auch dazu die Anmerkungen und vgl. zu Näherem z.B. Lewis 1995.</w:t>
      </w:r>
    </w:p>
  </w:footnote>
  <w:footnote w:id="1117">
    <w:p>
      <w:pPr>
        <w:pStyle w:val="Funote"/>
        <w:rPr/>
      </w:pPr>
      <w:r>
        <w:rPr/>
        <w:footnoteRef/>
        <w:tab/>
        <w:t>sie (es) - Gr. autäs könnte sich entweder beziehen auf petra (»Gefels«) oder, syntaktisch wahrscheinlicher, ekkläsia (»Gemeinde«); vgl. z.B. Luz 1990, S. 464.</w:t>
      </w:r>
    </w:p>
  </w:footnote>
  <w:footnote w:id="1118">
    <w:p>
      <w:pPr>
        <w:pStyle w:val="Funote"/>
        <w:rPr/>
      </w:pPr>
      <w:r>
        <w:rPr/>
        <w:footnoteRef/>
        <w:tab/>
        <w:t>Zu diesem Vers s. die Anmerkungen.</w:t>
      </w:r>
    </w:p>
  </w:footnote>
  <w:footnote w:id="1119">
    <w:p>
      <w:pPr>
        <w:pStyle w:val="Funote"/>
        <w:rPr/>
      </w:pPr>
      <w:r>
        <w:rPr/>
        <w:footnoteRef/>
        <w:tab/>
        <w:t>müsse - Signalwort im NT: Was dei („[sein] muss“), ist Teil des göttlichen Heilsplans: Gott hat die in V. 21 zusammengefassten Begebenheiten vorausgeplant und sie spielen eine wichtige Rolle in seinem Plan für seine Schöpfung.</w:t>
      </w:r>
    </w:p>
  </w:footnote>
  <w:footnote w:id="1120">
    <w:p>
      <w:pPr>
        <w:pStyle w:val="Funote"/>
        <w:rPr/>
      </w:pPr>
      <w:r>
        <w:rPr/>
        <w:footnoteRef/>
        <w:tab/>
        <w:t>wandte sich um - Oft übersetzt als „er wandte sich Petrus zu“. Das ist aber hier durchaus nicht gesagt; wörtlich steht: „Er aber wandte sich um“ - was sogar bedeuten könnte, dass Jesus sich von Petrus abwendet und diese Abwendung dann kommentiert mit dem Ausruf „Hinter mich, Satan!“ So dann z.B. GN: „Aber Jesus wandte sich von ihm ab und sagte...“ Wegen dem Folgenden ist diese Deutung sogar etwas wahrscheinlicher, s. die nächste FN.</w:t>
      </w:r>
    </w:p>
  </w:footnote>
  <w:footnote w:id="1121">
    <w:p>
      <w:pPr>
        <w:pStyle w:val="Funote"/>
        <w:rPr/>
      </w:pPr>
      <w:r>
        <w:rPr/>
        <w:footnoteRef/>
        <w:tab/>
        <w:t>Geh hinter mich (geh weg von mir, lass mich in Ruhe) - Gr. hupage opiso mou; mehrdeutiger Ausdruck: Er könnte sowohl eine eine entschiedene Zurückweisung sein (»Weg von mir!«) als auch ein Aufruf zur Nachfolge, was v.a. die ganz ähnlich formulierte Rede von der Nachfolge im nächsten Vers nahelegt: ei tis thelei opiso mou elthein (»Wenn einer hinter mir gehen will«, d.h. »mir nachfolgen will«).</w:t>
      </w:r>
    </w:p>
  </w:footnote>
  <w:footnote w:id="1122">
    <w:p>
      <w:pPr>
        <w:pStyle w:val="Funote"/>
        <w:rPr/>
      </w:pPr>
      <w:r>
        <w:rPr/>
        <w:footnoteRef/>
        <w:tab/>
        <w:t>V. 26 ist noch einmal eine nachgeschobene Begründung von V. 25; der Zhg. der beiden Verse ist dabei wohl etwa der: »Nur, wer sein Leben um meinetwillen verliert, wird es erlangen, und darum geht es ja, denn das Leben ist schließlich wichtiger als die ganze Welt, weil einzig das eigene Leben völlig jenseits jeglichen Tauschwerts steht.« Sehr gut daher z.B. HfA: »Denn was gewinnt ein Mensch, wenn ihm die ganze Welt zufällt, er selbst aber dabei Schaden nimmt? Er kann sein Leben ja nicht wieder zurückkaufen!«</w:t>
      </w:r>
    </w:p>
  </w:footnote>
  <w:footnote w:id="1123">
    <w:p>
      <w:pPr>
        <w:pStyle w:val="Funote"/>
        <w:rPr/>
      </w:pPr>
      <w:r>
        <w:rPr/>
        <w:footnoteRef/>
        <w:tab/>
        <w:t>Herrlichkeit ist im AT eine der zentralsten Eigenschaften Gottes. Die wörtliche Bedeutung der heb. und gr. Begriffe reicht dabei von »Ehre, Ansehen« bis zu etwas wie »Glorie, Lichtschein«, die man sich früher als Attribut von Gottheiten vorstellte (s. z.B. Amzallag 2015, S. 80-82). Bei Mt ist von »Herrlichkeit« bes. dann die Rede, wenn der Text von der Wiederkunft des Menschensohns handelt (s. noch Mt 19,28; 24,30; 25,31), sehr wahrscheinlich hat man also hier v.a. an die verklärte Lichtgestalt dieses wiederkommenden Himmelwesens zu denken haben.</w:t>
      </w:r>
    </w:p>
  </w:footnote>
  <w:footnote w:id="1124">
    <w:p>
      <w:pPr>
        <w:pStyle w:val="Funote"/>
        <w:rPr/>
      </w:pPr>
      <w:r>
        <w:rPr/>
        <w:footnoteRef/>
        <w:tab/>
        <w:t>Amen, ich sage euch - ein sog. »nicht-responsorisches Amen«: Durch »Amen, ich sage euch« eingeleitete Sätze finden sich in der Bibel ausschließlich bei Jesus und dienen v.a. dazu, den folgenden Satz zu markieren als ein(e) mit Vollmacht geäußerte(s) Voraussage / Urteil (BB: »Damit verbürgt er sich dafür, dass seine Worte wahr sind und Gültigkeit haben.«). Die Verheißung in diesem Vers hat also absolute Gültigkeit, da sie schließlich vom einzigen geäußert wird, der überhaupt Voraussagen über diese Geschehnisse machen kann - da er dabei der Hauptakteur sein wird.Sehr sinnvolls übersetzt Zink: »Was ich sage, ist wahr: ...«</w:t>
      </w:r>
    </w:p>
  </w:footnote>
  <w:footnote w:id="1125">
    <w:p>
      <w:pPr>
        <w:pStyle w:val="Funote"/>
        <w:rPr/>
      </w:pPr>
      <w:r>
        <w:rPr/>
        <w:footnoteRef/>
        <w:tab/>
        <w:t>den Tod nicht schmecken (kennen lernen, erfahren) - heb. Idiom; zu einigen weiteren Belegen s. B/S I, S. 751f. Die Bedeutung ist wohl etwa »sterblich sein und sich dieser seienr Sterblichkeit schmerzlich bewusst sein«; vg. BDAG 195.Die meisten Üss. haben schlicht: »Die nicht sterben werden«. Das ist wohl die einfachste Lösung: Die Wiederkunft des Menschensohns liegt nicht etwa in ferner Zukunft, sondern steht unmittelbar bevor - einige von Jesu Hörern werden dann sogar noch am Leben sein.</w:t>
      </w:r>
    </w:p>
  </w:footnote>
  <w:footnote w:id="1126">
    <w:p>
      <w:pPr>
        <w:pStyle w:val="Funote"/>
        <w:rPr/>
      </w:pPr>
      <w:r>
        <w:rPr/>
        <w:footnoteRef/>
        <w:tab/>
        <w:t>[Status: Zuverlässig]</w:t>
      </w:r>
    </w:p>
  </w:footnote>
  <w:footnote w:id="1127">
    <w:p>
      <w:pPr>
        <w:pStyle w:val="Funote"/>
        <w:rPr/>
      </w:pPr>
      <w:r>
        <w:rPr/>
        <w:footnoteRef/>
        <w:tab/>
        <w:t>Viele Übersetzungen: „Nach dem Sabbat“. Aus dem Kontext ist eindeutig, dass der Morgen des folgenden Tages gemeint ist und nicht der Abend des Sabbats. Vermutlich zählt der Autor des Matthäusevangeliums die folgende Nacht noch zum Sabbat hinzu (U.Luz 2002, 401).</w:t>
      </w:r>
    </w:p>
  </w:footnote>
  <w:footnote w:id="1128">
    <w:p>
      <w:pPr>
        <w:pStyle w:val="Funote"/>
        <w:rPr/>
      </w:pPr>
      <w:r>
        <w:rPr/>
        <w:footnoteRef/>
        <w:tab/>
        <w:t xml:space="preserve">Die Formulierung </w:t>
      </w:r>
      <w:r>
        <w:rPr>
          <w:lang w:val="el-GR"/>
        </w:rPr>
        <w:t>ἄγγελος κύριου</w:t>
      </w:r>
      <w:r>
        <w:rPr/>
        <w:t xml:space="preserve"> („Bote des Herrn“) bezeichnet in der Septuaginta Gottes Engel (vgl. Exodus 3 und Richter 6). Hier im Neuen Testament bezieht sich „der Herr“ gleichzeitig auch auf Jesus.</w:t>
      </w:r>
    </w:p>
  </w:footnote>
  <w:footnote w:id="1129">
    <w:p>
      <w:pPr>
        <w:pStyle w:val="Funote"/>
        <w:rPr/>
      </w:pPr>
      <w:r>
        <w:rPr/>
        <w:footnoteRef/>
        <w:tab/>
        <w:t>Partizipien Aorist Aktiv</w:t>
      </w:r>
    </w:p>
  </w:footnote>
  <w:footnote w:id="1130">
    <w:p>
      <w:pPr>
        <w:pStyle w:val="Funote"/>
        <w:rPr/>
      </w:pPr>
      <w:r>
        <w:rPr/>
        <w:footnoteRef/>
        <w:tab/>
        <w:t>Einige Handschriften ergänzen: „vom Eingang“ oder „vom Eingang des Grabes“.</w:t>
      </w:r>
    </w:p>
  </w:footnote>
  <w:footnote w:id="1131">
    <w:p>
      <w:pPr>
        <w:pStyle w:val="Funote"/>
        <w:rPr/>
      </w:pPr>
      <w:r>
        <w:rPr/>
        <w:footnoteRef/>
        <w:tab/>
        <w:t>Partizip Aorist Deponens</w:t>
      </w:r>
    </w:p>
  </w:footnote>
  <w:footnote w:id="1132">
    <w:p>
      <w:pPr>
        <w:pStyle w:val="Funote"/>
        <w:rPr/>
      </w:pPr>
      <w:r>
        <w:rPr/>
        <w:footnoteRef/>
        <w:tab/>
        <w:t>Das »ihr« ist sprachlich betont. (Siehe die Übersetzung bei U.Luz 2002, 395).</w:t>
      </w:r>
    </w:p>
  </w:footnote>
  <w:footnote w:id="1133">
    <w:p>
      <w:pPr>
        <w:pStyle w:val="Funote"/>
        <w:rPr/>
      </w:pPr>
      <w:r>
        <w:rPr/>
        <w:footnoteRef/>
        <w:tab/>
        <w:t>Einige Handschriften: »wo der Herr«.</w:t>
      </w:r>
    </w:p>
  </w:footnote>
  <w:footnote w:id="1134">
    <w:p>
      <w:pPr>
        <w:pStyle w:val="Funote"/>
        <w:rPr/>
      </w:pPr>
      <w:r>
        <w:rPr/>
        <w:footnoteRef/>
        <w:tab/>
        <w:t>Partizip Aorist Deponens</w:t>
      </w:r>
    </w:p>
  </w:footnote>
  <w:footnote w:id="1135">
    <w:p>
      <w:pPr>
        <w:pStyle w:val="Funote"/>
        <w:rPr/>
      </w:pPr>
      <w:r>
        <w:rPr/>
        <w:footnoteRef/>
        <w:tab/>
        <w:t>Generisches Maskulinum.</w:t>
      </w:r>
    </w:p>
  </w:footnote>
  <w:footnote w:id="1136">
    <w:p>
      <w:pPr>
        <w:pStyle w:val="Funote"/>
        <w:rPr/>
      </w:pPr>
      <w:r>
        <w:rPr/>
        <w:footnoteRef/>
        <w:tab/>
        <w:t>Partizip Aorist Aktiv</w:t>
      </w:r>
    </w:p>
  </w:footnote>
  <w:footnote w:id="1137">
    <w:p>
      <w:pPr>
        <w:pStyle w:val="Funote"/>
        <w:rPr/>
      </w:pPr>
      <w:r>
        <w:rPr/>
        <w:footnoteRef/>
        <w:tab/>
        <w:t>Viele Handschriften: „hinaus aus dem Grab“. Bei dem vermutlich ursprünglichen „hinaus“ bleibt offen, ob die Frauen ins Grab gehen oder nicht. (Vgl. U.Luz 2002, 395, Fußnote 5.)</w:t>
      </w:r>
    </w:p>
  </w:footnote>
  <w:footnote w:id="1138">
    <w:p>
      <w:pPr>
        <w:pStyle w:val="Funote"/>
        <w:rPr/>
      </w:pPr>
      <w:r>
        <w:rPr/>
        <w:footnoteRef/>
        <w:tab/>
        <w:t>Die Bibel in gerechter Sprache übersetzt: „mit Ehrfurcht“. Gegen diese Deutung spricht die Wortverwandtschaft mit „Fürchtet euch nicht“ (Vers 5).</w:t>
      </w:r>
    </w:p>
  </w:footnote>
  <w:footnote w:id="1139">
    <w:p>
      <w:pPr>
        <w:pStyle w:val="Funote"/>
        <w:rPr/>
      </w:pPr>
      <w:r>
        <w:rPr/>
        <w:footnoteRef/>
        <w:tab/>
        <w:t>Viele Handschriften ergänzen: „als (während, weil) sie gingen, um es seinen Jüngern (Jüngerinnen) zu berichten“.</w:t>
      </w:r>
    </w:p>
  </w:footnote>
  <w:footnote w:id="1140">
    <w:p>
      <w:pPr>
        <w:pStyle w:val="Funote"/>
        <w:rPr/>
      </w:pPr>
      <w:r>
        <w:rPr/>
        <w:footnoteRef/>
        <w:tab/>
        <w:t>Partizip Präsens Aktiv</w:t>
      </w:r>
    </w:p>
  </w:footnote>
  <w:footnote w:id="1141">
    <w:p>
      <w:pPr>
        <w:pStyle w:val="Funote"/>
        <w:rPr/>
      </w:pPr>
      <w:r>
        <w:rPr/>
        <w:footnoteRef/>
        <w:tab/>
        <w:t>»Freut euch« ist eine griechische Grußformel (Bauer/Aland).</w:t>
      </w:r>
    </w:p>
  </w:footnote>
  <w:footnote w:id="1142">
    <w:p>
      <w:pPr>
        <w:pStyle w:val="Funote"/>
        <w:rPr/>
      </w:pPr>
      <w:r>
        <w:rPr/>
        <w:footnoteRef/>
        <w:tab/>
        <w:t>Partizip Aorist Aktiv</w:t>
      </w:r>
    </w:p>
  </w:footnote>
  <w:footnote w:id="1143">
    <w:p>
      <w:pPr>
        <w:pStyle w:val="Funote"/>
        <w:rPr/>
      </w:pPr>
      <w:r>
        <w:rPr/>
        <w:footnoteRef/>
        <w:tab/>
        <w:t xml:space="preserve">Das griechische Verb </w:t>
      </w:r>
      <w:r>
        <w:rPr>
          <w:lang w:val="el-GR"/>
        </w:rPr>
        <w:t>προσκυνέω</w:t>
      </w:r>
      <w:r>
        <w:rPr/>
        <w:t xml:space="preserve"> bezeichnet einen Akt der Anbetung/Verehrung, bei dem man sich zu Boden warf und die Füße oder den Boden küsste. Im übertragenen Sinn steht das Verb auch für Anbetungen allgemein (ThWNT, Bauer/Aland, Menge/Güthling).</w:t>
      </w:r>
    </w:p>
  </w:footnote>
  <w:footnote w:id="1144">
    <w:p>
      <w:pPr>
        <w:pStyle w:val="Funote"/>
        <w:rPr/>
      </w:pPr>
      <w:r>
        <w:rPr/>
        <w:footnoteRef/>
        <w:tab/>
        <w:t>Partizip Präsens Deponens im Genitivus absolutus</w:t>
      </w:r>
    </w:p>
  </w:footnote>
  <w:footnote w:id="1145">
    <w:p>
      <w:pPr>
        <w:pStyle w:val="Funote"/>
        <w:rPr/>
      </w:pPr>
      <w:r>
        <w:rPr/>
        <w:footnoteRef/>
        <w:tab/>
        <w:t>Partizip Aorist Aktiv</w:t>
      </w:r>
    </w:p>
  </w:footnote>
  <w:footnote w:id="1146">
    <w:p>
      <w:pPr>
        <w:pStyle w:val="Funote"/>
        <w:rPr/>
      </w:pPr>
      <w:r>
        <w:rPr/>
        <w:footnoteRef/>
        <w:tab/>
        <w:t>Partizipien Aorist Passiv und Aorist Aktiv</w:t>
      </w:r>
    </w:p>
  </w:footnote>
  <w:footnote w:id="1147">
    <w:p>
      <w:pPr>
        <w:pStyle w:val="Funote"/>
        <w:rPr/>
      </w:pPr>
      <w:r>
        <w:rPr/>
        <w:footnoteRef/>
        <w:tab/>
        <w:t>Partizip Präsens Aktiv</w:t>
      </w:r>
    </w:p>
  </w:footnote>
  <w:footnote w:id="1148">
    <w:p>
      <w:pPr>
        <w:pStyle w:val="Funote"/>
        <w:rPr/>
      </w:pPr>
      <w:r>
        <w:rPr>
          <w:lang w:val="el-GR"/>
        </w:rPr>
        <w:footnoteRef/>
        <w:tab/>
        <w:t>Ὅτι</w:t>
      </w:r>
      <w:r>
        <w:rPr/>
        <w:t xml:space="preserve"> recitativum</w:t>
      </w:r>
    </w:p>
  </w:footnote>
  <w:footnote w:id="1149">
    <w:p>
      <w:pPr>
        <w:pStyle w:val="Funote"/>
        <w:rPr/>
      </w:pPr>
      <w:r>
        <w:rPr/>
        <w:footnoteRef/>
        <w:tab/>
        <w:t>Partizip Aorist Aktiv</w:t>
      </w:r>
    </w:p>
  </w:footnote>
  <w:footnote w:id="1150">
    <w:p>
      <w:pPr>
        <w:pStyle w:val="Funote"/>
        <w:rPr/>
      </w:pPr>
      <w:r>
        <w:rPr/>
        <w:footnoteRef/>
        <w:tab/>
        <w:t>Partizip Präsens Passiv</w:t>
      </w:r>
    </w:p>
  </w:footnote>
  <w:footnote w:id="1151">
    <w:p>
      <w:pPr>
        <w:pStyle w:val="Funote"/>
        <w:rPr/>
      </w:pPr>
      <w:r>
        <w:rPr/>
        <w:footnoteRef/>
        <w:tab/>
        <w:t>Der logische Widerspruch, dass die Wächter als Zeugen für etwas auftreten sollen, dass sie nach eigenen Worten verschlafen haben sollen, ist vermutlich Absicht. Der Text betont so die Absurdität der konstruierten Vorwürfe gegen die Jünger (U.Luz 2002, 422). U.Luz kommentiert diesen literarischen Kunstgriff: »Matthäus hat die jüdischen Führer, deren Böswilligkeit er durch die ganze Passionsgeschichte hindurch immer wieder herausgearbeitet hatte, nach der Auferstehung gleichsam den Gipfel ihrer Bosheit erklimmen lassen. Je eher man der Meinung ist, daß der Evangelist in 27,26–66 und 28,11–15 weitgehend selber eine polemische Geschichte fingiert, desto weniger kann man ihn selbst vom Vorwurf der gewollten und gekommten Böswilligkeit – im Namen des Glaubens an den Auferstandenen! – freisprechen.« (U.Luz 2002, 426)</w:t>
      </w:r>
    </w:p>
  </w:footnote>
  <w:footnote w:id="1152">
    <w:p>
      <w:pPr>
        <w:pStyle w:val="Funote"/>
        <w:rPr/>
      </w:pPr>
      <w:r>
        <w:rPr/>
        <w:footnoteRef/>
        <w:tab/>
        <w:t>Ist hier an eine Bestechung gedacht? »</w:t>
      </w:r>
      <w:r>
        <w:rPr>
          <w:lang w:val="el-GR"/>
        </w:rPr>
        <w:t>Πείθω</w:t>
      </w:r>
      <w:r>
        <w:rPr/>
        <w:t xml:space="preserve"> verbindet sich manchmal mit dem Gedanken der Bestechung, so daß diese (vom Text nicht ausgesprochene) Lesemöglichkeit nicht ausgeschlossen ist.« (U.Luz 2002, 423)</w:t>
      </w:r>
    </w:p>
  </w:footnote>
  <w:footnote w:id="1153">
    <w:p>
      <w:pPr>
        <w:pStyle w:val="Funote"/>
        <w:rPr/>
      </w:pPr>
      <w:r>
        <w:rPr/>
        <w:footnoteRef/>
        <w:tab/>
        <w:t>wörtlich: und euch sorgenfrei machen</w:t>
      </w:r>
    </w:p>
  </w:footnote>
  <w:footnote w:id="1154">
    <w:p>
      <w:pPr>
        <w:pStyle w:val="Funote"/>
        <w:rPr/>
      </w:pPr>
      <w:r>
        <w:rPr/>
        <w:footnoteRef/>
        <w:tab/>
        <w:t>Partizip Aorist Aktiv</w:t>
      </w:r>
    </w:p>
  </w:footnote>
  <w:footnote w:id="1155">
    <w:p>
      <w:pPr>
        <w:pStyle w:val="Funote"/>
        <w:rPr/>
      </w:pPr>
      <w:r>
        <w:rPr/>
        <w:footnoteRef/>
        <w:tab/>
        <w:t>andere Handschriften: erschien</w:t>
      </w:r>
    </w:p>
  </w:footnote>
  <w:footnote w:id="1156">
    <w:p>
      <w:pPr>
        <w:pStyle w:val="Funote"/>
        <w:rPr/>
      </w:pPr>
      <w:r>
        <w:rPr/>
        <w:footnoteRef/>
        <w:tab/>
        <w:t>Es handelt sich nicht um alle Juden, da im Text kein bestimmter Artikel steht (U.Luz 2002, 423–425).</w:t>
      </w:r>
    </w:p>
  </w:footnote>
  <w:footnote w:id="1157">
    <w:p>
      <w:pPr>
        <w:pStyle w:val="Funote"/>
        <w:rPr/>
      </w:pPr>
      <w:r>
        <w:rPr/>
        <w:footnoteRef/>
        <w:tab/>
        <w:t>Partizip Präsens Aktiv</w:t>
      </w:r>
    </w:p>
  </w:footnote>
  <w:footnote w:id="1158">
    <w:p>
      <w:pPr>
        <w:pStyle w:val="Funote"/>
        <w:rPr/>
      </w:pPr>
      <w:r>
        <w:rPr/>
        <w:footnoteRef/>
        <w:tab/>
        <w:t>Siehe Fußnote zu Vers 9.</w:t>
      </w:r>
    </w:p>
  </w:footnote>
  <w:footnote w:id="1159">
    <w:p>
      <w:pPr>
        <w:pStyle w:val="Funote"/>
        <w:rPr/>
      </w:pPr>
      <w:r>
        <w:rPr/>
        <w:footnoteRef/>
        <w:tab/>
        <w:t>Der Text ist sprachlich unklar. Wahrscheinlich ist gemeint, dass alle Jünger huldigen, einige (oder vielleicht alle) von ihnen jedoch gleichzeitig (oder anschließend) zweifeln (U.Luz 2002, 439). Gelegentlich wird auch die Deutung vertreten, dass eine andere Gruppe von Menschen zweifelt.</w:t>
      </w:r>
    </w:p>
  </w:footnote>
  <w:footnote w:id="1160">
    <w:p>
      <w:pPr>
        <w:pStyle w:val="Funote"/>
        <w:rPr/>
      </w:pPr>
      <w:r>
        <w:rPr/>
        <w:footnoteRef/>
        <w:tab/>
        <w:t>Partizip Präsens aktiv</w:t>
      </w:r>
    </w:p>
  </w:footnote>
  <w:footnote w:id="1161">
    <w:p>
      <w:pPr>
        <w:pStyle w:val="Funote"/>
        <w:rPr/>
      </w:pPr>
      <w:r>
        <w:rPr/>
        <w:footnoteRef/>
        <w:tab/>
        <w:t>Passivum divinum</w:t>
      </w:r>
    </w:p>
  </w:footnote>
  <w:footnote w:id="1162">
    <w:p>
      <w:pPr>
        <w:pStyle w:val="Funote"/>
        <w:rPr/>
      </w:pPr>
      <w:r>
        <w:rPr/>
        <w:footnoteRef/>
        <w:tab/>
        <w:t>Der bestimmte Artikel fehlt in vielen wichtigen Handschriften.</w:t>
      </w:r>
    </w:p>
  </w:footnote>
  <w:footnote w:id="1163">
    <w:p>
      <w:pPr>
        <w:pStyle w:val="Funote"/>
        <w:rPr/>
      </w:pPr>
      <w:r>
        <w:rPr/>
        <w:footnoteRef/>
        <w:tab/>
        <w:t>Partizip Präsens aktiv</w:t>
      </w:r>
    </w:p>
  </w:footnote>
  <w:footnote w:id="1164">
    <w:p>
      <w:pPr>
        <w:pStyle w:val="Funote"/>
        <w:rPr/>
      </w:pPr>
      <w:r>
        <w:rPr/>
        <w:footnoteRef/>
        <w:tab/>
        <w:t>[Status: Sehr gut]</w:t>
      </w:r>
    </w:p>
  </w:footnote>
  <w:footnote w:id="1165">
    <w:p>
      <w:pPr>
        <w:pStyle w:val="Funote"/>
        <w:rPr/>
      </w:pPr>
      <w:r>
        <w:rPr/>
        <w:footnoteRef/>
        <w:tab/>
        <w:t xml:space="preserve">Evangelium (Gr. </w:t>
      </w:r>
      <w:r>
        <w:rPr>
          <w:lang w:val="el-GR"/>
        </w:rPr>
        <w:t>εὐαγγέλιον</w:t>
      </w:r>
      <w:r>
        <w:rPr/>
        <w:t xml:space="preserve">) bedeutet etwa „(gute) Neuigkeit“. Hier steht es noch nicht als literarische Bezeichnung, sondern für die christliche Heilsbotschaft von Jesus. Der Begriff Evangelium kommt nicht aus dem Alten Testament, wo allerdings schon von Boten die Rede ist, die eine gute Nachricht von Gottes Eintreffen und Eingreifen bringen (beispielsweise in Jes 40,9; 52,7; 61,1). Wahrscheinlich gebraucht Markus ihn bewusst im direkten Kontext der in V. 2-3 folgenden Zitate, wo Johannes als der überbringende Bote und Jesus gewissermaßen als Inhalt der Botschaft dargestellt wird. Zur Zeit des Neuen Testaments bedeutete jegliche Nachricht vom oder über den Kaiser ein Evangelium. In der Ideologie des römischen Kaiserkults galt der Kaiser als übermenschlich, weshalb seine Verlautbarungen gute Nachrichten sein mussten, die Freude auslösten und Glück und Heil brachten. Auch Nachrichten von der Geburt oder Thronbesteigung des Kaisers waren Evangelium. Im Neuen Testament bezeichnet der Begriff im Kontrast dazu die frohe Botschaft über die angebrochene Herrschaft des einen Königs (Friedrich, </w:t>
      </w:r>
      <w:r>
        <w:rPr>
          <w:lang w:val="el-GR"/>
        </w:rPr>
        <w:t>εὐαγγελίζομαι, εὐαγγέλιον, προευαγγελίζομαι, εὐαγγελιστής</w:t>
      </w:r>
      <w:r>
        <w:rPr/>
        <w:t>, in: TDNT, 707-37; France 2002, 52f.). Allerdings ist unklar, wie groß der Einfluss des Kaiserkults (und damit diese bewusste Parallele) auf die Prägung des christlichen Begriffs war. Evangelium könnte einfach von den ersten christlichen Predigern als Bezeichnung für die Botschaft der Kirche benutzt worden sein (Guelich 1989, 13f.). Evangelium von Jesus Christus Im Griechischen steht hier ein Genitiv, den man sowohl objektiv (ein Evangelium über Jesus, das von Jesus handelt) oder subjektiv (ein Evangelium von Jesus, also eines, das von Jesus stammt oder von ihm verkündet wird) verstehen kann. Inhaltlich sind beide Deutungen nicht verkehrt (Jesus verkündet es selbst in V. 14-15). Markus meint aber wohl ein Evangelium, das Christus zum Inhalt hat, da Markus Begebenheiten über Jesus festhält (France 2002, 53). Die gewählte Übersetzung mit von lässt bewusst beide Deutungsmöglichkeiten offen. [Der] Anfang Der determinierende Artikel kann bei abstrakten oder eindeutigen Substantiven (Siebenthal 2011, §133a) fehlen, in der Übersetzung wurde er ergänzt. Jesus Christus, [dem] Sohn Gottes Hier zeigt der fehlende Artikel Förmlichkeit an, da er am Buchanfang und mit einem Gottestitel als Apposition steht (BDR §268.2).</w:t>
      </w:r>
    </w:p>
  </w:footnote>
  <w:footnote w:id="1166">
    <w:p>
      <w:pPr>
        <w:pStyle w:val="Funote"/>
        <w:rPr/>
      </w:pPr>
      <w:r>
        <w:rPr/>
        <w:footnoteRef/>
        <w:tab/>
        <w:t xml:space="preserve">Dass dem einleitenden Satz eines Buchs ein Verb fehlt, ist nicht ganz ungewöhnlich, wie der Vergleich mit Mt 1,1; Offb 1,1 sowie mehreren atl. Schriften zeigt. Ganz ähnlich beginnt auch Hos 1,2 LXX, doch erst nach der Überschrift („Anfang von JHWHs Botschaft an Hosea“, Gr. </w:t>
      </w:r>
      <w:r>
        <w:rPr>
          <w:lang w:val="el-GR"/>
        </w:rPr>
        <w:t>ἀρχὴ λόγου κυρίου πρὸς Ωσηε</w:t>
      </w:r>
      <w:r>
        <w:rPr/>
        <w:t>)(France 2002, 51). Jesus Christus, dem Sohn Gottes Der Zusatz „dem Sohn Gottes“ fehlt in einigen Handschriften und ist möglicherweise eine nachträgliche Einfügung. Wahrscheinlich gehören die beiden Wörter jedoch zum ursprünglichen Text. Wie diese Variante entstanden ist, lässt sich nicht sicher rekonstruieren. Viele Kommentare lassen die Frage daher offen oder tendieren eher zum kürzeren Text. Eine stemmatische Analyse hat jedoch ergeben, dass es der längere Text wahrscheinlich ursprünglich ist (Wasserman 2015).</w:t>
      </w:r>
    </w:p>
  </w:footnote>
  <w:footnote w:id="1167">
    <w:p>
      <w:pPr>
        <w:pStyle w:val="Funote"/>
        <w:rPr/>
      </w:pPr>
      <w:r>
        <w:rPr/>
        <w:footnoteRef/>
        <w:tab/>
        <w:t xml:space="preserve">Wie es ... heißt Diese Wendung verbindet V. 2-3 entweder mit V. 1 („Der Anfang..., wie es heißt“) oder mit V. 4 („Wie es heißt: ..., trat Johannes auf...“). Anderswo in der Bibel steht diese Zitatformel immer hinter der zu belegenden Aussage. Auch das gr. Wort für wie, </w:t>
      </w:r>
      <w:r>
        <w:rPr>
          <w:lang w:val="el-GR"/>
        </w:rPr>
        <w:t>καθώς</w:t>
      </w:r>
      <w:r>
        <w:rPr/>
        <w:t>, steht sonst nie am Anfang des Vergleichs (Guelich 1989, 7). Aber in diesem Fall bildet V. 1 einen elliptischen, überschriftartigen Einleitungssatz, der sich vom Rest abhebt. Das könnte der Grund für die Ausnahme sein. Es entspricht ganz Markus’ Stil, dass er nach der kurzen Einleitung rasch fortfährt, ohne noch einmal neu einzusetzen (France 2002, 51). des Propheten Jesaja – andere Handschriften: „den Propheten“ (Plural)</w:t>
      </w:r>
    </w:p>
  </w:footnote>
  <w:footnote w:id="1168">
    <w:p>
      <w:pPr>
        <w:pStyle w:val="Funote"/>
        <w:rPr/>
      </w:pPr>
      <w:r>
        <w:rPr/>
        <w:footnoteRef/>
        <w:tab/>
        <w:t xml:space="preserve">vor dir her Gr. </w:t>
      </w:r>
      <w:r>
        <w:rPr>
          <w:lang w:val="el-GR"/>
        </w:rPr>
        <w:t>πρὸ προσώπου σου</w:t>
      </w:r>
      <w:r>
        <w:rPr/>
        <w:t>, w. etwa »vor deiner Gegenwart« (traditionell häufig: »vor deinem Angesicht«). Dabei handelt es sich um einen Hebraismus, der das Gleiche heißt wie »vor (...her)« (NSS).</w:t>
      </w:r>
    </w:p>
  </w:footnote>
  <w:footnote w:id="1169">
    <w:p>
      <w:pPr>
        <w:pStyle w:val="Funote"/>
        <w:rPr/>
      </w:pPr>
      <w:r>
        <w:rPr/>
        <w:footnoteRef/>
        <w:tab/>
        <w:t>Stimme eines Rufenden in der Wüste Dass hier kein Verb steht, liegt daran, dass der griechische AT-Text sehr wörtlich aus dem Hebräischen übersetzt ist, wo solche gerafften, verblosen Formulierungen nicht ungewöhnlich sind.</w:t>
      </w:r>
    </w:p>
  </w:footnote>
  <w:footnote w:id="1170">
    <w:p>
      <w:pPr>
        <w:pStyle w:val="Funote"/>
        <w:rPr/>
      </w:pPr>
      <w:r>
        <w:rPr/>
        <w:footnoteRef/>
        <w:tab/>
        <w:t>Markus schreibt zwar in V. 2, dieses Zitat aus dem AT stamme von dem Propheten Jesaja. Genau genommen stammt aber nur das Kernstück des Zitats in V. 3 von Jesaja (Jes 40,3 LXX). V. 2b zitiert stattdessen eine thematisch verwandte Prophetie aus Mal 3,1. Jesaja greift in dem zitierten Abschnitt auf die Auszugsgeschichte zurück, wenn er einen ähnlich von Gott geführten Auszug aus dem Exil in Aussicht stellt, der von einem Boten (dem „Rufenden“) angekündigt wird. Gerade die ersten Verse von Jes 40 sind dabei eine Schlüsselstelle für die Hoffnungen der Juden auf die Wiederherstellung alter Größe. In der Wüste (am Sinai) liegen die Anfänge des alten Israel, und in der Wüste verorteten Jesu Zeitgenossen (beispielsweise die Qumran-Gemeinschaft) auch die Anfänge des neuen Israel. Markus mischt die Botschaft von Jesaja jedoch mit der von Maleachi (V. 2b). Dieser Prophet geht auf die Enttäuschung ein, die sich in Juda verbreitete, als sich Jesajas Prophetie nach dem Ende des babylonischen Exils nicht verwirklichte. Er findet die Schuld im fortgesetzten Ungehorsam des Volks, der den neuen Exodus verhindert. Dabei spielt wohl schon Mal 3,1 in seiner Ausdrucksweise auf den sehr ähnlich formulierten Vers Ex 23,20 an. Wie beim Auszug aus Ägypten ist auch nach dem Exil der Ungehorsam des Volkes dafür verantwortlich, dass JHWH nicht direkt heilbringend wirkt, sondern erst ein Bote sein Kommen ankündigen muss, damit das Volk Zeit zur Buße hat und so Gottes Gericht überleben kann. Markus hebt diesen Zusammenhang hervor, indem er in seinem sonst freien Zitat den Abschnitt „ich sende meinen Boten vor dir her“ aus Ex 23,20 LXX nimmt (Mal 3,1 LXX lautet: „Siehe, ich sende meinen Boten, und er wird vor mir den Weg überwachen, und plötzlich wird in seinen Tempel kommen der Herr, den ihr sucht, und der Engel des Bundes, den ihr wollt, ja/siehe, er kommt, spricht der Herr, der Allmächtige“). Markus sieht also den Zeitpunkt nun gekommen, an dem dieser Bote auftritt. Er identifiziert Johannes mit dem angekündigten Boten, der das Volk zur Umkehr bewegen soll. Jesus ist Gott, der in Mal 3,1 sein Kommen zum Gericht ankündigt hat. Seine Mission scheitert allerdings, was nach dem formalen Eintreffen Gottes in seinem Tempel zu Gericht führt (Mk 11). Am Ende wird Israel als Volk durch Gericht untergehen (Mk 13). Gott erfüllt seinen Plan stattdessen auf andere Weise (Mk 12,9-11), sodass die gute Nachricht von Gottes Kommen in Jesus (Mk 1,1) für die Erwählten, die auf Jesus und seinen Vorboten hören, tatsächlich eine gute ist (Watts 2007, 113-20; France 2002, 56ff.; Collins 2007, 135-38).</w:t>
      </w:r>
    </w:p>
  </w:footnote>
  <w:footnote w:id="1171">
    <w:p>
      <w:pPr>
        <w:pStyle w:val="Funote"/>
        <w:rPr/>
      </w:pPr>
      <w:r>
        <w:rPr/>
        <w:footnoteRef/>
        <w:tab/>
        <w:t xml:space="preserve">trat auf Gr. </w:t>
      </w:r>
      <w:r>
        <w:rPr>
          <w:lang w:val="el-GR"/>
        </w:rPr>
        <w:t>ἐγένετο</w:t>
      </w:r>
      <w:r>
        <w:rPr/>
        <w:t xml:space="preserve">, Grundform </w:t>
      </w:r>
      <w:r>
        <w:rPr>
          <w:lang w:val="el-GR"/>
        </w:rPr>
        <w:t>γίνομαι</w:t>
      </w:r>
      <w:r>
        <w:rPr/>
        <w:t>. Das Wort heißt eigentlich eher „werden/sein, entstehen“. Es funktioniert hier aber wie ein ähnliches hebräisches Verb; man kann es nur sinngemäß übersetzen. Als erstes Wort im Satz zeigt es einen Szenenwechsel an (France 2002, 64). Zudem verknüpft Markus damit das Wirken von Johannes dem Täufer direkt mit den zitierten Versen aus dem AT (Guelich 1989, 18). Ähnliche Stelle: Joh 1,6.</w:t>
      </w:r>
    </w:p>
  </w:footnote>
  <w:footnote w:id="1172">
    <w:p>
      <w:pPr>
        <w:pStyle w:val="Funote"/>
        <w:rPr/>
      </w:pPr>
      <w:r>
        <w:rPr/>
        <w:footnoteRef/>
        <w:tab/>
        <w:t>Johannes der Täufer und Johannes, der in der Wüste taufte: Es gibt an dieser Stelle leicht verschiedene Lesarten in den Handschriften.</w:t>
      </w:r>
    </w:p>
  </w:footnote>
  <w:footnote w:id="1173">
    <w:p>
      <w:pPr>
        <w:pStyle w:val="Funote"/>
        <w:rPr/>
      </w:pPr>
      <w:r>
        <w:rPr/>
        <w:footnoteRef/>
        <w:tab/>
        <w:t>Taufe der Umkehr Der Genitiv zeigt hier die Beschaffenheit der Taufe an (Gen. qualitätis): Die Taufe beinhaltete offensichtlich eine Umkehr. Bei Johannes gehörte beides zusammen, und die Taufe bedeutete offenbar die Anerkennung einer echten Umkehr (Guelich 1989, 19f.).</w:t>
      </w:r>
    </w:p>
  </w:footnote>
  <w:footnote w:id="1174">
    <w:p>
      <w:pPr>
        <w:pStyle w:val="Funote"/>
        <w:rPr/>
      </w:pPr>
      <w:r>
        <w:rPr/>
        <w:footnoteRef/>
        <w:tab/>
        <w:t>das gesamte judäische Gebiet Hier sind zwei Stilmittel verflochten. Das judäische Gebiet steht für dessen Bewohner (Metonymie des Subjekts). Und dass es alle waren, ist natürlich eine Übertreibung (Hyperbel).</w:t>
      </w:r>
    </w:p>
  </w:footnote>
  <w:footnote w:id="1175">
    <w:p>
      <w:pPr>
        <w:pStyle w:val="Funote"/>
        <w:rPr/>
      </w:pPr>
      <w:r>
        <w:rPr/>
        <w:footnoteRef/>
        <w:tab/>
        <w:t>begaben sich hinaus Im Griechischen im Sg., als Prädikat zur „gesamten judäischen Region“.</w:t>
      </w:r>
    </w:p>
  </w:footnote>
  <w:footnote w:id="1176">
    <w:p>
      <w:pPr>
        <w:pStyle w:val="Funote"/>
        <w:rPr/>
      </w:pPr>
      <w:r>
        <w:rPr/>
        <w:footnoteRef/>
        <w:tab/>
        <w:t>Die beiden Imperfekte begaben sich hinaus und ließen sich taufen bringen in V. 5 zum Ausdruck, dass Johannes über einen längeren Zeitraum hinweg Menschenmengen anzog.</w:t>
      </w:r>
    </w:p>
  </w:footnote>
  <w:footnote w:id="1177">
    <w:p>
      <w:pPr>
        <w:pStyle w:val="Funote"/>
        <w:rPr/>
      </w:pPr>
      <w:r>
        <w:rPr/>
        <w:footnoteRef/>
        <w:tab/>
        <w:t>wobei sie bekannten Ptz. coni., als modaler Nebensatz mit „wobei“ aufgelöst. Aus der Formulierung lässt sich allerdings nicht schlüssig ableiten, in welcher Weise das Bekenntnis geschah oder dass es unmittelbar während der Taufe stattfand. Wie Johannes’ Taufe vor sich ging, ist nicht überliefert. Die benutzten Formulierungen und zeitgenössische Beispiele lassen jedoch darauf schließen, dass die Täuflinge ganz unter Wasser getaucht wurden oder tauchten. Eine Eigenart von Johannes ist, dass er bei der Taufe eine sehr aktive Rolle einzunehmen scheint, wogegen bei vergleichbaren Ritualbädern der Täufling sich selbst untertauchte (France 2002, 68; Collins 2007, 142).</w:t>
      </w:r>
    </w:p>
  </w:footnote>
  <w:footnote w:id="1178">
    <w:p>
      <w:pPr>
        <w:pStyle w:val="Funote"/>
        <w:rPr/>
      </w:pPr>
      <w:r>
        <w:rPr/>
        <w:footnoteRef/>
        <w:tab/>
        <w:t>Kamelhaar und Ledergürtel, w. „Haare [des] Kamels“ bzw. „ledernen Gürtel“. Durch seine Kleidung gibt sich Johannes als Prophet (Sach 13,4 LXX) und der wiedergekehrte Elia zu erkennen (2Kö 1,8 LXX).</w:t>
      </w:r>
    </w:p>
  </w:footnote>
  <w:footnote w:id="1179">
    <w:p>
      <w:pPr>
        <w:pStyle w:val="Funote"/>
        <w:rPr/>
      </w:pPr>
      <w:r>
        <w:rPr/>
        <w:footnoteRef/>
        <w:tab/>
        <w:t xml:space="preserve">pflegte ... zu tragen … zu essen Die periphrastische („umschreibende“) Formulierung </w:t>
      </w:r>
      <w:r>
        <w:rPr>
          <w:lang w:val="el-GR"/>
        </w:rPr>
        <w:t>ἦν ... ἐνδεδυμένος ... ἐσθίων</w:t>
      </w:r>
      <w:r>
        <w:rPr/>
        <w:t xml:space="preserve"> umschreibt hier wohl nicht nur das Plusquamperfekt Passiv und Imperfekt (NSS), sondern drückt auch eine Gewohnheit aus (Guelich 1989, 16). Unsere Übersetzung verdeutlicht das. Andere Übersetzer benutzen den Indikativ, der diese Konnotation nicht so deutlich vermittelt: „trug … aß“. tragen Das Wort </w:t>
      </w:r>
      <w:r>
        <w:rPr>
          <w:lang w:val="el-GR"/>
        </w:rPr>
        <w:t>ἐνδύω</w:t>
      </w:r>
      <w:r>
        <w:rPr/>
        <w:t xml:space="preserve"> heißt aktiv „kleiden“, medial „sich ankleiden“. Der Perfekt-Aspekt drückt im Griechischen den Zustand nach der vollzogenen Handlung aus, also heißt das Perfekt Medium „angekleidet sein“ → „(Kleidung) tragen“.</w:t>
      </w:r>
    </w:p>
  </w:footnote>
  <w:footnote w:id="1180">
    <w:p>
      <w:pPr>
        <w:pStyle w:val="Funote"/>
        <w:rPr/>
      </w:pPr>
      <w:r>
        <w:rPr/>
        <w:footnoteRef/>
        <w:tab/>
        <w:t>predigte Das Imperfekt zeigt an, dass dies über einen längeren Zeitraum hinweg (bzw. immer wieder) geschah. Was Johannes hier predigt, ist also die Essenz seiner Botschaft zu Jesus. Er wird sie mehrmals oder zu einer besonderen Gelegenheit vorgetragen haben. Joh 1,27-28 ist ganz ähnlich: Dort spricht Johannes der Täufer von Jesus, weil Abgesandte der religiösen Führung in Jerusalem ihn in V. 19 gefragt haben, ob er selbst der Messias sei.</w:t>
      </w:r>
    </w:p>
  </w:footnote>
  <w:footnote w:id="1181">
    <w:p>
      <w:pPr>
        <w:pStyle w:val="Funote"/>
        <w:rPr/>
      </w:pPr>
      <w:r>
        <w:rPr/>
        <w:footnoteRef/>
        <w:tab/>
        <w:t xml:space="preserve">[einer], der mächtiger [ist] als ich Gr. </w:t>
      </w:r>
      <w:r>
        <w:rPr>
          <w:lang w:val="el-GR"/>
        </w:rPr>
        <w:t>ὁ ἰσχυρότερός μου</w:t>
      </w:r>
      <w:r>
        <w:rPr/>
        <w:t>, W. »der Mächtigere als ich«.</w:t>
      </w:r>
    </w:p>
  </w:footnote>
  <w:footnote w:id="1182">
    <w:p>
      <w:pPr>
        <w:pStyle w:val="Funote"/>
        <w:rPr/>
      </w:pPr>
      <w:r>
        <w:rPr/>
        <w:footnoteRef/>
        <w:tab/>
        <w:t>mich zu bücken und Adverbiales Partizip Aorist aktiv, hier einmal gleichzeitig übersetzt (modal; vgl. NSS). In der Klammer ist das griechische mit dem deutschen Partizip 2 übersetzt.</w:t>
      </w:r>
    </w:p>
  </w:footnote>
  <w:footnote w:id="1183">
    <w:p>
      <w:pPr>
        <w:pStyle w:val="Funote"/>
        <w:rPr/>
      </w:pPr>
      <w:r>
        <w:rPr/>
        <w:footnoteRef/>
        <w:tab/>
        <w:t>ihm Eigentlich ein Relativpronomen (»dem«), das den Satz vom vorigen abhängig macht: »dem ich nicht würdig bin...«</w:t>
      </w:r>
    </w:p>
  </w:footnote>
  <w:footnote w:id="1184">
    <w:p>
      <w:pPr>
        <w:pStyle w:val="Funote"/>
        <w:rPr/>
      </w:pPr>
      <w:r>
        <w:rPr/>
        <w:footnoteRef/>
        <w:tab/>
        <w:t>Und {es geschah} Pleonastische (d.h. eigentlich funktionslose) Formulierung, die entweder hebräischem Erzählstil entspricht (Guelich 1989, 29f.; France 2002, 75) oder möglicherweise einfach griechischen Erzählkonventionen folgt (NSS). Auf Deutsch lässt sich dieses „zweite Prädikat“ schwer wiedergeben, ohne Verwirrung zu stiften. Luther versucht es dennoch (ähnlich Menge, Zür): „Und es begab sich zu der Zeit, dass...“</w:t>
      </w:r>
    </w:p>
  </w:footnote>
  <w:footnote w:id="1185">
    <w:p>
      <w:pPr>
        <w:pStyle w:val="Funote"/>
        <w:rPr/>
      </w:pPr>
      <w:r>
        <w:rPr/>
        <w:footnoteRef/>
        <w:tab/>
        <w:t>von (aus) Nazaret Guelich vermutet, die Ortsangabe beziehe sich auf den Ursprungsort von Jesu Reise („aus Nazaret“) und sei hier nicht als Beiname („von Nazaret“) zu verstehen. Im letzteren Fall wäre die Verortung von Nazaret in Galiläa nicht nötig (1989, 31). Das ist zwar denkbar, aber die Identifikation Jesu mit seinem genauen Herkunftsort (in „Jesus von Nazaret“ wie ein Nachname gebraucht) passt dazu, wie Markus schon in in V. 4 den Täufer mit Beinamen eingeführt hat. [in] Galiläa Genitivus partitivus, also ein Genitiv, der besagt, dass Nazaret in Galiläa liegt. Johannes wirkte in Judäa und erreichte vornehmlich deren Bewohner (V. 5). Als Galiläer ist Jesus aus der Provinz am See Genezaret nach Süden zu Johannes gereist. Zwischen den Bewohnern der beiden räumlich getrennten Provinzen herrschte Misstrauen vor. Gerade in religiöser Hinsicht hatten die Judäer gegenüber den Galiläern Vorbehalte (Joh 1,46) und taten sich schwer, einen galiläischen Propheten zu akzeptieren. Umso merkwürdiger, dass hier einer aus Galiläa zu Johannes kommt und sich taufen lässt (der Vers ist genau gleich aufgebaut wie V. 5!), und ausgerechnet diesen Galiläer identifiziert Johannes nun als den Stärkeren, der nach ihm kommen soll! Diese Abneigung zwischen den beiden Regionen ist im Markusevangelium immer wieder unterschwellig zu spüren, das Jesu Wirken nur in Galiläa beschreibt. Jerusalem in Judäa ist der Einflussbereich von Jesu Widersachern und der Ort, an dem sie ihm schließlich das Handwerk legen konnten (France 2002, 75f.).</w:t>
      </w:r>
    </w:p>
  </w:footnote>
  <w:footnote w:id="1186">
    <w:p>
      <w:pPr>
        <w:pStyle w:val="Funote"/>
        <w:rPr/>
      </w:pPr>
      <w:r>
        <w:rPr/>
        <w:footnoteRef/>
        <w:tab/>
        <w:t>als … stieg Partizip Präsens aktiv (temporal übersetztes Ptz. conj.).</w:t>
      </w:r>
    </w:p>
  </w:footnote>
  <w:footnote w:id="1187">
    <w:p>
      <w:pPr>
        <w:pStyle w:val="Funote"/>
        <w:rPr/>
      </w:pPr>
      <w:r>
        <w:rPr/>
        <w:footnoteRef/>
        <w:tab/>
        <w:t>Gr. im Pl. „die Himmel“</w:t>
      </w:r>
    </w:p>
  </w:footnote>
  <w:footnote w:id="1188">
    <w:p>
      <w:pPr>
        <w:pStyle w:val="Funote"/>
        <w:rPr/>
      </w:pPr>
      <w:r>
        <w:rPr/>
        <w:footnoteRef/>
        <w:tab/>
        <w:t xml:space="preserve">sah er, wie … geöffnet wurde Die meisten Bibeln übersetzen das Passiv aus stilistischen Gründen reflexiv („öffnete sich“). </w:t>
      </w:r>
      <w:r>
        <w:rPr>
          <w:lang w:val="el-GR"/>
        </w:rPr>
        <w:t>Σχίζω</w:t>
      </w:r>
      <w:r>
        <w:rPr/>
        <w:t xml:space="preserve"> „teilen, spalten“ ist in diesem Zusammenhang ein sehr ungewöhnliches Wort (Collins 2007, 148). Verbreiteter war in vergleichbaren Beschreibungen (wenn der Himmel sich in übernatürlicher Weise öffnet, so wie in den Parallelstellen Lk 3,21; Mt 3,16, aber auch Eze 1,1; Joh 1,51; Apg 7,56; 10,11; Offb 4,1; 19,11) das Wort </w:t>
      </w:r>
      <w:r>
        <w:rPr>
          <w:lang w:val="el-GR"/>
        </w:rPr>
        <w:t>ἀνοίγω</w:t>
      </w:r>
      <w:r>
        <w:rPr/>
        <w:t xml:space="preserve"> „öffnen“. Vielleicht spielt Markus auf Jes 63,19 oder das Reißen des Tempelvorhangs in Mk 15,38 an (France 2002, 77).</w:t>
      </w:r>
    </w:p>
  </w:footnote>
  <w:footnote w:id="1189">
    <w:p>
      <w:pPr>
        <w:pStyle w:val="Funote"/>
        <w:rPr/>
      </w:pPr>
      <w:r>
        <w:rPr/>
        <w:footnoteRef/>
        <w:tab/>
        <w:t xml:space="preserve">in ihn (zu ihm; auf ihn) Die korrekte Übersetzung hängt von mehreren Faktoren ab. Zunächst handelt es sich um eine textkritische Frage. Weiter ist zu klären, wie (und vor welchem kulturellen Hintergrund) man sich das Herabkommen des Geistes in Taubengestalt vorstellen sollte. Zur Textkritik: Alle modernen Textkritiker und die herangezogenen Kommentatoren halten die Lesart </w:t>
      </w:r>
      <w:r>
        <w:rPr>
          <w:lang w:val="el-GR"/>
        </w:rPr>
        <w:t>εἰς αὐτόν</w:t>
      </w:r>
      <w:r>
        <w:rPr/>
        <w:t xml:space="preserve"> „zu ihm/in ihn hinein“ für ursprünglich. Die Alternative </w:t>
      </w:r>
      <w:r>
        <w:rPr>
          <w:lang w:val="el-GR"/>
        </w:rPr>
        <w:t>ἐπʼ αὐτόν</w:t>
      </w:r>
      <w:r>
        <w:rPr/>
        <w:t xml:space="preserve"> „auf ihn“ ist zwar viel breiter bezeugt, aber fast sicher eine (bewusste oder unbewusste) Angleichung an die sehr ähnlich formulierten Parallelberichte in den anderen Evangelien (Mt 3,16; Lk 3,22; Joh 1,32) oder Jes 42,1/61,1 LXX. Die Frage ist nun, ob </w:t>
      </w:r>
      <w:r>
        <w:rPr>
          <w:lang w:val="el-GR"/>
        </w:rPr>
        <w:t>εἰς αὐτόν</w:t>
      </w:r>
      <w:r>
        <w:rPr/>
        <w:t xml:space="preserve"> signalisieren soll, dass der Geist in Jesus hineinfuhr oder nur zu ihm kam. Einige Exegeten meinen, </w:t>
      </w:r>
      <w:r>
        <w:rPr>
          <w:lang w:val="el-GR"/>
        </w:rPr>
        <w:t>εἰς</w:t>
      </w:r>
      <w:r>
        <w:rPr/>
        <w:t xml:space="preserve"> signalisiere lediglich eine Bewegung „zu“ Jesus, nicht „in ihn hinein“. Andere vertreten die Position, dass die Bedeutung „auf“ oder „zu“ für Markus und das ganze NT unüblich wäre (so z.B. Dixon 2009, 771f). Diesem Argument folgen wir mit unserer Übersetzung. Dixon stellt weiter deutliche Parallelen vom Vergleich des Geists mit einer Taube zur damals weithin bekannten Ilias Homers (bspw. an der Stelle 15.237–38) und anderen griechischen Göttersagen her. Darin reisen Götter in der Gestalt von Vögeln (auch vom Olymp herab) und nehmen auch menschliche Gestalt an. Er schlägt vor, dass in griechischer Literatur gebildete Leser in Jesus gerade in dieser Szene deutliche Parallelen gesehen und Jesus als Gott in menschlicher Gestalt verstanden hätten (vgl. Collins 2007, 149).</w:t>
      </w:r>
    </w:p>
  </w:footnote>
  <w:footnote w:id="1190">
    <w:p>
      <w:pPr>
        <w:pStyle w:val="Funote"/>
        <w:rPr/>
      </w:pPr>
      <w:r>
        <w:rPr/>
        <w:footnoteRef/>
        <w:tab/>
        <w:t>kam (geschah) W. geschah Wieder drückt sich Markus sehr semitisch aus. Im Deutschen ist wieder eine sinngemäße Formulierung nötig. Textkritik: Andere Handschriften lesen „Und eine Stimme wurde gehört“ oder „Und eine Stimme“.</w:t>
      </w:r>
    </w:p>
  </w:footnote>
  <w:footnote w:id="1191">
    <w:p>
      <w:pPr>
        <w:pStyle w:val="Funote"/>
        <w:rPr/>
      </w:pPr>
      <w:r>
        <w:rPr/>
        <w:footnoteRef/>
        <w:tab/>
        <w:t>dem Himmel Gr. Pl. „den Himmeln“</w:t>
      </w:r>
    </w:p>
  </w:footnote>
  <w:footnote w:id="1192">
    <w:p>
      <w:pPr>
        <w:pStyle w:val="Funote"/>
        <w:rPr/>
      </w:pPr>
      <w:r>
        <w:rPr/>
        <w:footnoteRef/>
        <w:tab/>
        <w:t>habe ich Freude (Gefallen gefunden) Hier vielleicht auch mit der Bedeutung »auf dich bin ich stolz«. Das Verb steht hier zwar im Aorist, Markus gebraucht es aber wohl zeitlos wie das hebräische gnomische Perfekt (NSS). Vermutlich lässt die Aussage atl. Texte wie Ps 2,7 und Jes 42,1 anklingen. Markus würde Jesus in diesem Fall unterschwellig sowohl mit dem erwählten König Israels aus Psalms 2 als auch mit dem erwählten Knecht des Propheten aus Jesaja identifizieren (Guelich 1989, 33). Der Text ähnelt am meisten dem Wortlaut von Gen 22,2 LXX, wo von Abrahams Sohn Isaak die Rede ist (France 2002, 80).</w:t>
      </w:r>
    </w:p>
  </w:footnote>
  <w:footnote w:id="1193">
    <w:p>
      <w:pPr>
        <w:pStyle w:val="Funote"/>
        <w:rPr/>
      </w:pPr>
      <w:r>
        <w:rPr/>
        <w:footnoteRef/>
        <w:tab/>
        <w:t xml:space="preserve">brachte oder trieb An anderen Stellen wird das Wort </w:t>
      </w:r>
      <w:r>
        <w:rPr>
          <w:lang w:val="el-GR"/>
        </w:rPr>
        <w:t>ἐκβάλλω</w:t>
      </w:r>
      <w:r>
        <w:rPr/>
        <w:t xml:space="preserve"> für Dämonenaustreibungen (z.B. Mk 6,13) oder das Hinauswerfen oder Vertreiben von unwillkommenen Anwesenden benutzt (z.B. Mk 12,8). Andere übersetzen es daher auch hier mit trieb, aber aus dem Kontext geht nicht hervor, dass Jesus dagegen war oder keine Kontrolle hatte (LN 15.174, vgl. Joh 10,4; Jak 2,25; auch Mt 9,38; 15,17; s.a. NIV). </w:t>
      </w:r>
      <w:r>
        <w:rPr>
          <w:lang w:val="el-GR"/>
        </w:rPr>
        <w:t>ἐκβάλλω</w:t>
      </w:r>
      <w:r>
        <w:rPr/>
        <w:t xml:space="preserve"> ist jedenfalls kräftiger als Lukas’ </w:t>
      </w:r>
      <w:r>
        <w:rPr>
          <w:lang w:val="el-GR"/>
        </w:rPr>
        <w:t>ἄγω</w:t>
      </w:r>
      <w:r>
        <w:rPr/>
        <w:t xml:space="preserve"> oder Matthäus’ </w:t>
      </w:r>
      <w:r>
        <w:rPr>
          <w:lang w:val="el-GR"/>
        </w:rPr>
        <w:t>ἀνάγω</w:t>
      </w:r>
      <w:r>
        <w:rPr/>
        <w:t xml:space="preserve"> (beide „führen“).</w:t>
      </w:r>
    </w:p>
  </w:footnote>
  <w:footnote w:id="1194">
    <w:p>
      <w:pPr>
        <w:pStyle w:val="Funote"/>
        <w:rPr/>
      </w:pPr>
      <w:r>
        <w:rPr/>
        <w:footnoteRef/>
        <w:tab/>
        <w:t>und (während/wobei) wurde auf die Probe gestellt Ptz. coni., temporal-modal, als Nebensatz aufgelöst.</w:t>
      </w:r>
    </w:p>
  </w:footnote>
  <w:footnote w:id="1195">
    <w:p>
      <w:pPr>
        <w:pStyle w:val="Funote"/>
        <w:rPr/>
      </w:pPr>
      <w:r>
        <w:rPr/>
        <w:footnoteRef/>
        <w:tab/>
        <w:t>verhaftet W. „ausgeliefert/übergeben“, was aber schlecht in den Kontext passt. Die Evangelien benutzen das Wort in verschiedenen Fällen für Jesu Verrat, Festnahme und Übergabe an die Autoritäten sowie zur Kreuzigung (zum ersten Mal in Mk 3,19). Markus wählt es hier vielleicht absichtlich, um Parallelen zu Jesu späterem Ergehen herzustellen (9:31; 10:33; 14:21, 41).</w:t>
      </w:r>
    </w:p>
  </w:footnote>
  <w:footnote w:id="1196">
    <w:p>
      <w:pPr>
        <w:pStyle w:val="Funote"/>
        <w:rPr/>
      </w:pPr>
      <w:r>
        <w:rPr/>
        <w:footnoteRef/>
        <w:tab/>
        <w:t>verkündete Temporal-modales Ptz. conj. (Partizip Präsens aktiv), durch Beiordnung mit „und“ übersetzt.</w:t>
      </w:r>
    </w:p>
  </w:footnote>
  <w:footnote w:id="1197">
    <w:p>
      <w:pPr>
        <w:pStyle w:val="Funote"/>
        <w:rPr/>
      </w:pPr>
      <w:r>
        <w:rPr/>
        <w:footnoteRef/>
        <w:tab/>
        <w:t>Evangelium Gottes Wie in Mk 1,1 (s. die Fußnote dort) ist hier nicht klar zu trennen, ob das Evangelium von Gott initiiert ist oder von Gott handelt. Da der Kontext keine Hinweis zum Verständnis gibt, sind beide Möglichkeiten nicht auszuschließen (vgl. France 2002, 91). Textkritik: Andere Handschriften lesen „Evangelium von der Gottesherrschaft/vom Gottesreich“</w:t>
      </w:r>
    </w:p>
  </w:footnote>
  <w:footnote w:id="1198">
    <w:p>
      <w:pPr>
        <w:pStyle w:val="Funote"/>
        <w:rPr/>
      </w:pPr>
      <w:r>
        <w:rPr/>
        <w:footnoteRef/>
        <w:tab/>
        <w:t>sagte Temporal-modales Ptz. conj. (Partizip Präsens aktiv), das durch und mit dem Partizip predigte aus dem letzten Vers verbunden ist und auch so aufgelöst wurde. Die Konstruktion weist die folgende direkte Rede als die Kernbotschaft von Jesu Verkündigung aus.</w:t>
      </w:r>
    </w:p>
  </w:footnote>
  <w:footnote w:id="1199">
    <w:p>
      <w:pPr>
        <w:pStyle w:val="Funote"/>
        <w:rPr/>
      </w:pPr>
      <w:r>
        <w:rPr/>
        <w:footnoteRef/>
        <w:tab/>
        <w:t xml:space="preserve">Die Zeit ist eingetreten (gekommen, erfüllt) Gemeint ist eine heilsgeschichtliche Erfüllung, also dass ein ganz bestimmter Zeitpunkt eingetreten ist (Guelich 1989, 43; vgl. Delling, </w:t>
      </w:r>
      <w:r>
        <w:rPr>
          <w:lang w:val="el-GR"/>
        </w:rPr>
        <w:t>πληρόω</w:t>
      </w:r>
      <w:r>
        <w:rPr/>
        <w:t>, 294f.). Vgl. GNB »Es ist so weit«, NLB, HfA »Jetzt ist die Zeit gekommen« (ebenso NIV). Bei den beiden Verben eingetreten und nahegekommen handelt es sich um Perfekte. Das Perfekt betont den gegenwärtigen Zustand, man könnte betonen: »Die Zeit ist da, Gottes Herrschaft ist nahe.« Die beiden Aussagen stehen parallel zueinander und erhellen einander.</w:t>
      </w:r>
    </w:p>
  </w:footnote>
  <w:footnote w:id="1200">
    <w:p>
      <w:pPr>
        <w:pStyle w:val="Funote"/>
        <w:rPr/>
      </w:pPr>
      <w:r>
        <w:rPr/>
        <w:footnoteRef/>
        <w:tab/>
        <w:t>Zu ergänzen</w:t>
      </w:r>
    </w:p>
  </w:footnote>
  <w:footnote w:id="1201">
    <w:p>
      <w:pPr>
        <w:pStyle w:val="Funote"/>
        <w:rPr/>
      </w:pPr>
      <w:r>
        <w:rPr/>
        <w:footnoteRef/>
        <w:tab/>
        <w:t>während … entlangging Ptz. conj. mit temporaler Sinnrichtung (Partizip Präsens aktiv), als Nebensatz mit während übersetzt (ebenfalls möglich: „als, gerade“).</w:t>
      </w:r>
    </w:p>
  </w:footnote>
  <w:footnote w:id="1202">
    <w:p>
      <w:pPr>
        <w:pStyle w:val="Funote"/>
        <w:rPr/>
      </w:pPr>
      <w:r>
        <w:rPr/>
        <w:footnoteRef/>
        <w:tab/>
        <w:t xml:space="preserve">Wurfnetze (ein Wurfnetz) werfen Das Verb spricht nur von der Tätigkeit, führt aber nicht aus, ob es sich um ein oder mehrere Netze handelt. Es wird auch nicht klar, ob die beiden von einem Boot aus oder zu Fuß im flachen Wasser fischten (allerdings wird in V. 19 ein Boot erwähnt). Damals gebräuchliche Wurfnetze waren rund und am Rand beschwert. Man warf sie nach Fischschwärmen (Guelich 1989, 50). Schöner wäre vielleicht die Übersetzung „mit Wurfnetzen fischen“, aber die Lokalangabe ins Meer erfordert ein Objekt. ins Meer Gr. </w:t>
      </w:r>
      <w:r>
        <w:rPr>
          <w:lang w:val="el-GR"/>
        </w:rPr>
        <w:t>ἐν τῇ θαλάσσῃ</w:t>
      </w:r>
      <w:r>
        <w:rPr/>
        <w:t xml:space="preserve"> w. also „im Meer“. Nach Guelich 1989, 49 schreibt Markus hier in hellenistischem Dialekt, in dem die Präpositionen </w:t>
      </w:r>
      <w:r>
        <w:rPr>
          <w:lang w:val="el-GR"/>
        </w:rPr>
        <w:t>ἐν</w:t>
      </w:r>
      <w:r>
        <w:rPr/>
        <w:t xml:space="preserve"> „in“ (wie darin) und </w:t>
      </w:r>
      <w:r>
        <w:rPr>
          <w:lang w:val="el-GR"/>
        </w:rPr>
        <w:t>εἰς</w:t>
      </w:r>
      <w:r>
        <w:rPr/>
        <w:t xml:space="preserve"> „in (hinein)/zu (hin)“ austauschbar benutzt wurden.</w:t>
      </w:r>
    </w:p>
  </w:footnote>
  <w:footnote w:id="1203">
    <w:p>
      <w:pPr>
        <w:pStyle w:val="Funote"/>
        <w:rPr/>
      </w:pPr>
      <w:r>
        <w:rPr/>
        <w:footnoteRef/>
        <w:tab/>
        <w:t xml:space="preserve">W. ein AcI, der sich übersetzen lässt als „dann werde ich machen, dass ihr Fischer [der] Menschen werdet“. Da die griechische Konstruktion kompliziert ist und sich ohnehin nicht direkt übersetzen lässt, haben wir die Übersetzung etwas vereinfacht. Daher wurde (wie in allen deutschen Übersetzungen) </w:t>
      </w:r>
      <w:r>
        <w:rPr>
          <w:lang w:val="el-GR"/>
        </w:rPr>
        <w:t>γενέσθαι</w:t>
      </w:r>
      <w:r>
        <w:rPr/>
        <w:t xml:space="preserve"> „werden“ nicht übersetzt.</w:t>
      </w:r>
    </w:p>
  </w:footnote>
  <w:footnote w:id="1204">
    <w:p>
      <w:pPr>
        <w:pStyle w:val="Funote"/>
        <w:rPr/>
      </w:pPr>
      <w:r>
        <w:rPr/>
        <w:footnoteRef/>
        <w:tab/>
        <w:t>ließen sie ... und Temporal-modales Ptc. coni., mit „und“ beigeordnet.</w:t>
      </w:r>
    </w:p>
  </w:footnote>
  <w:footnote w:id="1205">
    <w:p>
      <w:pPr>
        <w:pStyle w:val="Funote"/>
        <w:rPr/>
      </w:pPr>
      <w:r>
        <w:rPr/>
        <w:footnoteRef/>
        <w:tab/>
        <w:t>nachdem er weitergegangen war Ptc. coni. (Partizip Aorist aktiv), temporal als Nebensatz mit nachdem übersetzt.</w:t>
      </w:r>
    </w:p>
  </w:footnote>
  <w:footnote w:id="1206">
    <w:p>
      <w:pPr>
        <w:pStyle w:val="Funote"/>
        <w:rPr/>
      </w:pPr>
      <w:r>
        <w:rPr/>
        <w:footnoteRef/>
        <w:tab/>
        <w:t>sah er …. Auch sie Oder: „sah er, wie auch Jakobus und Johannes im Boot ihre Netze in Ordnung brachten“, was aber irreführend formuliert ist. Es handelt sich wie schon in V. 16 um einen AcP, der ähnlich formuliert ist wie dort. Die Ergänzung von [saßen] und [und] war notwendig, damit der Leser auch sie richtig versteht. Alles, was Markus als Gemeinsamkeit zwischen der ersten und der zweiten Gruppe Fischer ausmacht, ist, dass sich beide im Boot befanden (France 2002, 98). In Ordnung bringen wird häufig mit „ausbessern“ wiedergegeben, könnte aber auch einfach „vorbereiten“ oder „zusammenlegen“ bedeuten (Guelich 1989, 52).</w:t>
      </w:r>
    </w:p>
  </w:footnote>
  <w:footnote w:id="1207">
    <w:p>
      <w:pPr>
        <w:pStyle w:val="Funote"/>
        <w:rPr/>
      </w:pPr>
      <w:r>
        <w:rPr/>
        <w:footnoteRef/>
        <w:tab/>
        <w:t>gingen W. „gingen weg“.</w:t>
      </w:r>
    </w:p>
  </w:footnote>
  <w:footnote w:id="1208">
    <w:p>
      <w:pPr>
        <w:pStyle w:val="Funote"/>
        <w:rPr/>
      </w:pPr>
      <w:r>
        <w:rPr/>
        <w:footnoteRef/>
        <w:tab/>
        <w:t>Dann W. „gleich/sofort“, doch im Markusevangelium hat das Wort häufig den Sinn von „dann“. Es leitet also den nächsten Abschnitt der Handlung ein und soll die Spannung aufrecht erhalten (Guelich 1989, 54; France 2002, 103).</w:t>
      </w:r>
    </w:p>
  </w:footnote>
  <w:footnote w:id="1209">
    <w:p>
      <w:pPr>
        <w:pStyle w:val="Funote"/>
        <w:rPr/>
      </w:pPr>
      <w:r>
        <w:rPr/>
        <w:footnoteRef/>
        <w:tab/>
        <w:t>begab er sich … und Ptz. conj. (Ptz. Aor., temporal-modal), durch Beiordnung mit „und“ aufgelöst.</w:t>
      </w:r>
    </w:p>
  </w:footnote>
  <w:footnote w:id="1210">
    <w:p>
      <w:pPr>
        <w:pStyle w:val="Funote"/>
        <w:rPr/>
      </w:pPr>
      <w:r>
        <w:rPr/>
        <w:footnoteRef/>
        <w:tab/>
        <w:t xml:space="preserve">begann er in der Synagoge (begab er sich in die Synagoge und begann) zu lehren Textkritik: Die Handschriften haben an dieser Stelle unterschiedliche Lesarten, und auch die wissenschaftlichen Urtext-Ausgaben bevorzugen verschiedene Varianten. NA28 liest zusammen mit den meisten Zeugen </w:t>
      </w:r>
      <w:r>
        <w:rPr>
          <w:lang w:val="el-GR"/>
        </w:rPr>
        <w:t>εἰσελθὼν εἰς τὴν συναγωγὴν ἐδίδασκεν</w:t>
      </w:r>
      <w:r>
        <w:rPr/>
        <w:t xml:space="preserve"> (die Übersetzung in der Klammer). SBLGNT liest dagegen </w:t>
      </w:r>
      <w:r>
        <w:rPr>
          <w:lang w:val="el-GR"/>
        </w:rPr>
        <w:t>ἐδίδασκεν εἰς τὴν συναγωγήν</w:t>
      </w:r>
      <w:r>
        <w:rPr/>
        <w:t>, was der hier gewählten Übersetzung entspricht.</w:t>
      </w:r>
    </w:p>
  </w:footnote>
  <w:footnote w:id="1211">
    <w:p>
      <w:pPr>
        <w:pStyle w:val="Funote"/>
        <w:rPr/>
      </w:pPr>
      <w:r>
        <w:rPr/>
        <w:footnoteRef/>
        <w:tab/>
        <w:t>begann ... zu lehren Inchoatives Imperfekt (Siebenthal 2011, §198e).</w:t>
      </w:r>
    </w:p>
  </w:footnote>
  <w:footnote w:id="1212">
    <w:p>
      <w:pPr>
        <w:pStyle w:val="Funote"/>
        <w:rPr/>
      </w:pPr>
      <w:r>
        <w:rPr/>
        <w:footnoteRef/>
        <w:tab/>
        <w:t>tief beeindruckt Dieses Wort benutzen die Evangelisten meist, um die Reaktion der Zuhörer auf Jesu Lehre und Taten zu beschreiben. Sie scheinen verblüfft, ja baff zu sein über das, was sie sehen und hören, und müssen sich an Jesu Art erst gewöhnen (z.B. Mt 19,25; Mk 6,2; 7,37; 10,26). In Lk 2,48 sind seine Eltern verblüfft, Jesus nach langer Suche im Tempel zu finden. In Lk 9,43 beschreibt das Verb die Reaktion der Menge auf eine von Jesu Dämonenaustreibungen. In Mk 11,18 zeigt sich die Menge „fasziniert“ oder „in Bann geschlagen“ von Jesu Lehre. Zür: „überwältigt“, Menge, EÜ: „(sehr) betroffen“, Luther „sie entsetzten sich“, REB „sie erstaunten sehr“. NGÜ, GNB wie OfBi.</w:t>
      </w:r>
    </w:p>
  </w:footnote>
  <w:footnote w:id="1213">
    <w:p>
      <w:pPr>
        <w:pStyle w:val="Funote"/>
        <w:rPr/>
      </w:pPr>
      <w:r>
        <w:rPr/>
        <w:footnoteRef/>
        <w:tab/>
        <w:t xml:space="preserve">mit einem unreinen Geist Gr. </w:t>
      </w:r>
      <w:r>
        <w:rPr>
          <w:lang w:val="el-GR"/>
        </w:rPr>
        <w:t>ἐν</w:t>
      </w:r>
      <w:r>
        <w:rPr/>
        <w:t xml:space="preserve">, instr. „mit“, gibt hier, semitisch formulierend, die Präposition </w:t>
      </w:r>
      <w:r>
        <w:rPr>
          <w:rtl w:val="true"/>
          <w:lang w:bidi="he-IL"/>
        </w:rPr>
        <w:t>ב</w:t>
      </w:r>
      <w:r>
        <w:rPr/>
        <w:t xml:space="preserve"> </w:t>
      </w:r>
      <w:r>
        <w:rPr/>
        <w:t>wieder (Guelich 1989, 54). Markus benützt diese Formulierung für dämonische Besessenheit, aber auch den Einfluss des Heiligen Geistes (Mk 12,36; vgl. Lk 2,27) (France 2002, 103, der „unter dem Einfluss“ als Übersetzung vorschlägt). NSS, Lut, EÜ, GNB: „besessen von“, NGÜ: „der einen bösen Geist hatte“, REB, Zür, Menge: „mit“.</w:t>
      </w:r>
    </w:p>
  </w:footnote>
  <w:footnote w:id="1214">
    <w:p>
      <w:pPr>
        <w:pStyle w:val="Funote"/>
        <w:rPr/>
      </w:pPr>
      <w:r>
        <w:rPr/>
        <w:footnoteRef/>
        <w:tab/>
        <w:t xml:space="preserve">Was willst du von uns? W. »Was uns und dir?« In Mk 5,7;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5,7; Mt 8,29; Lk 8,28) wohl auch das defensive Element vorhanden, sinngemäß könnte man also sagen: »Was haben wir dir getan? Lass uns in Ruhe!« Zür, REB, GNB: »Was haben wir mit dir zu schaffen?«, Lut, Menge, NGÜ: »Was willst du von uns?«</w:t>
      </w:r>
    </w:p>
  </w:footnote>
  <w:footnote w:id="1215">
    <w:p>
      <w:pPr>
        <w:pStyle w:val="Funote"/>
        <w:rPr/>
      </w:pPr>
      <w:r>
        <w:rPr/>
        <w:footnoteRef/>
        <w:tab/>
        <w:t>Jesus von Nazaret W. »Jesus [der] Nazarener«. Hier wurde der bekanntere deutsche Name für die Übersetzung gewählt.</w:t>
      </w:r>
    </w:p>
  </w:footnote>
  <w:footnote w:id="1216">
    <w:p>
      <w:pPr>
        <w:pStyle w:val="Funote"/>
        <w:rPr/>
      </w:pPr>
      <w:r>
        <w:rPr/>
        <w:footnoteRef/>
        <w:tab/>
        <w:t xml:space="preserve">der Heilige Gottes ist kein Titel, der häufig für Jesus benutzt wird (sonst nur Joh 6,69). Im AT wird er lediglich auf Männer mit enger Gottesbeziehung angewandt (Aaron in Ps 106,16; Elisa in 2Kö 4,9; Simson in Ri 16,17), aber nicht auf den Messias. Der Titel stellt einen Kontrast her zwischen dem unreinen Geist und dem heiligen Jesus (France 2002, 104). An anderen Stellen nennen Dämonen Jesus den Sohn Gottes (Mk 3,11; 5,7). Möglich, dass der Dämon hier ein Wortspiel zwischen dem hebräischen Wort für Nazaret und dem Wort </w:t>
      </w:r>
      <w:r>
        <w:rPr>
          <w:rtl w:val="true"/>
          <w:lang w:bidi="he-IL"/>
        </w:rPr>
        <w:t>נזיר</w:t>
      </w:r>
      <w:r>
        <w:rPr/>
        <w:t xml:space="preserve"> </w:t>
      </w:r>
      <w:r>
        <w:rPr/>
        <w:t xml:space="preserve">»heilig« macht, wie es bspw. in Ri 13,7 (LXX sowohl </w:t>
      </w:r>
      <w:r>
        <w:rPr>
          <w:lang w:val="el-GR"/>
        </w:rPr>
        <w:t>ναζιραῖος Θεοῦ</w:t>
      </w:r>
      <w:r>
        <w:rPr/>
        <w:t xml:space="preserve"> als auch </w:t>
      </w:r>
      <w:r>
        <w:rPr>
          <w:lang w:val="el-GR"/>
        </w:rPr>
        <w:t>ἃγιος Θεοῦ</w:t>
      </w:r>
      <w:r>
        <w:rPr/>
        <w:t>) im Zusammenhang mit Simson vorkommt. Die beiden Wörter klingen ähnlich (Guelich 1989, 57; Pesch 1976, 122).</w:t>
      </w:r>
    </w:p>
  </w:footnote>
  <w:footnote w:id="1217">
    <w:p>
      <w:pPr>
        <w:pStyle w:val="Funote"/>
        <w:rPr/>
      </w:pPr>
      <w:r>
        <w:rPr/>
        <w:footnoteRef/>
        <w:tab/>
        <w:t xml:space="preserve">wies ihn an (unterwarf ihn seiner Kontrolle) Gr. </w:t>
      </w:r>
      <w:r>
        <w:rPr>
          <w:lang w:val="el-GR"/>
        </w:rPr>
        <w:t>ἐπιτιμάω</w:t>
      </w:r>
      <w:r>
        <w:rPr/>
        <w:t xml:space="preserve"> wird häufig mit „wies ihn zurecht“ übersetzt, ist bei Markus aber ein Wort, das das Ausüben göttlicher Kontrolle, also einen unwiderstehlichen Befehl bezeichnet (France 2002, 104f.). Ähnlich verfährt Jesus mit mehreren Dämonen in Mk 3,12. Guelich argumentiert für die Übersetzung seiner Kontrolle unterwerfen in der Klammer (engl. „subdue“; ders. 1989, 57f.). EÜ, NGÜ: „befahl“. Eher unpassend Zür: „schrie ihn an“.</w:t>
      </w:r>
    </w:p>
  </w:footnote>
  <w:footnote w:id="1218">
    <w:p>
      <w:pPr>
        <w:pStyle w:val="Funote"/>
        <w:rPr/>
      </w:pPr>
      <w:r>
        <w:rPr/>
        <w:footnoteRef/>
        <w:tab/>
        <w:t>nachdem … geschüttelt … geschrien Ptz. conj. (Partizip Aorist aktiv), temporal-modal, hier vorzeitig verstanden und als Nebensatz mit „nachdem“ aufgelöst.</w:t>
      </w:r>
    </w:p>
  </w:footnote>
  <w:footnote w:id="1219">
    <w:p>
      <w:pPr>
        <w:pStyle w:val="Funote"/>
        <w:rPr/>
      </w:pPr>
      <w:r>
        <w:rPr/>
        <w:footnoteRef/>
        <w:tab/>
        <w:t>einander fragten Oder „miteinander diskutierten“ (vgl. France 2002, 105). Als elegantere deutsche Formulierung für die gesamte Reaktion der Zuhörer wäre „und sie wussten nicht, was sie davon halten sollten“ eine Möglichkeit.</w:t>
      </w:r>
    </w:p>
  </w:footnote>
  <w:footnote w:id="1220">
    <w:p>
      <w:pPr>
        <w:pStyle w:val="Funote"/>
        <w:rPr/>
      </w:pPr>
      <w:r>
        <w:rPr/>
        <w:footnoteRef/>
        <w:tab/>
        <w:t xml:space="preserve">in der ganzen Umgebung, [in ganz] Galiläa (im ganzen Umland von Galiläa) Die Übersetzung hängt davon ab, wie man den Genitiv </w:t>
      </w:r>
      <w:r>
        <w:rPr>
          <w:lang w:val="el-GR"/>
        </w:rPr>
        <w:t>τῆς Γαλιλαίας</w:t>
      </w:r>
      <w:r>
        <w:rPr/>
        <w:t xml:space="preserve"> versteht. Als epexegetischer Genitiv ist „die ganze Umgebung, also Galiläa“ gemeint (bzw. „das ganze Umland [von Kafarnaum], also Galiläa“). Ist der Genitiv attributiv gemeint, nimmt Markus das Umland von Galiläa, also die erweiterte Region, in den Blick (France 2002, 106; Guelich 1989, 54).</w:t>
      </w:r>
    </w:p>
  </w:footnote>
  <w:footnote w:id="1221">
    <w:p>
      <w:pPr>
        <w:pStyle w:val="Funote"/>
        <w:rPr/>
      </w:pPr>
      <w:r>
        <w:rPr/>
        <w:footnoteRef/>
        <w:tab/>
        <w:t>dann W. „gleich/sofort“, doch im Markusevangelium hat das Wort häufig den Sinn von „dann“. Es leitet also den nächsten Abschnitt der Handlung ein und soll die Spannung aufrecht erhalten (Guelich 1989, 54; France 2002, 103). Hier könnte das Wort auch das aufgelöste Partizip verließen modifizieren, dann könnte die Übersetzung bspw. lauten: „Und sie verließen die Synagoge gleich darauf und...“</w:t>
      </w:r>
    </w:p>
  </w:footnote>
  <w:footnote w:id="1222">
    <w:p>
      <w:pPr>
        <w:pStyle w:val="Funote"/>
        <w:rPr/>
      </w:pPr>
      <w:r>
        <w:rPr/>
        <w:footnoteRef/>
        <w:tab/>
        <w:t>verließen … und Ptz. conj. (Aorist), als temporaler Nebensatz übersetzt. Alternativ mit „als“ oder „nachdem“.</w:t>
      </w:r>
    </w:p>
  </w:footnote>
  <w:footnote w:id="1223">
    <w:p>
      <w:pPr>
        <w:pStyle w:val="Funote"/>
        <w:rPr/>
      </w:pPr>
      <w:r>
        <w:rPr/>
        <w:footnoteRef/>
        <w:tab/>
        <w:t>lag mit Fieber [im Bett] ist durativ (Imperfekt). Mit Fieber übersetzt das adv. Ptz. modal als Präpositionalphrase, alternativ „und hatte Fieber“ oder „fiebernd“, auch eine kausale Sinnrichtung wäre möglich: „lag im Bett, weil sie Fieber hatte“. [im Bett] wird von vielen Übersetzungen (EÜ, NGÜ, GNB) sinngemäß ergänzt, weil das Griechische ohne Lokalangabe auskommt. Das Bett könnte hier je nach Wohlstand auch aus einem Lager auf einer Binsenmatte bestanden haben (NBD, 489).</w:t>
      </w:r>
    </w:p>
  </w:footnote>
  <w:footnote w:id="1224">
    <w:p>
      <w:pPr>
        <w:pStyle w:val="Funote"/>
        <w:rPr/>
      </w:pPr>
      <w:r>
        <w:rPr/>
        <w:footnoteRef/>
        <w:tab/>
        <w:t>ging zu … und Beschreibendes Partizip modal-temporaler Sinnrichtung, mit „und“ aufgelöst.</w:t>
      </w:r>
    </w:p>
  </w:footnote>
  <w:footnote w:id="1225">
    <w:p>
      <w:pPr>
        <w:pStyle w:val="Funote"/>
        <w:rPr/>
      </w:pPr>
      <w:r>
        <w:rPr/>
        <w:footnoteRef/>
        <w:tab/>
        <w:t>indem er ihre Hand nahm Ptz. conj., modal als Nebensatz mit „indem“ aufgelöst.</w:t>
      </w:r>
    </w:p>
  </w:footnote>
  <w:footnote w:id="1226">
    <w:p>
      <w:pPr>
        <w:pStyle w:val="Funote"/>
        <w:rPr/>
      </w:pPr>
      <w:r>
        <w:rPr/>
        <w:footnoteRef/>
        <w:tab/>
        <w:t>begann, sie zu bedienen Vermutlich inchoatives Imperfekt.</w:t>
      </w:r>
    </w:p>
  </w:footnote>
  <w:footnote w:id="1227">
    <w:p>
      <w:pPr>
        <w:pStyle w:val="Funote"/>
        <w:rPr/>
      </w:pPr>
      <w:r>
        <w:rPr/>
        <w:footnoteRef/>
        <w:tab/>
        <w:t>Als es Abend geworden war … und Temporales Gen. abs. (Aorist), temporal-vorzeitig übersetzt, wobei der Nebensatz mit „und“ an den folgenden angeschlossen sowie dessen Konjunktion (als) vorgezogen wurde. Die Leute warteten bis zum Abend, um die Sabbatruhe (vgl. V. 21) zu wahren, die bei Sonnenuntergang endete.</w:t>
      </w:r>
    </w:p>
  </w:footnote>
  <w:footnote w:id="1228">
    <w:p>
      <w:pPr>
        <w:pStyle w:val="Funote"/>
        <w:rPr/>
      </w:pPr>
      <w:r>
        <w:rPr/>
        <w:footnoteRef/>
        <w:tab/>
        <w:t>brachte (V. 32) / heilte / trieb aus / ließ (V. 34) Das Imperfekt zeigt an, dass es an diesem Abend fortlaufend geschah.</w:t>
      </w:r>
    </w:p>
  </w:footnote>
  <w:footnote w:id="1229">
    <w:p>
      <w:pPr>
        <w:pStyle w:val="Funote"/>
        <w:rPr/>
      </w:pPr>
      <w:r>
        <w:rPr/>
        <w:footnoteRef/>
        <w:tab/>
        <w:t>alle Kranke(n) Subst. Ptz.. Oder „alle, denen es schlecht ging“. ELB: „Leidenden“.</w:t>
      </w:r>
    </w:p>
  </w:footnote>
  <w:footnote w:id="1230">
    <w:p>
      <w:pPr>
        <w:pStyle w:val="Funote"/>
        <w:rPr/>
      </w:pPr>
      <w:r>
        <w:rPr/>
        <w:footnoteRef/>
        <w:tab/>
        <w:t>früh morgens … ganz dunkel Oder: „sehr früh morgens, [als es noch] dunkel [war]“.</w:t>
      </w:r>
    </w:p>
  </w:footnote>
  <w:footnote w:id="1231">
    <w:p>
      <w:pPr>
        <w:pStyle w:val="Funote"/>
        <w:rPr/>
      </w:pPr>
      <w:r>
        <w:rPr/>
        <w:footnoteRef/>
        <w:tab/>
        <w:t>stand er auf Modal-temporales Ptz. conj., hier als Indikativ übersetzt und in die Satzkette eingereiht.</w:t>
      </w:r>
    </w:p>
  </w:footnote>
  <w:footnote w:id="1232">
    <w:p>
      <w:pPr>
        <w:pStyle w:val="Funote"/>
        <w:rPr/>
      </w:pPr>
      <w:r>
        <w:rPr/>
        <w:footnoteRef/>
        <w:tab/>
        <w:t>[eine Zeit lang] betete Das Imperfekt zeigt an, dass er eine Weile mit Beten verbrachte – daher die eingefügte Zeitangabe.</w:t>
      </w:r>
    </w:p>
  </w:footnote>
  <w:footnote w:id="1233">
    <w:p>
      <w:pPr>
        <w:pStyle w:val="Funote"/>
        <w:rPr/>
      </w:pPr>
      <w:r>
        <w:rPr/>
        <w:footnoteRef/>
        <w:tab/>
        <w:t>spürten (eilten) ihm nach Das Wort heißt eigentlich meist „nachjagen, verfolgen“ und macht auch hier den Druck greifbar, den die vier Jünger ob der Menschenmenge empfanden (France 2002, 112). Sinngemäß formuliert: „versuchten hektisch/verzweifelt, ihn ausfindig zu machen“.</w:t>
      </w:r>
    </w:p>
  </w:footnote>
  <w:footnote w:id="1234">
    <w:p>
      <w:pPr>
        <w:pStyle w:val="Funote"/>
        <w:rPr/>
      </w:pPr>
      <w:r>
        <w:rPr/>
        <w:footnoteRef/>
        <w:tab/>
        <w:t>und fanden ihn. {und} Sie teilten ihm mit (sagten) {dass}: Oder: „Als sie ihn fanden, teilten sie ihm mit“ (Lut, EÜ, NGÜ).</w:t>
      </w:r>
    </w:p>
  </w:footnote>
  <w:footnote w:id="1235">
    <w:p>
      <w:pPr>
        <w:pStyle w:val="Funote"/>
        <w:rPr/>
      </w:pPr>
      <w:r>
        <w:rPr/>
        <w:footnoteRef/>
        <w:tab/>
        <w:t xml:space="preserve">aus [der Stadt] gekommen (bin gekommen, ausgezogen) Gr. </w:t>
      </w:r>
      <w:r>
        <w:rPr>
          <w:lang w:val="el-GR"/>
        </w:rPr>
        <w:t>ἐξῆλθον</w:t>
      </w:r>
      <w:r>
        <w:rPr/>
        <w:t xml:space="preserve"> »(hin)ausgegangen, herausgekommen, verlassen«. Die Frage ist: Bezieht sich Jesus darauf, dass er die Stadt Kafarnaum verlassen hat (wie dasselbe Wort in V. 35 anzeigen kann – im Griechischen ist wie beim Synonym »hinausgehen« kein Objekt nötig), oder dass er dazu vom Vater aus (bzw. aus dem Himmel) gekommen ist (wie es Lukas in der Parallelstelle Lk 4,43 meint)? Die meisten Übersetzer entscheiden sich für die zweite Option, die auch im Johannesevangelium eine große Rolle spielt (vgl. Joh 8,42; 13,3; 16,27-28). Vordergründig scheint Jesus sich auf seinen Dienst zu beziehen, der sich von hier an auf ganz Galiläa ausdehnt (so Pesch 1976, 138; Guelich 1989, 70, der die zweite Option daher ganz ausschließt). Eine Variante dieser Interpretation ist, dass Jesus zu diesem Zweck ausgezogen ist, das Predigen also als seine Mission versteht, ohne aber mit dieser Aussage eine Herkunft vom Vater im Sinn der Parallelstelle bei Lukas andeuten zu wollen (Option 3, so wohl Menge). Es ist jedoch durchaus vorstellbar, dass Markus bewusst zweideutig formuliert, sodass die Aussageabsicht, die Lukas ganz eindeutig macht, hier schon mitschwingt (France 2002, 113; Blight 2012, 81). Option 1 erhält hier den Vorzug, weil es sich um die aus dem Kontext offenkundige Bedeutung handelt. Die meisten Übersetzungen entscheiden sich jedoch für die eher sinngemäße Formulierung »dazu bin ich gekommen«, die auf Option 2 oder Option 3 hindeutet (EÜ, Lut, NGÜ, GNB, Zür, vgl. REB).</w:t>
      </w:r>
    </w:p>
  </w:footnote>
  <w:footnote w:id="1236">
    <w:p>
      <w:pPr>
        <w:pStyle w:val="Funote"/>
        <w:rPr/>
      </w:pPr>
      <w:r>
        <w:rPr/>
        <w:footnoteRef/>
        <w:tab/>
        <w:t xml:space="preserve">durch ganz Galiläa … in ihren Synagogen In beiden Fällen kommt als Präposition </w:t>
      </w:r>
      <w:r>
        <w:rPr>
          <w:lang w:val="el-GR"/>
        </w:rPr>
        <w:t>εἰς</w:t>
      </w:r>
      <w:r>
        <w:rPr/>
        <w:t xml:space="preserve"> „zu (hin), in (hinein)“ zum Einsatz. Zum flexiblen Gebrauch der Präposition bei Markus s. die Fußnoten in V. 16 und V. 21 (France 2002, 113). Wie schon in V. 21 haben Kopisten einiger Manuskripte versucht, den vermeintlich fehlerhaften Text zu korrigieren.</w:t>
      </w:r>
    </w:p>
  </w:footnote>
  <w:footnote w:id="1237">
    <w:p>
      <w:pPr>
        <w:pStyle w:val="Funote"/>
        <w:rPr/>
      </w:pPr>
      <w:r>
        <w:rPr/>
        <w:footnoteRef/>
        <w:tab/>
        <w:t>predigte und trieb aus Temporal-modale Ptz. conj., als Indikative in einer Satzreihe aufgelöst.</w:t>
      </w:r>
    </w:p>
  </w:footnote>
  <w:footnote w:id="1238">
    <w:p>
      <w:pPr>
        <w:pStyle w:val="Funote"/>
        <w:rPr/>
      </w:pPr>
      <w:r>
        <w:rPr/>
        <w:footnoteRef/>
        <w:tab/>
        <w:t xml:space="preserve">der anflehte … auf die Knie fiel Zwei modal-temporale Ptz. conj., hier als Relativsatz aufgelöst. Textkritik: In einigen Handschriften (B, D u.a.) fehlt </w:t>
      </w:r>
      <w:r>
        <w:rPr>
          <w:lang w:val="el-GR"/>
        </w:rPr>
        <w:t>καὶ γονυπετῶν (καὶ</w:t>
      </w:r>
      <w:r>
        <w:rPr/>
        <w:t>) und auf die Knie fiel (und).</w:t>
      </w:r>
    </w:p>
  </w:footnote>
  <w:footnote w:id="1239">
    <w:p>
      <w:pPr>
        <w:pStyle w:val="Funote"/>
        <w:rPr/>
      </w:pPr>
      <w:r>
        <w:rPr/>
        <w:footnoteRef/>
        <w:tab/>
        <w:t>wobei er ihm zurief Ptz. conj., hier als modaler Nebensatz aufgelöst. Die Übersetzung hängt auch von der textkritischen Entscheidung ab, die in der vorigen Fußnote angesprochen wird.</w:t>
      </w:r>
    </w:p>
  </w:footnote>
  <w:footnote w:id="1240">
    <w:p>
      <w:pPr>
        <w:pStyle w:val="Funote"/>
        <w:rPr/>
      </w:pPr>
      <w:r>
        <w:rPr/>
        <w:footnoteRef/>
        <w:tab/>
        <w:t>hatte Mitleid (wurde zornig) Die beiden möglichen Übersetzungen sind auf eine sehr schwierige Variante in der Überlieferung unserer Stelle zurückzuführen. Einzelne antike Handschriften haben die Variante wurde zornig. Der Grund für Jesu Zorn wäre dabei schwer auszumachen. Vermutlich richtet sich der Zorn nicht gegen den Aussätzigen (sonst würde Jesus anders reagieren), sondern am ehesten gegen seine Erkrankung, die die Gefallenheit der Welt und das Wirken des Bösen in ihr vor Augen führt (ebd. 117; Guelich 1989, 74). Eine ähnliche Erklärung bietet sich bspw. bei Mk 7,34 oder Joh 11,33 an. Die wissenschaftlichen Urtext-Ausgaben folgen verschiedenen Varianten.</w:t>
      </w:r>
    </w:p>
  </w:footnote>
  <w:footnote w:id="1241">
    <w:p>
      <w:pPr>
        <w:pStyle w:val="Funote"/>
        <w:rPr/>
      </w:pPr>
      <w:r>
        <w:rPr/>
        <w:footnoteRef/>
        <w:tab/>
        <w:t>hatte Mitleid, darum Ptz. conj. (modal-temporal oder kausal), hier kausal verstanden, weil dies die folgende Handlung Jesu begründet. Die Auflösung als Nebensatz mit „und“, „weil“ wäre alternativ ebenso möglich wie die Präpositionalphrase „voller Mitleid“. NGÜ: „Von tiefem Mitleid ergriffen“.</w:t>
      </w:r>
    </w:p>
  </w:footnote>
  <w:footnote w:id="1242">
    <w:p>
      <w:pPr>
        <w:pStyle w:val="Funote"/>
        <w:rPr/>
      </w:pPr>
      <w:r>
        <w:rPr/>
        <w:footnoteRef/>
        <w:tab/>
        <w:t>streckte aus Ptz. conj. (modal-temporal), hier als Indikativ übersetzt und beigeordnet.</w:t>
      </w:r>
    </w:p>
  </w:footnote>
  <w:footnote w:id="1243">
    <w:p>
      <w:pPr>
        <w:pStyle w:val="Funote"/>
        <w:rPr/>
      </w:pPr>
      <w:r>
        <w:rPr/>
        <w:footnoteRef/>
        <w:tab/>
        <w:t xml:space="preserve">ermahnte streng Ptz. conj. (modal-temporal). Das Wort drückt bei Menschen meist wütende Erregung aus (z.B. Joh 11,33.38), allerdings wird hier keine Gemütserregung, sondern Kommunikation beschrieben. An anderen, vergleichbaren Stellen ist in dem Verb oft ein feindseliger Unterton zu spüren: In Dan 11,30 LXX scheint überlegene oder harsche Zurechtweisung oder Bedrohung mitzuschwingen. In Mk 14,5 kommt es vielleicht im Sinn von „jemdn. scharf zurechtweisen/schimpfen“ vor. Wie in Mt 9,30 scheint daher eher etwas im Sinne einer strengen Ermahnung gemeint zu sein (vgl. LSJ </w:t>
      </w:r>
      <w:r>
        <w:rPr>
          <w:lang w:val="el-GR"/>
        </w:rPr>
        <w:t>ἐμβριμάομαι</w:t>
      </w:r>
      <w:r>
        <w:rPr/>
        <w:t>, weil der Kontext nicht verrät, warum Jesus plötzlich so erregt sein sollte (vgl. Collins 2007, 179). Guelich versteht das Wort daher als Beschreibung einer orientalischen Geste, die Schweigen signalisiert (Guelich 1989, 75). Mt 8,4 und Lk 5,14 benutzen etwas mildere Worte. Lut: „drohte“, Zür: „fuhr an“, EÜ: „schärfte ein“, NGÜ: „ermahnte“, GNB: „befahl streng“</w:t>
      </w:r>
    </w:p>
  </w:footnote>
  <w:footnote w:id="1244">
    <w:p>
      <w:pPr>
        <w:pStyle w:val="Funote"/>
        <w:rPr/>
      </w:pPr>
      <w:r>
        <w:rPr/>
        <w:footnoteRef/>
        <w:tab/>
        <w:t>niemandem etwas Im Griechischen eine doppelte Verneinung, welche die Warnung noch schärfer macht.</w:t>
      </w:r>
    </w:p>
  </w:footnote>
  <w:footnote w:id="1245">
    <w:p>
      <w:pPr>
        <w:pStyle w:val="Funote"/>
        <w:rPr/>
      </w:pPr>
      <w:r>
        <w:rPr/>
        <w:footnoteRef/>
        <w:tab/>
        <w:t>[für (gegen)] sie Dativus commodi (für) oder incommodi (gegen), wobei sie im Plural steht. Ein Zeugnis oder Nachweis gegen entspräche dem griechischen Sprachgebrauch und würde sich dann vielleicht gegen Kritiker richten, die Jesu Treue zum Gesetz in Zweifel ziehen (so Guelich 1989, 77). Vgl. EÜ: »Das soll für sie ein Beweis (meiner Gesetzestreue) sein.«, GNB: »Die Verantwortlichen sollen wissen, dass ich das Gesetz ernst nehme.« Eine andere Deutung: Jesus meint den Beweis für sie, nämlich die Führer des Volkes, dass er tatsächlich Wunder vollbringen kann und somit von Gott kommt (Collins 2007, 179). Die einfachste Interpretation ist freilich, dass es sich bei dem Durchlaufen der in Lev 14,1-32 vorgeschriebenen Reinigungshandlung samt Untersuchung durch einen Priester und Dankopfer um eine »Demonstration« der Echtheit seiner Heilung gegenüber den Priestern (Pesch 1976, 146) oder dem Volk (France 2002, 120) handelt.</w:t>
      </w:r>
    </w:p>
  </w:footnote>
  <w:footnote w:id="1246">
    <w:p>
      <w:pPr>
        <w:pStyle w:val="Funote"/>
        <w:rPr/>
      </w:pPr>
      <w:r>
        <w:rPr/>
        <w:footnoteRef/>
        <w:tab/>
        <w:t>als der [Mann] hinausging Ptz. conj., temporal-gleichzeitig übersetzt als Nebensatz mit „als“. Denkbar wäre auch „nachdem er hinausgegangen war“ (vorzeitig) oder „er ging hinaus und“.</w:t>
      </w:r>
    </w:p>
  </w:footnote>
  <w:footnote w:id="1247">
    <w:p>
      <w:pPr>
        <w:pStyle w:val="Funote"/>
        <w:rPr/>
      </w:pPr>
      <w:r>
        <w:rPr/>
        <w:footnoteRef/>
        <w:tab/>
        <w:t xml:space="preserve">[davon] zu erzählen/verkündigen Es geht im Kontext zunächst um die Geschichte seiner Heilung. Das Wort </w:t>
      </w:r>
      <w:r>
        <w:rPr>
          <w:lang w:val="el-GR"/>
        </w:rPr>
        <w:t>κηρύσσειν</w:t>
      </w:r>
      <w:r>
        <w:rPr/>
        <w:t>, das vorher für die Predigten Jesu benutzt wurde, könnte jedoch auch darauf hindeuten, dass der Mann im Rahmen seiner Heilungsgeschichte auch über Jesus und dessen Evangelium predigte (Collins 2007, 179f.). So GNB: „Aber der Mann ging weg und fing überall an, von Jesus und seiner Botschaft zu erzählen und davon, wie er geheilt worden war.“ Ebenfalls möglich ist die Übersetzung „er begann, [über] vieles zu predigen“ (Guelich 1989, 77).</w:t>
      </w:r>
    </w:p>
  </w:footnote>
  <w:footnote w:id="1248">
    <w:p>
      <w:pPr>
        <w:pStyle w:val="Funote"/>
        <w:rPr/>
      </w:pPr>
      <w:r>
        <w:rPr/>
        <w:footnoteRef/>
        <w:tab/>
        <w:t>sich aufhielt ist die sinngemäße Wiedergabe von war.</w:t>
      </w:r>
    </w:p>
  </w:footnote>
  <w:footnote w:id="1249">
    <w:p>
      <w:pPr>
        <w:pStyle w:val="Funote"/>
        <w:rPr/>
      </w:pPr>
      <w:r>
        <w:rPr/>
        <w:footnoteRef/>
        <w:tab/>
        <w:t>kamen weiter (begannen zu kommen) Die Übersetzung gibt das Imperfekt durativ/iterativ wieder, die Klammer inchoativ. Beide Deutungen sind denkbar.</w:t>
      </w:r>
    </w:p>
  </w:footnote>
  <w:footnote w:id="1250">
    <w:p>
      <w:pPr>
        <w:pStyle w:val="Funote"/>
        <w:rPr/>
      </w:pPr>
      <w:r>
        <w:rPr/>
        <w:footnoteRef/>
        <w:tab/>
        <w:t>[Status: Zuverlässig]</w:t>
      </w:r>
    </w:p>
  </w:footnote>
  <w:footnote w:id="1251">
    <w:p>
      <w:pPr>
        <w:pStyle w:val="Funote"/>
        <w:rPr/>
      </w:pPr>
      <w:r>
        <w:rPr/>
        <w:footnoteRef/>
        <w:tab/>
        <w:t>kam Ptz. conj. (Ptz. Aor.), als temporaler Nebensatz (mit „als“) aufgelöst.</w:t>
      </w:r>
    </w:p>
  </w:footnote>
  <w:footnote w:id="1252">
    <w:p>
      <w:pPr>
        <w:pStyle w:val="Funote"/>
        <w:rPr/>
      </w:pPr>
      <w:r>
        <w:rPr/>
        <w:footnoteRef/>
        <w:tab/>
        <w:t>wurde bekannt W. „wurde gehört“ Oder: „als er wieder … kam, wurde nach einigen Tagen bekannt“ (Collins 2007, 184).</w:t>
      </w:r>
    </w:p>
  </w:footnote>
  <w:footnote w:id="1253">
    <w:p>
      <w:pPr>
        <w:pStyle w:val="Funote"/>
        <w:rPr/>
      </w:pPr>
      <w:r>
        <w:rPr/>
        <w:footnoteRef/>
        <w:tab/>
        <w:t>zuhause bzw. in einem [bestimmten] Haus Die erste Bedeutung ist üblich und somit wahrscheinlicher, auch wenn die andere durchaus möglich ist (Collins 2007, 181; NSS). Denkbar, dass Simons Haus gemeint ist wie in 1,29-34 (Guelich 1989, 81). in einem [bestimmten] Haus Im Deutschen wäre die etwas freiere Übersetzung „in welchem Haus er sich aufhielt“ besser verständlich. Es geht dann also darum, dass Jesu Aufenthaltsort bekannt wurde, ohne eine Aussage über das nämliche Haus zu machen. Um das zu vermitteln, wurde [bestimmten] ergänzt.</w:t>
      </w:r>
    </w:p>
  </w:footnote>
  <w:footnote w:id="1254">
    <w:p>
      <w:pPr>
        <w:pStyle w:val="Funote"/>
        <w:rPr/>
      </w:pPr>
      <w:r>
        <w:rPr/>
        <w:footnoteRef/>
        <w:tab/>
        <w:t>war W. „ist“.</w:t>
      </w:r>
    </w:p>
  </w:footnote>
  <w:footnote w:id="1255">
    <w:p>
      <w:pPr>
        <w:pStyle w:val="Funote"/>
        <w:rPr/>
      </w:pPr>
      <w:r>
        <w:rPr/>
        <w:footnoteRef/>
        <w:tab/>
        <w:t>er erläuterte [ihnen] seine Botschaft W. „sprach das Wort (zu) ihnen“ (Imperfekt). Ähnlich wie in 4,33 und 8,32 meint die Phrase wohl, dass Jesus ihnen seine Botschaft (=Wort) erklärte oder predigte (France 2002, 122, ähnlich GNB). In 1,45 meinte „Wort“ die Geschichte (oder Neuigkeit) des geheilten Aussätzigen. Das Wort steht meist für eine im Kontext bekannte Botschaft, für Redeinhalt. Bei Jesus ist das das Evangelium bzw. die Heilsbotschaft vom nahen Reich/Herrschaft Gottes (wie Mk 1,21; s.a. Mk 4,14 und die dortige Fußnote). Im NT bezeichnet es oft den Inhalt der Verkündigung von Jesus und den frühen Christen, z.B. Apg 6,4; Gal 6,6; Kol 4,3 (Guelich 1989, 84). erläuterte Duratives Imperfekt.</w:t>
      </w:r>
    </w:p>
  </w:footnote>
  <w:footnote w:id="1256">
    <w:p>
      <w:pPr>
        <w:pStyle w:val="Funote"/>
        <w:rPr/>
      </w:pPr>
      <w:r>
        <w:rPr/>
        <w:footnoteRef/>
        <w:tab/>
        <w:t>kamen Historisches Präsens.</w:t>
      </w:r>
    </w:p>
  </w:footnote>
  <w:footnote w:id="1257">
    <w:p>
      <w:pPr>
        <w:pStyle w:val="Funote"/>
        <w:rPr/>
      </w:pPr>
      <w:r>
        <w:rPr/>
        <w:footnoteRef/>
        <w:tab/>
        <w:t xml:space="preserve">Gelähmter (Gr. </w:t>
      </w:r>
      <w:r>
        <w:rPr>
          <w:lang w:val="el-GR"/>
        </w:rPr>
        <w:t>παραλυτικός</w:t>
      </w:r>
      <w:r>
        <w:rPr/>
        <w:t>) Seine genaue Behinderung ist unbekannt. Wir erfahren nur, dass er nicht laufen konnte und offensichtlich behindert, vielleicht bettlägrig war (vgl. France 2002, 123).</w:t>
      </w:r>
    </w:p>
  </w:footnote>
  <w:footnote w:id="1258">
    <w:p>
      <w:pPr>
        <w:pStyle w:val="Funote"/>
        <w:rPr/>
      </w:pPr>
      <w:r>
        <w:rPr/>
        <w:footnoteRef/>
        <w:tab/>
        <w:t>Er wurde getragen Attributives Partizip, als unabhängiger Hauptsatz aufgelöst. Auch ein Relativsatz wäre möglich („der getragen wurde“).</w:t>
      </w:r>
    </w:p>
  </w:footnote>
  <w:footnote w:id="1259">
    <w:p>
      <w:pPr>
        <w:pStyle w:val="Funote"/>
        <w:rPr/>
      </w:pPr>
      <w:r>
        <w:rPr/>
        <w:footnoteRef/>
        <w:tab/>
        <w:t>weil (als) es ihnen nicht gelang Kausal oder temporal zu verstehendes Ptz. conj. (Ptz. Präs.), als Nebensatz mit „weil“ aufgelöst. NSS, NGÜ: „weil sie nicht zu Jesus durchkamen“.</w:t>
      </w:r>
    </w:p>
  </w:footnote>
  <w:footnote w:id="1260">
    <w:p>
      <w:pPr>
        <w:pStyle w:val="Funote"/>
        <w:rPr/>
      </w:pPr>
      <w:r>
        <w:rPr/>
        <w:footnoteRef/>
        <w:tab/>
        <w:t>ließen Historisches Präsens.</w:t>
      </w:r>
    </w:p>
  </w:footnote>
  <w:footnote w:id="1261">
    <w:p>
      <w:pPr>
        <w:pStyle w:val="Funote"/>
        <w:rPr/>
      </w:pPr>
      <w:r>
        <w:rPr/>
        <w:footnoteRef/>
        <w:tab/>
        <w:t xml:space="preserve">nachdem sie eine [entsprechende] Öffnung geschaffen hatten Ptz. conj. (Ptz. Aor.), als temporaler Nebensatz (mit „nachdem“) aufgelöst und aus stilistischen Gründen nachgestellt. W. etwa „deckten ab... und, eine Öffnung geschaffen habend/schaffend, ließen...“ Man kann es auch modal verstehen: „indem sie … schufen, ließen sie“ Gr. </w:t>
      </w:r>
      <w:r>
        <w:rPr>
          <w:lang w:val="el-GR"/>
        </w:rPr>
        <w:t>ἐξορύξαντες</w:t>
      </w:r>
      <w:r>
        <w:rPr/>
        <w:t xml:space="preserve"> bedeutet „aufgraben, aufbrechen“. Die Männer gelangten wohl über eine Außentreppe auf das flache Dach. Palästinische Hausdächer bestanden aus Baumstämmen oder Balken, die mit Zweigen und festgetretenem Lehm abgedeckt waren (Lukas 5,17 berichtet auch von Ziegeln), die genaue Konstruktion konnte aber variieren. Auch die Ausleger sind sich nicht alle einig (vgl. die Übersicht bei Blight 2012, 99f.). Je nachdem, ob das Haus tatsächlich auch mit Dachziegeln bzw. einer Art von tönernen Platten belegt war (Lukas könnte die Geschichte für seine südeuropäischen Leser kontextualisiert haben), könnten die Männer das Dach fast gar nicht oder sogar sehr schwer beschädigt haben. Dementsprechend gibt es verschiedene Übersetzungsvorschläge. Der hier vorgezogene versteht das Partizip als temporale Umstandsangabe: 1. Die Männer deckten das Dach ab. 2. Sobald eine genügend große Öffnung da war, ließen sie den Mann herab (so Guelich 1989, 85 und die meisten Übersetzungen). Eine andere Deutung geht von drei Schritten aus: 1. Die Männer deckten das Dach, d.h. die äußere Schicht ab. 2. Dann brachen sie durch das Holz- und Lehmwerk, das sich darunter befand und die Decke bildete. 3. Anschließend ließen sie den Mann hinab (so GNB, ZÜR).</w:t>
      </w:r>
    </w:p>
  </w:footnote>
  <w:footnote w:id="1262">
    <w:p>
      <w:pPr>
        <w:pStyle w:val="Funote"/>
        <w:rPr/>
      </w:pPr>
      <w:r>
        <w:rPr/>
        <w:footnoteRef/>
        <w:tab/>
        <w:t>als … sah Als temporaler NS aufgelöstes Ptz. conj. (Ptz. Aor.). Markus formuliert hier metonymisch (Wirkung für Ursache), denn Jesus sieht natürlich nicht die Gesinnung der Männer, sondern deren Ergebnis. Daher übersetzt ZÜR: „Als Jesus nun ihren Glauben erkannte“.</w:t>
      </w:r>
    </w:p>
  </w:footnote>
  <w:footnote w:id="1263">
    <w:p>
      <w:pPr>
        <w:pStyle w:val="Funote"/>
        <w:rPr/>
      </w:pPr>
      <w:r>
        <w:rPr/>
        <w:footnoteRef/>
        <w:tab/>
        <w:t>sagte Historisches Präsens.</w:t>
      </w:r>
    </w:p>
  </w:footnote>
  <w:footnote w:id="1264">
    <w:p>
      <w:pPr>
        <w:pStyle w:val="Funote"/>
        <w:rPr/>
      </w:pPr>
      <w:r>
        <w:rPr/>
        <w:footnoteRef/>
        <w:tab/>
        <w:t xml:space="preserve">dabeisaßen und setzten sich [mit Jesu Worten] auseinander </w:t>
      </w:r>
      <w:r>
        <w:rPr>
          <w:lang w:val="el-GR"/>
        </w:rPr>
        <w:t>ἦσαν</w:t>
      </w:r>
      <w:r>
        <w:rPr/>
        <w:t xml:space="preserve"> + Partizip umschreibt das Imperfekt (Umschreibende Konjugation, Bauer zu </w:t>
      </w:r>
      <w:r>
        <w:rPr>
          <w:lang w:val="el-GR"/>
        </w:rPr>
        <w:t>ειμι</w:t>
      </w:r>
      <w:r>
        <w:rPr/>
        <w:t>, BDR §353). Hier kommt durch den durativen Aspekt zum Ausdruck, dass die Schriftgelehrten die Geschehnisse miterlebten. Das ist der Grund für die Einfügung [alles miterlebten]. Möglich wäre auch eine Formulierung mit einem Adverb wie „unterdessen“, „derweil“, „dabei“. Aufgrund der Einfügung bildet setzten sich [mit Jesu Worten] auseinander aus stilistischen Gründen nun einen eigenen Satz, wobei zur eleganten Wiedergabe in Verbindung mit in Gedanken die Ergänzung von [mit Jesu Worten] notwendig wurde. EÜ dagegen: „dachten im Stillen“, NGÜ: „lehnten sich innerlich dagegen auf “.</w:t>
      </w:r>
    </w:p>
  </w:footnote>
  <w:footnote w:id="1265">
    <w:p>
      <w:pPr>
        <w:pStyle w:val="Funote"/>
        <w:rPr/>
      </w:pPr>
      <w:r>
        <w:rPr/>
        <w:footnoteRef/>
        <w:tab/>
        <w:t>in Gedanken W. „in ihren Herzen“. In der damaligen Kultur galt das Herz als der denkende und fühlende Körperteil. Noch schöner wäre die Formulierung „gedanklich“.</w:t>
      </w:r>
    </w:p>
  </w:footnote>
  <w:footnote w:id="1266">
    <w:p>
      <w:pPr>
        <w:pStyle w:val="Funote"/>
        <w:rPr/>
      </w:pPr>
      <w:r>
        <w:rPr/>
        <w:footnoteRef/>
        <w:tab/>
        <w:t>erkannte … darum Ptz. conj. (Ptz. Aor., temporal-kausal), hier – mit sofort – gleichzeitig verstanden, wobei darum auf den kausalen Sinn hinweist. Vorzeitig: „Jesus hatte sofort erkannt“ (vgl. NGÜ).</w:t>
      </w:r>
    </w:p>
  </w:footnote>
  <w:footnote w:id="1267">
    <w:p>
      <w:pPr>
        <w:pStyle w:val="Funote"/>
        <w:rPr/>
      </w:pPr>
      <w:r>
        <w:rPr/>
        <w:footnoteRef/>
        <w:tab/>
        <w:t>in seinem Geist Die Formulierung spielt vielleicht einfach auf den kognitiven Prozess an wie {bei sich} (V. 8) und „in ihren Herzen“ (siehe Fußnoten zu V. 6.8) (NSS). Es ist jedoch bemerkenswert, das im AT nur Gott die Gedanken der Menschen kennt (z.B. 1Kö 8,39; Jer 11,20, nach Pesch 1976, 159). Dass Jesus ihre Gedanken lesen kann, sollte ihn zusammen mit der folgenden Heilung gegenüber den Schriftgelehrten klar als von Gott gesandt auszeichnen – und den Vorwurf der Blasphemie so entkräften (Guelich 1989, 88).</w:t>
      </w:r>
    </w:p>
  </w:footnote>
  <w:footnote w:id="1268">
    <w:p>
      <w:pPr>
        <w:pStyle w:val="Funote"/>
        <w:rPr/>
      </w:pPr>
      <w:r>
        <w:rPr/>
        <w:footnoteRef/>
        <w:tab/>
        <w:t>sagte Historisches Präsens.</w:t>
      </w:r>
    </w:p>
  </w:footnote>
  <w:footnote w:id="1269">
    <w:p>
      <w:pPr>
        <w:pStyle w:val="Funote"/>
        <w:rPr/>
      </w:pPr>
      <w:r>
        <w:rPr/>
        <w:footnoteRef/>
        <w:tab/>
        <w:t>Warum habt ihr solche Gedanken? W. »Warum denkt/erwägt ihr dies/solche [Gedanken] in euren Herzen?« Der wesentlich einfachere deutsche Satz scheint genau wiederzugeben, was der (wesentlich schwieriger wörtlich in gutes Deutsch zu übersetzende) griechische Satz meint. Zu »in euren Herzen« s. die Fußnote zu »in Gedanken« in V. 6. Die Doppelung »in Gedanken denken« hat schon dort zu der eleganteren Übersetzung »sie setzten sich in Gedanken [mit Jesu Worten] auseinander« geführt (s. die entsprechende Fußnote in V. 6), hier lässt sich dieselbe Formulierung aber nicht so übersetzen. NGÜ: »Warum gebt ihr solchen Gedanken Raum in euren Herzen?«, GNB: »Was macht ihr euch da für Gedanken?«</w:t>
      </w:r>
    </w:p>
  </w:footnote>
  <w:footnote w:id="1270">
    <w:p>
      <w:pPr>
        <w:pStyle w:val="Funote"/>
        <w:rPr/>
      </w:pPr>
      <w:r>
        <w:rPr/>
        <w:footnoteRef/>
        <w:tab/>
        <w:t>Menschensohn (Sohn des Menschen; Mensch) ist Jesu häufige Selbstbezeichnung. Sie taucht hier zum ersten Mal in Mk auf und wird im zweiten Teil des Evangeliums (ab Mk 8) deutlich häufiger auftreten. Ihr Hintergrund ist komplex und ihre Verwendung noch nicht vollständig geklärt. Sicher ist, dass Jesus sich damit nicht als gewöhnlicher Mensch bezeichnet (wie die Phrase in anderen Kontexten auf Hebräisch und Aramäisch zu verstehen ist), sondern sich von anderen abhebt. Nur er hat die außerordentliche Gewalt zur Vergebung der Sünden. In der Wahl der Bezeichnung dürfte der »Menschensohn« (bzw. »Mann«) aus Dan 7,13-14 eine Rolle gespielt haben, der ewige messianische Macht erhält und dem alle Nationen dienen. Jesus scheint zu seiner Zeit dennoch der einzige gewesen zu sein, der diese Bezeichnung auch als Titel auch für den erwarteten Messias (nämlich sich selbst) benutzte. Der Titel bot wohl auch den Vorteil, dass er nicht dieselben politischen Erwartungen weckte wie andere, geläufigere Messiasbezeichnungen, so wie »Messias« oder »Sohn Davids« (France 2002, 127f.; Collins 2007, 187ff.). (Guelich 1989, 90 meint dagegen, dass Jesus wenigstens an dieser Stelle die Bezeichnung als rhetorische Alternative zu »ich« benutzt.) Jesus gibt den Schriftgelehrten ein Rätsel auf. Wenn sie den alttestamentlichen Bezug seiner Aussage verstehen, erkennen sie auch seinen Anspruch (Collins 2007, 187).</w:t>
      </w:r>
    </w:p>
  </w:footnote>
  <w:footnote w:id="1271">
    <w:p>
      <w:pPr>
        <w:pStyle w:val="Funote"/>
        <w:rPr/>
      </w:pPr>
      <w:r>
        <w:rPr/>
        <w:footnoteRef/>
        <w:tab/>
        <w:t>nach Hause Oder »in dein Haus«</w:t>
      </w:r>
    </w:p>
  </w:footnote>
  <w:footnote w:id="1272">
    <w:p>
      <w:pPr>
        <w:pStyle w:val="Funote"/>
        <w:rPr/>
      </w:pPr>
      <w:r>
        <w:rPr/>
        <w:footnoteRef/>
        <w:tab/>
        <w:t>hob auf Temporal-modales Ptz. conj., beigeordnet.</w:t>
      </w:r>
    </w:p>
  </w:footnote>
  <w:footnote w:id="1273">
    <w:p>
      <w:pPr>
        <w:pStyle w:val="Funote"/>
        <w:rPr/>
      </w:pPr>
      <w:r>
        <w:rPr/>
        <w:footnoteRef/>
        <w:tab/>
        <w:t>Sie riefen Ptz. conj. (modal-temporal), vielleicht pleonastisch. Hier als separater Hauptsatz übersetzt.</w:t>
      </w:r>
    </w:p>
  </w:footnote>
  <w:footnote w:id="1274">
    <w:p>
      <w:pPr>
        <w:pStyle w:val="Funote"/>
        <w:rPr/>
      </w:pPr>
      <w:r>
        <w:rPr/>
        <w:footnoteRef/>
        <w:tab/>
        <w:t>ging hinaus Jesus verließ das Haus und die Stadt Kafarnaum, wo er sich gerade aufhielt (Mk 2,1).</w:t>
      </w:r>
    </w:p>
  </w:footnote>
  <w:footnote w:id="1275">
    <w:p>
      <w:pPr>
        <w:pStyle w:val="Funote"/>
        <w:rPr/>
      </w:pPr>
      <w:r>
        <w:rPr/>
        <w:footnoteRef/>
        <w:tab/>
        <w:t>Meer Gemeint ist der See Gennesaret (bei Markus: „Meer von Galiläa“, vgl. 1,16), an dessen Ufer Kafarnaum lag. Wer Markus von Anfang an liest, stellt diesen Bezug hier mühelos her.</w:t>
      </w:r>
    </w:p>
  </w:footnote>
  <w:footnote w:id="1276">
    <w:p>
      <w:pPr>
        <w:pStyle w:val="Funote"/>
        <w:rPr/>
      </w:pPr>
      <w:r>
        <w:rPr/>
        <w:footnoteRef/>
        <w:tab/>
        <w:t>kam und lehrte Das Imperfekt beschreibt passend die beiden andauernden Prozesse: Das Zusammenkommen einer Menschenmenge und Jesu Lehren.</w:t>
      </w:r>
    </w:p>
  </w:footnote>
  <w:footnote w:id="1277">
    <w:p>
      <w:pPr>
        <w:pStyle w:val="Funote"/>
        <w:rPr/>
      </w:pPr>
      <w:r>
        <w:rPr/>
        <w:footnoteRef/>
        <w:tab/>
        <w:t>im Vorbeigehen Ptz. conj. (temporal), hier als Präpositionalphrase übersetzt. Auch möglich: „als/während er vorbeiging“</w:t>
      </w:r>
    </w:p>
  </w:footnote>
  <w:footnote w:id="1278">
    <w:p>
      <w:pPr>
        <w:pStyle w:val="Funote"/>
        <w:rPr/>
      </w:pPr>
      <w:r>
        <w:rPr/>
        <w:footnoteRef/>
        <w:tab/>
        <w:t xml:space="preserve">Zollstelle Kafarnaum lag an der Grenze zwischen den Tetrarchien von Herodes Antipas und Herodes Philippus, weswegen man hier von den Händlern Warenzölle erhob. Die in den Evangelien erwähnten Zöllner (Gr. </w:t>
      </w:r>
      <w:r>
        <w:rPr>
          <w:lang w:val="el-GR"/>
        </w:rPr>
        <w:t>τελώνης</w:t>
      </w:r>
      <w:r>
        <w:rPr/>
        <w:t>) waren dafür zuständig. Auch Levi gehörte zu den Zollbeamten, die in Antipas’ Auftrag die auf Handelswaren anfallenden Gebühren einsammelten. Kopfsteuern erhob dagegen die römische Regierung (France 2002, 131f.; vgl. Guelich 1989, 100f.).</w:t>
      </w:r>
    </w:p>
  </w:footnote>
  <w:footnote w:id="1279">
    <w:p>
      <w:pPr>
        <w:pStyle w:val="Funote"/>
        <w:rPr/>
      </w:pPr>
      <w:r>
        <w:rPr/>
        <w:footnoteRef/>
        <w:tab/>
        <w:t>sah … sitzen AcP, mit Infinitiv aufgelöst.</w:t>
      </w:r>
    </w:p>
  </w:footnote>
  <w:footnote w:id="1280">
    <w:p>
      <w:pPr>
        <w:pStyle w:val="Funote"/>
        <w:rPr/>
      </w:pPr>
      <w:r>
        <w:rPr/>
        <w:footnoteRef/>
        <w:tab/>
        <w:t>„</w:t>
      </w:r>
      <w:r>
        <w:rPr/>
        <w:t>Folge mir nach!“ Etwas freier vielleicht auch „Schließe dich mir an!“ Vgl. Mk 1,16-20.</w:t>
      </w:r>
    </w:p>
  </w:footnote>
  <w:footnote w:id="1281">
    <w:p>
      <w:pPr>
        <w:pStyle w:val="Funote"/>
        <w:rPr/>
      </w:pPr>
      <w:r>
        <w:rPr/>
        <w:footnoteRef/>
        <w:tab/>
        <w:t>stand auf Beschreibendes Partizip (Aorist).</w:t>
      </w:r>
    </w:p>
  </w:footnote>
  <w:footnote w:id="1282">
    <w:p>
      <w:pPr>
        <w:pStyle w:val="Funote"/>
        <w:rPr/>
      </w:pPr>
      <w:r>
        <w:rPr/>
        <w:footnoteRef/>
        <w:tab/>
        <w:t xml:space="preserve">{es ereignete sich} Im Deutschen umschreibt [als] er [später]... die griechische Satzeinleitung, die aus dem historischen Präsens </w:t>
      </w:r>
      <w:r>
        <w:rPr>
          <w:lang w:val="el-GR"/>
        </w:rPr>
        <w:t>γίνεται</w:t>
      </w:r>
      <w:r>
        <w:rPr/>
        <w:t xml:space="preserve"> und einem AcI besteht (NSS).</w:t>
      </w:r>
    </w:p>
  </w:footnote>
  <w:footnote w:id="1283">
    <w:p>
      <w:pPr>
        <w:pStyle w:val="Funote"/>
        <w:rPr/>
      </w:pPr>
      <w:r>
        <w:rPr/>
        <w:footnoteRef/>
        <w:tab/>
        <w:t>in seinem Haus Markus meint wohl Levis Haus, in das Jesus eingeladen ist (so auch Lk 5,29), doch es könnte sich aber auch um Jesu Haus (Mk 2,1) handeln, in dem Levi zu Gast ist.</w:t>
      </w:r>
    </w:p>
  </w:footnote>
  <w:footnote w:id="1284">
    <w:p>
      <w:pPr>
        <w:pStyle w:val="Funote"/>
        <w:rPr/>
      </w:pPr>
      <w:r>
        <w:rPr/>
        <w:footnoteRef/>
        <w:tab/>
        <w:t>bei Tisch war (zu Gast war) W. „[zu Tisch] lag“. Juden saßen zum Essen für gewöhnlich, doch zu besonderen Anlässen lag man nach dem Vorbild der griechischen Kultur zum Essen an niedrigen Tischen. Offenbar hielt Levi ein Festmahl ab (Guelich 1989, 101; France 2002, 132).</w:t>
      </w:r>
    </w:p>
  </w:footnote>
  <w:footnote w:id="1285">
    <w:p>
      <w:pPr>
        <w:pStyle w:val="Funote"/>
        <w:rPr/>
      </w:pPr>
      <w:r>
        <w:rPr/>
        <w:footnoteRef/>
        <w:tab/>
        <w:t>nahmen an der Mahlzeit teil ist die Übersetzung des Prädikats (wie nachfolgten Imperfekt).</w:t>
      </w:r>
    </w:p>
  </w:footnote>
  <w:footnote w:id="1286">
    <w:p>
      <w:pPr>
        <w:pStyle w:val="Funote"/>
        <w:rPr/>
      </w:pPr>
      <w:r>
        <w:rPr/>
        <w:footnoteRef/>
        <w:tab/>
        <w:t xml:space="preserve">die Eigentlich „und“, </w:t>
      </w:r>
      <w:r>
        <w:rPr>
          <w:lang w:val="el-GR"/>
        </w:rPr>
        <w:t>καὶ</w:t>
      </w:r>
      <w:r>
        <w:rPr/>
        <w:t xml:space="preserve"> kann aber auch in der Funktion eines Relativpronomens genutzt werden (BDR §442.4).</w:t>
      </w:r>
    </w:p>
  </w:footnote>
  <w:footnote w:id="1287">
    <w:p>
      <w:pPr>
        <w:pStyle w:val="Funote"/>
        <w:rPr/>
      </w:pPr>
      <w:r>
        <w:rPr/>
        <w:footnoteRef/>
        <w:tab/>
        <w:t>die Schriftgelehrten der Pharisäer (Gen. part.), der Genitiv zeigt Parteizugehörigkeit an. Nicht alle Pharisäer waren Schriftgelehrte, und nicht alle Schriftgelehrten waren Pharisäer – gemeint sind also die pharisäischen Schriftgelehrten.</w:t>
      </w:r>
    </w:p>
  </w:footnote>
  <w:footnote w:id="1288">
    <w:p>
      <w:pPr>
        <w:pStyle w:val="Funote"/>
        <w:rPr/>
      </w:pPr>
      <w:r>
        <w:rPr/>
        <w:footnoteRef/>
        <w:tab/>
        <w:t>als … sahen Ptz. conj. (Aorist), als temporaler Nebensatz aufgelöst.</w:t>
      </w:r>
    </w:p>
  </w:footnote>
  <w:footnote w:id="1289">
    <w:p>
      <w:pPr>
        <w:pStyle w:val="Funote"/>
        <w:rPr/>
      </w:pPr>
      <w:r>
        <w:rPr/>
        <w:footnoteRef/>
        <w:tab/>
        <w:t>aß W. „isst“</w:t>
      </w:r>
    </w:p>
  </w:footnote>
  <w:footnote w:id="1290">
    <w:p>
      <w:pPr>
        <w:pStyle w:val="Funote"/>
        <w:rPr/>
      </w:pPr>
      <w:r>
        <w:rPr/>
        <w:footnoteRef/>
        <w:tab/>
        <w:t xml:space="preserve">Warum Die gering verbreitete, aber schwierigste erhaltene Variante </w:t>
      </w:r>
      <w:r>
        <w:rPr>
          <w:lang w:val="el-GR"/>
        </w:rPr>
        <w:t>ὅτι</w:t>
      </w:r>
      <w:r>
        <w:rPr/>
        <w:t xml:space="preserve"> ist schwer zu deuten. 1. Es könnte eine Kontraktion von </w:t>
      </w:r>
      <w:r>
        <w:rPr>
          <w:lang w:val="el-GR"/>
        </w:rPr>
        <w:t>τί ὅτι</w:t>
      </w:r>
      <w:r>
        <w:rPr/>
        <w:t xml:space="preserve"> »warum« (BDR §300.2) sein. 2. Es könnte ein </w:t>
      </w:r>
      <w:r>
        <w:rPr>
          <w:lang w:val="el-GR"/>
        </w:rPr>
        <w:t>ὅτι</w:t>
      </w:r>
      <w:r>
        <w:rPr/>
        <w:t xml:space="preserve"> recitativum sein, die Frage lautet dann nur: »Er ist mit Zolleinnehmern und Sündern?(!)« 3. Schließlich könnte es sich auch um einen Teil der Frage bzw. des Ausrufs handeln: »Dass er mit Zolleinnehmern und Sündern isst!« (France 2002, 134)</w:t>
      </w:r>
    </w:p>
  </w:footnote>
  <w:footnote w:id="1291">
    <w:p>
      <w:pPr>
        <w:pStyle w:val="Funote"/>
        <w:rPr/>
      </w:pPr>
      <w:r>
        <w:rPr/>
        <w:footnoteRef/>
        <w:tab/>
        <w:t>als … hörte Ptz. conj., temporal als Nebensatz mit „als“ aufgelöst.</w:t>
      </w:r>
    </w:p>
  </w:footnote>
  <w:footnote w:id="1292">
    <w:p>
      <w:pPr>
        <w:pStyle w:val="Funote"/>
        <w:rPr/>
      </w:pPr>
      <w:r>
        <w:rPr/>
        <w:footnoteRef/>
        <w:tab/>
        <w:t xml:space="preserve">{dass}: Das </w:t>
      </w:r>
      <w:r>
        <w:rPr>
          <w:lang w:val="el-GR"/>
        </w:rPr>
        <w:t>ὅτι</w:t>
      </w:r>
      <w:r>
        <w:rPr/>
        <w:t xml:space="preserve"> recitativum übersetzt man am besten als Doppelpunkt.</w:t>
      </w:r>
    </w:p>
  </w:footnote>
  <w:footnote w:id="1293">
    <w:p>
      <w:pPr>
        <w:pStyle w:val="Funote"/>
        <w:rPr/>
      </w:pPr>
      <w:r>
        <w:rPr/>
        <w:footnoteRef/>
        <w:tab/>
        <w:t>die, denen es schlecht geht Subst. Ptz., als Relativsatz aufgelöst. die Kranken ist eine geläufige Übersetzung dieser Wendung, die wir auch Mk 1,32.34 und 6,55 verwenden.</w:t>
      </w:r>
    </w:p>
  </w:footnote>
  <w:footnote w:id="1294">
    <w:p>
      <w:pPr>
        <w:pStyle w:val="Funote"/>
        <w:rPr/>
      </w:pPr>
      <w:r>
        <w:rPr/>
        <w:footnoteRef/>
        <w:tab/>
        <w:t xml:space="preserve">hatten die Angewohnheit, regelmäßig zu fasten </w:t>
      </w:r>
      <w:r>
        <w:rPr>
          <w:lang w:val="el-GR"/>
        </w:rPr>
        <w:t>ἦσαν</w:t>
      </w:r>
      <w:r>
        <w:rPr/>
        <w:t xml:space="preserve"> + Partizip präs. umschreibt das Imperfekt (Umschreibende Konjugation, Bauer zu </w:t>
      </w:r>
      <w:r>
        <w:rPr>
          <w:lang w:val="el-GR"/>
        </w:rPr>
        <w:t>ειμι</w:t>
      </w:r>
      <w:r>
        <w:rPr/>
        <w:t>, BDR §353). Die kursive Übersetzung versucht, das zu umschreiben. Das umschriebene Imperfekt bezeichnet hier entweder den als Angewohnheit gepflegten religiösen Brauch (so Luther, EÜ, ZÜR, NGÜ aü) oder beschreibt einen aktuell stattfindenden Vorgang: fasteten zu dieser Zeit (im Zusammenhang mit V. 15 dann gerade zu der Zeit, als bei Levi das Gastmahl stattfand), was dann Auslöser der folgenden Frage wäre (NGÜ, GNB, Menge). Allerdings macht Markus keine Angaben zum Anlass des Fastens, und die Kritiker scheinen eher eine grundsätzliche Anfrage zu stellen, als zu fragen, warum sich Jesu Jünger nicht an einem gleichzeitig stattfindenden Fasten beteiligen (Vgl. Collins 2007, 197). Johannes und seine Jünger führten einen spartanischen Lebensstil (Mk 1,6; siehe auch die ähnlichen Texte in Mt 11,16–19; Lk 7,31–35). Einige Pharisäer fasteten neben den jährlichen Fastenzeiten und verschiedenen anderen Anlässen (Trauer, Reue) auch montags und donnerstags (Lk 18,12; Guelich 1989, 109).</w:t>
      </w:r>
    </w:p>
  </w:footnote>
  <w:footnote w:id="1295">
    <w:p>
      <w:pPr>
        <w:pStyle w:val="Funote"/>
        <w:rPr/>
      </w:pPr>
      <w:r>
        <w:rPr/>
        <w:footnoteRef/>
        <w:tab/>
        <w:t>kamen und fragten Historisches Präsens.</w:t>
      </w:r>
    </w:p>
  </w:footnote>
  <w:footnote w:id="1296">
    <w:p>
      <w:pPr>
        <w:pStyle w:val="Funote"/>
        <w:rPr/>
      </w:pPr>
      <w:r>
        <w:rPr/>
        <w:footnoteRef/>
        <w:tab/>
        <w:t>Jünger der Pharisäer Da es bei den Pharisäern keine Jünger gab (die Formulierung aber aus rhetorischen Gründen zum Einsatz kommt; France 2002, 138), wäre in diesem Vers die durchgängige Übersetzung »Anhänger« vielleicht passender.</w:t>
      </w:r>
    </w:p>
  </w:footnote>
  <w:footnote w:id="1297">
    <w:p>
      <w:pPr>
        <w:pStyle w:val="Funote"/>
        <w:rPr/>
      </w:pPr>
      <w:r>
        <w:rPr/>
        <w:footnoteRef/>
        <w:tab/>
        <w:t>Hochzeitsgäste des Bräutigams Wörtlich: »die Söhne des Hochzeitssaals/Brautgemachs«, eine semitische Bezeichnung für die Hochzeitsgäste bzw. die Gruppe von Gästen, die den Anhang des Bräutigams bilden und ihm nahe stehen (NSS; Collins 2007, 198f.). Wenn Jesus sich mit dem Bräutigam vergleicht, benutzt er ein Bild, das im AT Gott vorbehalten war (ebd. 199).</w:t>
      </w:r>
    </w:p>
  </w:footnote>
  <w:footnote w:id="1298">
    <w:p>
      <w:pPr>
        <w:pStyle w:val="Funote"/>
        <w:rPr/>
      </w:pPr>
      <w:r>
        <w:rPr/>
        <w:footnoteRef/>
        <w:tab/>
        <w:t>weggenommen wurde Das Aorist funktioniert hier wie das Futur 2. Es wäre wohl zu viel in den Vers hineingelesen, wenn man hier einen direkten Bezug zu einem Fasten am Karfreitag (oder dessen eingedenk an allen Freitagen) ausgehen würde, wie das in der Vergangenheit geschehen ist (z.B. formuliert GNB: »dann werden sie fasten, immer an jenem Tag.«). Jesus spricht von einer Zeit, in der er schon nicht mehr da sein wird, nicht von dem einen Tag, an dem er fortgenommen werden wird (eine Beschreibung, die sich – als erste Todesvorhersage bei Markus – wohl tatsächlich auf seinen Tod bezieht)(Guelich 1989, 112ff.; France 2002, 140).</w:t>
      </w:r>
    </w:p>
  </w:footnote>
  <w:footnote w:id="1299">
    <w:p>
      <w:pPr>
        <w:pStyle w:val="Funote"/>
        <w:rPr/>
      </w:pPr>
      <w:r>
        <w:rPr/>
        <w:footnoteRef/>
        <w:tab/>
        <w:t>Tage/Tag Wie im AT häufig stehen hier Tage, wo man auf Deutsch »(eine) Zeit« sagen würde.</w:t>
      </w:r>
    </w:p>
  </w:footnote>
  <w:footnote w:id="1300">
    <w:p>
      <w:pPr>
        <w:pStyle w:val="Funote"/>
        <w:rPr/>
      </w:pPr>
      <w:r>
        <w:rPr/>
        <w:footnoteRef/>
        <w:tab/>
        <w:t>[aus] neuem (ungewalktem, noch nicht eingelaufenem) Stoff Das benutzte griechische Adjektiv (im NT nur noch in Mt 9,16) wird meist einfach mit »neu« übersetzt (Menge, NSS, BA: »ungewalkt«), im Englischen dagegen mit »unshrunken«=»noch nicht eingegangen« wiedergegeben. Beim Walken wird der »rohe« Wollstoff in Wasser mit Chemikalien behandelt und gekämmt, geknetet oder geschlagen, wobei man es in die gewünschte Form zieht. So verfilzt das Material, es läuft ein und wird fester und formstabiler. Ein Flicken aus ungewalktem Stoff wird beim Waschen also Einlaufen und so das geflickte Kleidungsstück lädieren (LBD wool; France 2002, 141). [aus] Gen. materiae.</w:t>
      </w:r>
    </w:p>
  </w:footnote>
  <w:footnote w:id="1301">
    <w:p>
      <w:pPr>
        <w:pStyle w:val="Funote"/>
        <w:rPr/>
      </w:pPr>
      <w:r>
        <w:rPr/>
        <w:footnoteRef/>
        <w:tab/>
        <w:t>Wein beginnt innerhalb weniger Stunden nach dem Pressen zu gären. Bis der Gärprozess abgeschlossen war, füllte man den Wein damals in Tongefäße oder Lederschläuche. Das bei der Gärung entstandene Kohlenstoffdioxid konnte entweichen, weil man die Gefäße zunächst nicht verschloss (vgl. Hiob 32,19). Neue Lederschläuche waren diesem Druck gewachsen und dehnten sich aus, während alte, brüchige Schläuche dadurch kaputt gehen konnten (LBD, Wine; France 2002, 141f.).</w:t>
      </w:r>
    </w:p>
  </w:footnote>
  <w:footnote w:id="1302">
    <w:p>
      <w:pPr>
        <w:pStyle w:val="Funote"/>
        <w:rPr/>
      </w:pPr>
      <w:r>
        <w:rPr/>
        <w:footnoteRef/>
        <w:tab/>
        <w:t xml:space="preserve">{Und es ereignete sich} [Einmal, als] </w:t>
      </w:r>
      <w:r>
        <w:rPr>
          <w:lang w:val="el-GR"/>
        </w:rPr>
        <w:t>ἐγένετο</w:t>
      </w:r>
      <w:r>
        <w:rPr/>
        <w:t xml:space="preserve"> „es ereignete sich“ + AcI versetzt den Leser oder Zuhörer hier wie in V. 15 mitten in einen neuen Handlungsstrang hinein. </w:t>
      </w:r>
      <w:r>
        <w:rPr>
          <w:lang w:val="el-GR"/>
        </w:rPr>
        <w:t>Καὶ – καὶ</w:t>
      </w:r>
      <w:r>
        <w:rPr/>
        <w:t xml:space="preserve"> „und – und“ scheint semitisierend bzw. in volkstümlichem Griechisch als „als … da“ zu funktionieren.</w:t>
      </w:r>
    </w:p>
  </w:footnote>
  <w:footnote w:id="1303">
    <w:p>
      <w:pPr>
        <w:pStyle w:val="Funote"/>
        <w:rPr/>
      </w:pPr>
      <w:r>
        <w:rPr/>
        <w:footnoteRef/>
        <w:tab/>
        <w:t xml:space="preserve">fingen seine Jünger an, unterwegs {die} Ähren abzurupfen Impliziert ist die weitere Information: „und zu essen“ (vgl. NGÜ), wie die Parallestellen Mt 12,1 und Lk 6,1 verdeutlichen. W. „fingen seine Jünger an, [sich] einen Weg zu bahnen, wobei (indem) sie Ähren abrupften.“ Was genau die Jünger taten, wird erst auf den zweiten Blick klar. Man erhält zunächst den Eindruck, dass die Jünger sich einen Weg durch das Feld bahnten, nicht indem sie die Halme flachtraten, sondern indem sie sie einzeln abrupften! Zu diesem Missverständnis tragen gleich zwei ungewöhnliche Phänomene bei. Erstens ist i.d.R. das adv. Ptz. Aor. eigentlich Umstandsangabe und das finite Verb Haupthandlung. Wer den Satz so liest, versteht ihn jedoch falsch. Besser ist es anzunehmen, dass die partizipiale und die finite Form in diesem Fall in einer sprachlichen Eigenheit vertauscht wurden (so BDR §339 Fn 5; NSS). Die wörtliche Übersetzung müsste also etwa so lauten: „während sie [sich] einen Weg bahnten, begannen sie, Ähren abzurupfen.“ Das zweite Phänomen betrifft das Verständnis dieser Umstandsangabe, also dem mit „während“ eingeleiteten ersten Satzteil in der soeben zitierten wörtlichen Übersetzung. </w:t>
      </w:r>
      <w:r>
        <w:rPr>
          <w:lang w:val="el-GR"/>
        </w:rPr>
        <w:t>ὁδὸν ποιεῖν</w:t>
      </w:r>
      <w:r>
        <w:rPr/>
        <w:t xml:space="preserve"> heißt hier nicht „einen Weg bahnen“, sondern ist zu verstehen wie klass. </w:t>
      </w:r>
      <w:r>
        <w:rPr>
          <w:lang w:val="el-GR"/>
        </w:rPr>
        <w:t>ὁδὸν ποιεῖσθαι</w:t>
      </w:r>
      <w:r>
        <w:rPr/>
        <w:t xml:space="preserve"> „reisen, wandern“ (statt medial wird aktiv formuliert, BDR §310 Fn 3; NSS; Guelich 1989, 119), wie in Ri 17,8 LXX. Die Formulierung wird aus stilistischen Gründen meist adverbial übersetzt (unterwegs).</w:t>
      </w:r>
    </w:p>
  </w:footnote>
  <w:footnote w:id="1304">
    <w:p>
      <w:pPr>
        <w:pStyle w:val="Funote"/>
        <w:rPr/>
      </w:pPr>
      <w:r>
        <w:rPr/>
        <w:footnoteRef/>
        <w:tab/>
        <w:t>Die Pharisäer werfen den Jüngern in dieser Episode vor, am Sabbat zu arbeiten, indem sie ernten. Das wäre am Sabbat verboten (Ex 20,8-11; Dtn 5,12-16; Ex 34,21). Die Verletzung der Sabbatruhe galt als einer der schlimmsten Verstöße gegen den Sinai-Bund (Watts 2007, 139). Eine so kleinliche Auslegung des Gesetzes war zu Jesu Zeit in frommen jüdischen Kreisen üblich. Nach dem Exil begannen die Juden, sehr detaillierte Auslegungen des Gesetzes zu erarbeiten, mit Detailregeln für jeden Bereich des Lebens. Indem man sich an sie hielt, sollte man ein unabsichtliches Brechen des Gesetzes oder Verunreinigung möglichst ausschließen können. So regelt das etwa in dieser Zeit entstandene sog. „Damaskus-Dokument“: „Niemand darf am Sabbat aus beruflichen Gründen auf dem (bzw. seinem) Feld unterwegs sein.“ (CD 10,20-21, sinngemäß nach einem engl. Zitat). Weiter heißt es: „Niemand darf am Sabbat essen außer dem, was schon zubereitet ist, weiter nichts, das auf den Feldern liegt“ (CD 10,22-23). Dtn 23,25 beschreibt den Unterschied zwischen dem Pflücken der Ähren und dem Ernten: Ersteres war auch in fremden Feldern erlaubt, Letzteres nicht. Andere Texte verbieten zwar auch das Pflücken am Sabbat, es geht dabei aber um gezielte Ernte. Die Jünger bewegen sich daher innerhalb einer umstrittenen Grauzone, denn streng genommen bereiten sie weder essen zu, noch ernten sie in geschäftlichem Ausmaß (Collins 2007, 201f.). Die Pharisäer sehen darin dennoch einen Bruch des Sabbats, während Jesus seine Jünger gewähren lässt, weil das Gesetz für ihn im Sinne des Menschen auszugelegen ist (V. 27).</w:t>
      </w:r>
    </w:p>
  </w:footnote>
  <w:footnote w:id="1305">
    <w:p>
      <w:pPr>
        <w:pStyle w:val="Funote"/>
        <w:rPr/>
      </w:pPr>
      <w:r>
        <w:rPr/>
        <w:footnoteRef/>
        <w:tab/>
        <w:t>in einer Notlage war ([nichts zu essen] hatte) W. »Mangel hatte/litt«. In heutigem Deutsch müssen wir entweder etwas allgemeiner (wie vor der Klammer) oder spezifischer (wie in der Klammer) formulieren. Zu unserer Übersetzung vgl. LUT, ELB, ZÜR, MEN.</w:t>
      </w:r>
    </w:p>
  </w:footnote>
  <w:footnote w:id="1306">
    <w:p>
      <w:pPr>
        <w:pStyle w:val="Funote"/>
        <w:rPr/>
      </w:pPr>
      <w:r>
        <w:rPr/>
        <w:footnoteRef/>
        <w:tab/>
        <w:t>Abjatar In der herangezogenen Geschichte in 1Sam 21,2-7 ist es nicht Abjatar, sondern dessen Vater Ahimelech, der in Nob die Stiftshütte verwaltet und David aushilft. Erst später (in 1Sam 22,20) tritt Abjatar als dessen einziger überlebender Sohn in Erscheinung, der sich zu David flüchtet, nachdem Saul alle anderen Mitglieder von Ahimelechs Familie im Zorn hat massakrieren lassen. Allerdings war Ahimelech in der Geschichte nicht Hoherpriester, wohl aber später sein Sohn (Collins 2007, 202f.). Die beiden Namen sind schon in 2Sam 8,17 und 1Chr 24,6 vertauscht, was mit dem Bericht bei Markus zusammenhängen könnte. Es gibt verschiedene weitere Erklärungen: 1. Der Name des wichtigeren könnte sich in der Überlieferung der Geschichte von selbst durchgesetzt haben (Collins 2007, 202f.; Guelich 1989, 122). 2. Der Hohepriester Abjatar wird absichtlich erwähnt, entweder weil im Zusammenhang dieser Geschichte auch erzählt wird, wie er Hoherpriester wurde (Jesus benutzt seinen Namen dann als »Stellenangabe« innerhalb 1. Samuel), oder weil er das Ereignis selbst miterlebte und für Davids Legitimation als König später eine wichtige Rolle spielte (Watts 2007, 141). 3. Aus den unterschiedlichen Versionen könnte zu entnehmen sein, dass beide Priester Doppelnamen hatten (vgl. NSS). 4. Möglicherweise hat Markus’ aramäische Quelle Abjatar nur als »großen Priester« o.ä. bezeichnet, woraus Markus auf Griechisch unabsichtlich »Hoherpriester« machte (vgl. France 2002, 146 Fn 52).</w:t>
      </w:r>
    </w:p>
  </w:footnote>
  <w:footnote w:id="1307">
    <w:p>
      <w:pPr>
        <w:pStyle w:val="Funote"/>
        <w:rPr/>
      </w:pPr>
      <w:r>
        <w:rPr/>
        <w:footnoteRef/>
        <w:tab/>
        <w:t>geweihte Brote W. etwa »Brote der Ausstellung« (appositiver Genitiv), also zu Deutsch »die ausgestellten Brote«. Jesus benutzt hier den Begriff aus der LXX für die aus dem AT bekannten »geweihten Brote« oder »Schaubrote« (NSS).</w:t>
      </w:r>
    </w:p>
  </w:footnote>
  <w:footnote w:id="1308">
    <w:p>
      <w:pPr>
        <w:pStyle w:val="Funote"/>
        <w:rPr/>
      </w:pPr>
      <w:r>
        <w:rPr/>
        <w:footnoteRef/>
        <w:tab/>
        <w:t>Menschensohn Zum Titel s. die Fußnote zu V. 10. Der Titel bezieht sich wie überall im Neuen Testament als Selbstbezeichnung auf Jesus. Es wurde auch für V. 27-28 verschiedentlich vorgeschlagen, dass sowohl »Mensch« (V. 27) als auch »Menschensohn« (V. 28) beide dasselbe aramäische Wort übersetzen. In beiden Versen würde Jesus dann entweder von der Menschheit oder in stilistischer Variation von sich selbst sprechen. Oder die Formulierung »Mensch«/»Menschensohn« ähnelt Ps 8,5, sodass V. 27 vom Menschen, und V. 28 entweder vom Menschen oder von Jesus spricht. Im letzten Fall wäre Jesu Aussage für die Pharisäer nachvollziehbar (so Guelich 1989, 126f.; Collins 2007, 204f.). Doch hätten die christlich denkenden Leser des Evangeliums die Formulierung wohl nicht anders denn als christologischen Titel verstanden – egal wie sie in ihrem ursprünglichen Kontext gemeint war. Es wäre zudem theologisch problematisch, wenn Jesus den von Gott verordneten Sabbat der Willkür des Menschen unterworfen hätte. Und letztlich hätte der Satz nach dieser Deutung lediglich wiederholt, was schon der vorige besagte (Edwards 2002, 96f.). Markus meint daher wohl: Weil Jesus (als der Menschensohn) größere Autorität hat als David, hat er auch die Autorität, den Sabbat zu definieren. Beide sind Gottes Auserwählte, die auf einer von Gott bestimmten Mission sind. So haben jedenfalls Matthäus (12,8) und Lukas (6,5) die Aussage verstanden (France 2002, 147f.; vgl. Collins 2007, 204f.; Edwards 2002, 96f.).</w:t>
      </w:r>
    </w:p>
  </w:footnote>
  <w:footnote w:id="1309">
    <w:p>
      <w:pPr>
        <w:pStyle w:val="Funote"/>
        <w:rPr/>
      </w:pPr>
      <w:r>
        <w:rPr/>
        <w:footnoteRef/>
        <w:tab/>
        <w:t xml:space="preserve">Herr sogar [über] den Sabbat </w:t>
      </w:r>
      <w:r>
        <w:rPr>
          <w:lang w:val="el-GR"/>
        </w:rPr>
        <w:t>κύριός</w:t>
      </w:r>
      <w:r>
        <w:rPr/>
        <w:t xml:space="preserve"> Herr mit Genitiv heißt »Herr über« (NSS).</w:t>
      </w:r>
    </w:p>
  </w:footnote>
  <w:footnote w:id="1310">
    <w:p>
      <w:pPr>
        <w:pStyle w:val="Funote"/>
        <w:rPr/>
      </w:pPr>
      <w:r>
        <w:rPr/>
        <w:footnoteRef/>
        <w:tab/>
        <w:t>[Status: Zuverlässig]</w:t>
      </w:r>
    </w:p>
  </w:footnote>
  <w:footnote w:id="1311">
    <w:p>
      <w:pPr>
        <w:pStyle w:val="Funote"/>
        <w:rPr/>
      </w:pPr>
      <w:r>
        <w:rPr/>
        <w:footnoteRef/>
        <w:tab/>
        <w:t>verkrüppelt W. „verdorrt“ (LUT, ELB, EÜ), „vertrocknet“, was den damaligen medizinischen Vorstellungen entsprach (Collins 2007, 206). GNB: „abgestorben“, ZÜR: „verkümmert“, MEN: „gelähmt“. Unsere Übersetzung wie NGÜ.</w:t>
      </w:r>
    </w:p>
  </w:footnote>
  <w:footnote w:id="1312">
    <w:p>
      <w:pPr>
        <w:pStyle w:val="Funote"/>
        <w:rPr/>
      </w:pPr>
      <w:r>
        <w:rPr/>
        <w:footnoteRef/>
        <w:tab/>
        <w:t>der ... hatte Attributives Partizip Präsens. Als Relativsatz aufgelöst.</w:t>
      </w:r>
    </w:p>
  </w:footnote>
  <w:footnote w:id="1313">
    <w:p>
      <w:pPr>
        <w:pStyle w:val="Funote"/>
        <w:rPr/>
      </w:pPr>
      <w:r>
        <w:rPr/>
        <w:footnoteRef/>
        <w:tab/>
        <w:t>sie achteten (man achtete, sie lauerten) genau Das Subjekt „sie“ bezeichnet sicherlich die Pharisäer aus 2,24 und 3,6. Mk lässt die Referenz aber bewusst offen und verwendet stattdessen einen impersonalen Plural - vielleicht auch als Passiversatz, also „wurde belauert“ –, um so den Eindruck einer allgemeinen feindlichen Atmosphäre zu erzeugen.</w:t>
      </w:r>
    </w:p>
  </w:footnote>
  <w:footnote w:id="1314">
    <w:p>
      <w:pPr>
        <w:pStyle w:val="Funote"/>
        <w:rPr/>
      </w:pPr>
      <w:r>
        <w:rPr/>
        <w:footnoteRef/>
        <w:tab/>
        <w:t>[am] Sabbat Temporaler Dativ.</w:t>
      </w:r>
    </w:p>
  </w:footnote>
  <w:footnote w:id="1315">
    <w:p>
      <w:pPr>
        <w:pStyle w:val="Funote"/>
        <w:rPr/>
      </w:pPr>
      <w:r>
        <w:rPr/>
        <w:footnoteRef/>
        <w:tab/>
        <w:t>sagte Historisches Präsens.</w:t>
      </w:r>
    </w:p>
  </w:footnote>
  <w:footnote w:id="1316">
    <w:p>
      <w:pPr>
        <w:pStyle w:val="Funote"/>
        <w:rPr/>
      </w:pPr>
      <w:r>
        <w:rPr/>
        <w:footnoteRef/>
        <w:tab/>
        <w:t>mit der verkümmerten Hand Attr. Ptz. (vgl. V. 1), aus stilistischen Gründen nicht als Relativsatz, sondern als Präpositionalphrase übersetzt. verkümmert S. die Fn zu „verkrüppelt“ in V. 1. Hier benutzt Markus ein Adjektiv aus derselben Wurzel wie das Ptz. in V. 1, das sich in der Bedeutung nicht wesentlich unterscheidet.</w:t>
      </w:r>
    </w:p>
  </w:footnote>
  <w:footnote w:id="1317">
    <w:p>
      <w:pPr>
        <w:pStyle w:val="Funote"/>
        <w:rPr/>
      </w:pPr>
      <w:r>
        <w:rPr/>
        <w:footnoteRef/>
        <w:tab/>
        <w:t xml:space="preserve">Komm (Steh auf) W. »Steh auf«, aber </w:t>
      </w:r>
      <w:r>
        <w:rPr>
          <w:lang w:val="el-GR"/>
        </w:rPr>
        <w:t>ἐγείρω</w:t>
      </w:r>
      <w:r>
        <w:rPr/>
        <w:t xml:space="preserve"> wird im Griechischen öfter auch – ähnlich wie hebr. </w:t>
      </w:r>
      <w:r>
        <w:rPr>
          <w:rtl w:val="true"/>
          <w:lang w:bidi="he-IL"/>
        </w:rPr>
        <w:t>קוּם</w:t>
      </w:r>
      <w:r>
        <w:rPr/>
        <w:t xml:space="preserve"> – </w:t>
      </w:r>
      <w:r>
        <w:rPr/>
        <w:t xml:space="preserve">vergleichbar unserem deutschen »Auf!«, »Los!« etc. verwendet (»entsemantisierter Vorbereitungsimperativ«). Das ist vermutlich auch hier die Bedeutung (vgl. BDAG zu </w:t>
      </w:r>
      <w:r>
        <w:rPr>
          <w:lang w:val="el-GR"/>
        </w:rPr>
        <w:t>ἐγείρω</w:t>
      </w:r>
      <w:r>
        <w:rPr/>
        <w:t>). »Komm!« ist die im Kontext stimmigste Übersetzung und wird so auch von BDAG emfpohlen. In der Übersetzung wird daraus: »Komm in die Mitte!«</w:t>
      </w:r>
    </w:p>
  </w:footnote>
  <w:footnote w:id="1318">
    <w:p>
      <w:pPr>
        <w:pStyle w:val="Funote"/>
        <w:rPr/>
      </w:pPr>
      <w:r>
        <w:rPr/>
        <w:footnoteRef/>
        <w:tab/>
        <w:t>fragte Historisches Präsens.</w:t>
      </w:r>
    </w:p>
  </w:footnote>
  <w:footnote w:id="1319">
    <w:p>
      <w:pPr>
        <w:pStyle w:val="Funote"/>
        <w:rPr/>
      </w:pPr>
      <w:r>
        <w:rPr/>
        <w:footnoteRef/>
        <w:tab/>
        <w:t>[am] Sabbat Temporaler Dativ.</w:t>
      </w:r>
    </w:p>
  </w:footnote>
  <w:footnote w:id="1320">
    <w:p>
      <w:pPr>
        <w:pStyle w:val="Funote"/>
        <w:rPr/>
      </w:pPr>
      <w:r>
        <w:rPr/>
        <w:footnoteRef/>
        <w:tab/>
        <w:t xml:space="preserve">voll Zorn (zornig) Die Präposition </w:t>
      </w:r>
      <w:r>
        <w:rPr>
          <w:lang w:val="el-GR"/>
        </w:rPr>
        <w:t>μετά</w:t>
      </w:r>
      <w:r>
        <w:rPr/>
        <w:t xml:space="preserve"> + [Gefühl] dient zur Angabe von Gemütszuständen (BDAG Bed. III.1).</w:t>
      </w:r>
    </w:p>
  </w:footnote>
  <w:footnote w:id="1321">
    <w:p>
      <w:pPr>
        <w:pStyle w:val="Funote"/>
        <w:rPr/>
      </w:pPr>
      <w:r>
        <w:rPr/>
        <w:footnoteRef/>
        <w:tab/>
        <w:t>blickte … alle der Reihe nach (ringsum) an übersetzt das Prädikat. Ptz. conj. (Aor.), hier temporal gleichzeitig zu verstehen. V. 3 Komm (Steh auf) in die Mitte! legt nahe, dass Jesus den Mann mit der verkrüppelten Hand in die Mitte der Versammlung gestellt hatte. In Synagogen saß man auf Steinbänken an den Wänden oder auf Matten auf dem Fußboden (Guelich 1989, 134). Jetzt schaut er mit einem deutlich spürbaren Blick in die Runde.</w:t>
      </w:r>
    </w:p>
  </w:footnote>
  <w:footnote w:id="1322">
    <w:p>
      <w:pPr>
        <w:pStyle w:val="Funote"/>
        <w:rPr/>
      </w:pPr>
      <w:r>
        <w:rPr/>
        <w:footnoteRef/>
        <w:tab/>
        <w:t>tief betrübt (voller Mitleid) Ptz. conj. Präsens (modal); in der Klammer als Präpositionalphrase aufgelöst. Andere Möglichkeiten: „Er war [tief] betrübt“, „weil er [tief] betrübt war, ...“ Die meisten verstehen die Beschreibung als Ausdruck der Trauer, nicht des Mitleids, obwohl jenes ebenso möglich wäre (vgl. NSS; France 2002, 151).</w:t>
      </w:r>
    </w:p>
  </w:footnote>
  <w:footnote w:id="1323">
    <w:p>
      <w:pPr>
        <w:pStyle w:val="Funote"/>
        <w:rPr/>
      </w:pPr>
      <w:r>
        <w:rPr/>
        <w:footnoteRef/>
        <w:tab/>
        <w:t>ihrer Herzen W. „ihres Herzens“</w:t>
      </w:r>
    </w:p>
  </w:footnote>
  <w:footnote w:id="1324">
    <w:p>
      <w:pPr>
        <w:pStyle w:val="Funote"/>
        <w:rPr/>
      </w:pPr>
      <w:r>
        <w:rPr/>
        <w:footnoteRef/>
        <w:tab/>
        <w:t>sobald … hinausgegangen waren Ptz. conj., temporal (vorzeitig) als Nebensatz aufgelöst. Ebenfalls möglich: „Doch die Pharisäer gingen hinaus und...“ (gleichzeitig)</w:t>
      </w:r>
    </w:p>
  </w:footnote>
  <w:footnote w:id="1325">
    <w:p>
      <w:pPr>
        <w:pStyle w:val="Funote"/>
        <w:rPr/>
      </w:pPr>
      <w:r>
        <w:rPr/>
        <w:footnoteRef/>
        <w:tab/>
        <w:t xml:space="preserve">fassten Pläne Gr. </w:t>
      </w:r>
      <w:r>
        <w:rPr>
          <w:lang w:val="el-GR"/>
        </w:rPr>
        <w:t>συμβούλιον ἐδίδουν</w:t>
      </w:r>
      <w:r>
        <w:rPr/>
        <w:t xml:space="preserve"> Sonst unbekannte Formulierung, wörtlich: „Rat geben“. Übersetzungen: „einen Beschluss fassen“ (NSS, ZÜR, EÜ), „Rat halten“ (z.B. Elb, Lut), „beschließen“ (GNB), „beraten“ (Menge), NGÜ wie OfBi. Das Verb steht im Imperfekt. Daraus wird ersichtlich, dass sie über einen gewissen Zeitraum berieten oder Pläne schmiedeten.</w:t>
      </w:r>
    </w:p>
  </w:footnote>
  <w:footnote w:id="1326">
    <w:p>
      <w:pPr>
        <w:pStyle w:val="Funote"/>
        <w:rPr/>
      </w:pPr>
      <w:r>
        <w:rPr/>
        <w:footnoteRef/>
        <w:tab/>
        <w:t>Meer Gemeint ist wie schon in Mk 2,13 der See Gennesaret, das „Meer von Galiläa“. Auch die gesonderte Erwähnung der Menschenmenge aus Galiläa weist darauf hin.</w:t>
      </w:r>
    </w:p>
  </w:footnote>
  <w:footnote w:id="1327">
    <w:p>
      <w:pPr>
        <w:pStyle w:val="Funote"/>
        <w:rPr/>
      </w:pPr>
      <w:r>
        <w:rPr/>
        <w:footnoteRef/>
        <w:tab/>
        <w:t>auch (und) aus Judäa Markus beschreibt hier zwei getrennte Gruppen, eine in V. 7 und eine in V. 8. Die erste enthält mindestens Menschen aus Galiläa. Bei der Versabgrenzung verstand man offenbar auch Leute aus dem anderen großen jüdischen Gebiet, Judäa, als Teil dieser Menge, doch schloss Jerusalem (V. 8) etwas willkürlich aus. Sinnvoller erscheint eine Aufteilung nach geographischer Nähe: In Galiläa befindet sich Jesus gerade. Judäa, Jerusalem und Idumäa liegen südlich davon, das „Gebiet jenseits des Jordans“ östlich und Tyrus und Sidon nördlich. Die Aufzählung bedeutet schlicht: „Von nah und von überall her aus der Ferne (und auch aus Jerusalem)“. So verstehen es die herangezogenen Übersetzungen, nur ELB geht von nur einer Menge aus und muss dann in V. 8 noch einmal „eine große Menge“ ohne echte Funktion erwähnen. Ähnlich ging es bei Johannes zu, dessen Wirken sich auf Judäa beschränkte und der hauptsächlich die Menschen dieser Provinz erreichte (Mk 1,5), wobei auch Galiläer wie Jesus von ihm hörten und ihn aufsuchten (1,9).</w:t>
      </w:r>
    </w:p>
  </w:footnote>
  <w:footnote w:id="1328">
    <w:p>
      <w:pPr>
        <w:pStyle w:val="Funote"/>
        <w:rPr/>
      </w:pPr>
      <w:r>
        <w:rPr/>
        <w:footnoteRef/>
        <w:tab/>
        <w:t>kam W. „kamen“ (Constructio ad sensum). Genauso das folgende Partizip „die hörten“.</w:t>
      </w:r>
    </w:p>
  </w:footnote>
  <w:footnote w:id="1329">
    <w:p>
      <w:pPr>
        <w:pStyle w:val="Funote"/>
        <w:rPr/>
      </w:pPr>
      <w:r>
        <w:rPr/>
        <w:footnoteRef/>
        <w:tab/>
        <w:t>die hörten Ptz. conj. Präsens, kausal oder temporal, hier als Relativsatz aufgelöst, der beide Aspekte vermitteln kann.</w:t>
      </w:r>
    </w:p>
  </w:footnote>
  <w:footnote w:id="1330">
    <w:p>
      <w:pPr>
        <w:pStyle w:val="Funote"/>
        <w:rPr/>
      </w:pPr>
      <w:r>
        <w:rPr/>
        <w:footnoteRef/>
        <w:tab/>
        <w:t>heilte bzw. hatte geheilt Das Aorist könnte hier gut die Vorvergangenheit bezeichnen (Grosvenor/Zerwick; Kleist 1937, S. 193; van Iersel 1998, S. 162; vgl. Zerwick §290). Gut GN, KAM: „Weil er schon so viele geheilt hatte, stürzten...“. „Weil“ auch ALB, B/N, HER, MEN, NGÜ; ähnlich BB.</w:t>
      </w:r>
    </w:p>
  </w:footnote>
  <w:footnote w:id="1331">
    <w:p>
      <w:pPr>
        <w:pStyle w:val="Funote"/>
        <w:rPr/>
      </w:pPr>
      <w:r>
        <w:rPr/>
        <w:footnoteRef/>
        <w:tab/>
        <w:t>Leiden (Qualen) W. „Geißel“, übertragen „Plage“. Per Bedeutungserweiterung auch „Leiden“ oder „Gebrechen“ (vgl. LN 23.182). hatten Markus benutzt das Imperfekt, um die anhaltende Situation zu beschreiben. Das setzt sich bis V. 12 fort.</w:t>
      </w:r>
    </w:p>
  </w:footnote>
  <w:footnote w:id="1332">
    <w:p>
      <w:pPr>
        <w:pStyle w:val="Funote"/>
        <w:rPr/>
      </w:pPr>
      <w:r>
        <w:rPr/>
        <w:footnoteRef/>
        <w:tab/>
        <w:t>{und sagten} Pleonastisches Partizip.</w:t>
      </w:r>
    </w:p>
  </w:footnote>
  <w:footnote w:id="1333">
    <w:p>
      <w:pPr>
        <w:pStyle w:val="Funote"/>
        <w:rPr/>
      </w:pPr>
      <w:r>
        <w:rPr/>
        <w:footnoteRef/>
        <w:tab/>
        <w:t xml:space="preserve">{dass} </w:t>
      </w:r>
      <w:r>
        <w:rPr>
          <w:lang w:val="el-GR"/>
        </w:rPr>
        <w:t>ὅτι</w:t>
      </w:r>
      <w:r>
        <w:rPr/>
        <w:t xml:space="preserve"> recitativum.</w:t>
      </w:r>
    </w:p>
  </w:footnote>
  <w:footnote w:id="1334">
    <w:p>
      <w:pPr>
        <w:pStyle w:val="Funote"/>
        <w:rPr/>
      </w:pPr>
      <w:r>
        <w:rPr/>
        <w:footnoteRef/>
        <w:tab/>
        <w:t xml:space="preserve">drohte (befahl, wies an) ihnen nachdrücklich W. etwa „wies sie viel zurecht“. Das Adverb </w:t>
      </w:r>
      <w:r>
        <w:rPr>
          <w:lang w:val="el-GR"/>
        </w:rPr>
        <w:t>πολλὰ</w:t>
      </w:r>
      <w:r>
        <w:rPr/>
        <w:t xml:space="preserve"> „viel“ benutzt Markus hier intensivierend (ganz ähnlich wie „sehr“), daher die Übersetzung nachdrücklich. Wie in Mk 1,25 (s. Fn dort) kontrolliert Jesus hier Dämonen, denen er bindende Befehle erteilt. So heißt das Wort in diesem Kontext eher (indirekte Rede einleitend) befehlen. Guelich benutzt stattdessen die Übersetzung „seiner Kontrolle unterwerfen“ (engl. „subdue“), was im Kontext ebenfalls gut möglich ist (ders. 1989, 148f.). Die Übersetzung müsste man dann im Hinblick auf </w:t>
      </w:r>
      <w:r>
        <w:rPr>
          <w:lang w:val="el-GR"/>
        </w:rPr>
        <w:t>πολλὰ</w:t>
      </w:r>
      <w:r>
        <w:rPr/>
        <w:t xml:space="preserve"> (dann iterativ) und den Nebensatz leicht anpassen: „Und er unterwarf sie immer wieder seiner Kontrolle, damit sie nicht öffentlich machten, [wer er war].“ drohte ..., damit sie ihn nicht bekannt machten – Das Griechische drückt den indirekt geäußerten negativen Befehl durch einen finalen Nebensatz aus, das Deutsche mit einem Infinitivsatz. Stilistisch schöner mit „verbieten“: verbot … zu machen.</w:t>
      </w:r>
    </w:p>
  </w:footnote>
  <w:footnote w:id="1335">
    <w:p>
      <w:pPr>
        <w:pStyle w:val="Funote"/>
        <w:rPr/>
      </w:pPr>
      <w:r>
        <w:rPr/>
        <w:footnoteRef/>
        <w:tab/>
        <w:t>stieg und rief Historisches Präsens.</w:t>
      </w:r>
    </w:p>
  </w:footnote>
  <w:footnote w:id="1336">
    <w:p>
      <w:pPr>
        <w:pStyle w:val="Funote"/>
        <w:rPr/>
      </w:pPr>
      <w:r>
        <w:rPr/>
        <w:footnoteRef/>
        <w:tab/>
        <w:t>die er selbst sich ausgesucht hatte W. „die er selbst wollte“. NSS schlägt sinngemäß „die er bei sich haben wollte“ vor (so NGÜ, ähnlich MEN, ZÜR). EÜ: „die er erwählt hatte“, GNB: „die er für eine besondere Aufgabe vorgesehen hatte“.</w:t>
      </w:r>
    </w:p>
  </w:footnote>
  <w:footnote w:id="1337">
    <w:p>
      <w:pPr>
        <w:pStyle w:val="Funote"/>
        <w:rPr/>
      </w:pPr>
      <w:r>
        <w:rPr/>
        <w:footnoteRef/>
        <w:tab/>
        <w:t>kamen zu ihm W. „gingen/kamen weg zu ihm“ oder „verließen (hin) zu ihm“. Man hat sich das vielleicht bildlich so vorzustellen, dass sie sich auf seinen Ruf hin aus der Menge lösten und ihm kamen. Doch der Gebrauch des Worts in einer anderen Berufungssituation (Mk 1,20) zeigt, dass Markus mit dem Wort für seine Leser wieder auch eine Trennung vom alten Leben (oder von der Jesus nur aus Sensationslust folgenden Masse) ausdrücken möchte (vgl. Guelich 1989, 157).</w:t>
      </w:r>
    </w:p>
  </w:footnote>
  <w:footnote w:id="1338">
    <w:p>
      <w:pPr>
        <w:pStyle w:val="Funote"/>
        <w:rPr/>
      </w:pPr>
      <w:r>
        <w:rPr/>
        <w:footnoteRef/>
        <w:tab/>
        <w:t>bestimmte W. „machte“, ein Semitismus (Guelich 1989, 157).</w:t>
      </w:r>
    </w:p>
  </w:footnote>
  <w:footnote w:id="1339">
    <w:p>
      <w:pPr>
        <w:pStyle w:val="Funote"/>
        <w:rPr/>
      </w:pPr>
      <w:r>
        <w:rPr/>
        <w:footnoteRef/>
        <w:tab/>
        <w:t xml:space="preserve">die er bei sich haben und die er aussenden [wollte] (vgl. EÜ, NGÜ, GNB) Der doppelte Relativsatz mit eingefügtem [wollte] übersetzt den griechischen doppelten finalen Nebensatz (mit zweifachem </w:t>
      </w:r>
      <w:r>
        <w:rPr>
          <w:lang w:val="el-GR"/>
        </w:rPr>
        <w:t>ἵνα</w:t>
      </w:r>
      <w:r>
        <w:rPr/>
        <w:t xml:space="preserve"> „damit, um zu“). Diese Umformulierung ist notwendig, um die finalen Infinitivsätze (um zu predigen und V. 15), die die beiden finalen Nebensätze modifizieren, noch in vernünftigem Deutsch wiedergeben zu können. Als finaler Nebensatz könnte man sonst auch direkter übersetzen: „um bei ihm zu sein und um sie auszusenden“.</w:t>
      </w:r>
    </w:p>
  </w:footnote>
  <w:footnote w:id="1340">
    <w:p>
      <w:pPr>
        <w:pStyle w:val="Funote"/>
        <w:rPr/>
      </w:pPr>
      <w:r>
        <w:rPr/>
        <w:footnoteRef/>
        <w:tab/>
        <w:t>„</w:t>
      </w:r>
      <w:r>
        <w:rPr/>
        <w:t xml:space="preserve">Boanerges“ kommt in der Bibel nur hier vor und ist offenbar die griechische Schreibung eines aramäischen oder hebräischen Titels. „Boane-“ steht dabei für „Söhne“, auch wenn diese Form des hebräischen/aramäischen </w:t>
      </w:r>
      <w:r>
        <w:rPr>
          <w:rtl w:val="true"/>
          <w:lang w:bidi="he-IL"/>
        </w:rPr>
        <w:t>בני</w:t>
      </w:r>
      <w:r>
        <w:rPr/>
        <w:t xml:space="preserve"> </w:t>
      </w:r>
      <w:r>
        <w:rPr/>
        <w:t>sonst nicht bekannt ist und auch nicht der richtigen Aussprache entspricht. Es gibt verschiedene Vermutungen, welche anderen Begriffe dahinterstehen könnten, aber insgesamt liegt die Herkunft des Titels im Dunkeln (Collins 2007, 219-21).</w:t>
      </w:r>
    </w:p>
  </w:footnote>
  <w:footnote w:id="1341">
    <w:p>
      <w:pPr>
        <w:pStyle w:val="Funote"/>
        <w:rPr/>
      </w:pPr>
      <w:r>
        <w:rPr/>
        <w:footnoteRef/>
        <w:tab/>
        <w:t>heißt W. „ist“</w:t>
      </w:r>
    </w:p>
  </w:footnote>
  <w:footnote w:id="1342">
    <w:p>
      <w:pPr>
        <w:pStyle w:val="Funote"/>
        <w:rPr/>
      </w:pPr>
      <w:r>
        <w:rPr/>
        <w:footnoteRef/>
        <w:tab/>
        <w:t>Simon den Eiferer (Zeloten) Während Lk 6,15 den Jünger als Zeloten ausweist (</w:t>
      </w:r>
      <w:r>
        <w:rPr>
          <w:lang w:val="el-GR"/>
        </w:rPr>
        <w:t>Σίμωνα τὸν καλούμενον ζηλωτὴν</w:t>
      </w:r>
      <w:r>
        <w:rPr/>
        <w:t xml:space="preserve">), nennen Mk 3,18 und Mt 10,4 ihn </w:t>
      </w:r>
      <w:r>
        <w:rPr>
          <w:lang w:val="el-GR"/>
        </w:rPr>
        <w:t>Σίμων ὁ Καναναῖος</w:t>
      </w:r>
      <w:r>
        <w:rPr/>
        <w:t xml:space="preserve"> „Simon der Kananäus“. Das ist Aramäisch für „Eiferer“, was Lukas korrekt ins Griechische übertragen hat. Simon wird aber nicht zur politischen Bewegung der Zeloten gehört haben, die erst im Winter 67-68 entstand. Die wurden die Zeloten erst zur Zeit des jüdischen Kriegs (um 70 n. Chr.) zu einer Bewegung unter diesem Namen. Simon erhielt den Titel vielleicht, weil er besonders eifrig und fromm in der Wahrung des Gesetzes war (Collins 2007, 222f.; France 2002, 162f.). Andererseits hätten Markus' Leser den Beinamen vielleicht schon so (und nicht anders) verstanden (ders., 163).</w:t>
      </w:r>
    </w:p>
  </w:footnote>
  <w:footnote w:id="1343">
    <w:p>
      <w:pPr>
        <w:pStyle w:val="Funote"/>
        <w:rPr/>
      </w:pPr>
      <w:r>
        <w:rPr/>
        <w:footnoteRef/>
        <w:tab/>
        <w:t xml:space="preserve">Iskariot Dieser Beiname ist wohl die griechische Schreibweise für Hebr. </w:t>
      </w:r>
      <w:r>
        <w:rPr>
          <w:rtl w:val="true"/>
          <w:lang w:bidi="he-IL"/>
        </w:rPr>
        <w:t>איש קריות</w:t>
      </w:r>
      <w:r>
        <w:rPr/>
        <w:t xml:space="preserve"> „</w:t>
      </w:r>
      <w:r>
        <w:rPr/>
        <w:t xml:space="preserve">Mann aus Keriot“, einem Dorf nahe Hebron in Juda. In Joh 6,71; 13,26 trägt schon sein Vater diesen Beinamen. Judas trug den Beinamen als Unterscheidungsmerkmal, weil der Name „Juda“ zu Jesu Zeit zusammen mit „Simeon“ (Simon) und „Jeshua“ (Jesus) einer der häufigsten jüdischen Namen überhaupt war. Nach anderen, jedoch problematischen Vorschlägen ist Iskariot entweder ein Beiname, den Judas erst nach seinem Verrat von den frühen Christen erhielt. Er leitet sich dann von Aramäisch </w:t>
      </w:r>
      <w:r>
        <w:rPr>
          <w:rtl w:val="true"/>
          <w:lang w:bidi="he-IL"/>
        </w:rPr>
        <w:t>סכר</w:t>
      </w:r>
      <w:r>
        <w:rPr/>
        <w:t>, sakar „Lügner, Falscher“ ab. Oder er stammt aus Judas' angenommener Vergangenheit als jüdischer Freiheitskämpfer und leitet sich von Lat. sicarius „Meuchelmörder“ ab (ähnlich wie bei einem anderen Jünger, Simon dem Zeloten). Doch wenn schon Judas' Vater den Beinamen trug, ist die erste Theorie die wahrscheinlichste. Judas wäre dann der einzige Jünger, der nicht aus Galiläa stammt (Collins 2007, 223; Guelich 1989, 163).</w:t>
      </w:r>
    </w:p>
  </w:footnote>
  <w:footnote w:id="1344">
    <w:p>
      <w:pPr>
        <w:pStyle w:val="Funote"/>
        <w:rPr/>
      </w:pPr>
      <w:r>
        <w:rPr/>
        <w:footnoteRef/>
        <w:tab/>
        <w:t>auslieferte (verriet) Das Wort heißt „übergeben“ oder „ausliefern“ (hier zum ersten Mal für Jesus). In Mk 1,14 bezeichnet es (vielleicht absichtlich) die Verhaftung von Johannes dem Täufer. Die Evangelien benutzen das Wort in verschiedenen Fällen für Jesu Verrat, Festnahme und Übergabe an die Autoritäten sowie zur Kreuzigung. Die Konnotation des Verrats ist dabei in vielen Fällen enthalten (z.B. Joh 13,2). Dasselbe Verb benutzt die LXX für den stellvertretenden Tod des leidenden Knechts in Jes 53,6.12 LXX. Nach der angekündigten Wegnahme des Bräutigams in 2,20 ist es schon die zweite Andeutung von Jesu späterem Schicksal (Collins 2007, 223f.).</w:t>
      </w:r>
    </w:p>
  </w:footnote>
  <w:footnote w:id="1345">
    <w:p>
      <w:pPr>
        <w:pStyle w:val="Funote"/>
        <w:rPr/>
      </w:pPr>
      <w:r>
        <w:rPr/>
        <w:footnoteRef/>
        <w:tab/>
        <w:t>nach Hause bzw. in ein Haus Es wird sich wieder um Petrus' Haus in Kafarnaum handeln, das Jesus offenbar bezogen hat (vgl. Mk 1,29; 2,1). Abgesehen von seinem Besuch in Levis Haus (2,15) ist es das einzige bisher identifizierte (France 2002, 164f.).</w:t>
      </w:r>
    </w:p>
  </w:footnote>
  <w:footnote w:id="1346">
    <w:p>
      <w:pPr>
        <w:pStyle w:val="Funote"/>
        <w:rPr/>
      </w:pPr>
      <w:r>
        <w:rPr/>
        <w:footnoteRef/>
        <w:tab/>
        <w:t>ging und versammelte Historisches Präsens.</w:t>
      </w:r>
    </w:p>
  </w:footnote>
  <w:footnote w:id="1347">
    <w:p>
      <w:pPr>
        <w:pStyle w:val="Funote"/>
        <w:rPr/>
      </w:pPr>
      <w:r>
        <w:rPr/>
        <w:footnoteRef/>
        <w:tab/>
        <w:t>Brot essen Ein Semitismus für das Einnehmen einer Mahlzeit (Guelich 1989, 167). Entsprechend steht in den meisten Übersetzungen nur „essen“. Das Subjekt sie könnte sich auch auf die Menge beziehen, der Satz ergibt aber nur Sinn, wenn die Subjekte des vorigen Abschnitts (Jesus und die zwölf Jünger) wegen der aufdringlichen Menschenmenge nicht zum Essen kommen.</w:t>
      </w:r>
    </w:p>
  </w:footnote>
  <w:footnote w:id="1348">
    <w:p>
      <w:pPr>
        <w:pStyle w:val="Funote"/>
        <w:rPr/>
      </w:pPr>
      <w:r>
        <w:rPr/>
        <w:footnoteRef/>
        <w:tab/>
        <w:t xml:space="preserve">Angehörigen (Anhänger), w. „die bei ihm“, bezieht sich nach traditioneller Auslegung auf Jesu direkte Familie. Die Handlung wird in den Versen 22-30 unterbrochen, um in V. 31 wieder aufgenommen zu werden. Dort steht als Subjekt „Seine Mutter und seine Brüder/Geschwister“; (France 2002, 165; Guelich 1989, 172). Nach G. Hartmann, BZ 11 (1913) 249–79 könnte es sich auch auf seine Anhänger (=die Jünger) beziehen, die außer Kontrolle geratene Menge beruhigen wollen. Dies ist jedoch aufgrund sprachlicher Beobachtungen unwahrscheinlich. Das Problem ist, dass die Phrase </w:t>
      </w:r>
      <w:r>
        <w:rPr>
          <w:lang w:val="el-GR"/>
        </w:rPr>
        <w:t>οἱ παρʼ αὐτοῦ</w:t>
      </w:r>
      <w:r>
        <w:rPr/>
        <w:t xml:space="preserve"> „die bei ihm“ so allgemein ist, dass man sie zunächst auf die Jünger beziehen würde – das ist aber schon deshalb auszuschließen, weil die Jünger ja bei ihm sind und sich nicht erst auf den Weg zu ihm machen müssen. Erst mehrere Verse später klärt Markus uns darüber auf, wer genau hinter der Bezeichnung steckt (France 2002, 165f.). Luther: „die Seinen“, ZÜR: „seine Verwandten“, andere Übersetzungen wie OfBi.</w:t>
      </w:r>
    </w:p>
  </w:footnote>
  <w:footnote w:id="1349">
    <w:p>
      <w:pPr>
        <w:pStyle w:val="Funote"/>
        <w:rPr/>
      </w:pPr>
      <w:r>
        <w:rPr/>
        <w:footnoteRef/>
        <w:tab/>
        <w:t>mit Gewalt zurückzuholen bzw. zurückzuhalten W. „ergreifen, festnehmen“ Das Verb lässt offen, ob seine Verwandten Jesus gegen seinen Willen nach Hause bringen, ihn im Haus festhalten oder ihn von der außer Kontrolle geratenen Menge fernhalten und beschützen wollten. Letzteres setzt freilich voraus, dass sie in der Nähe waren und nicht erst von Nazaret kommen mussten. Wenn mit Jesu Zuhause (V. 20) nicht Nazaret gemeint ist (unwahrscheinlich aufgrund der vagen Ausdrucksweise) oder Jesus aus anderen Gründen Verwandte in unmittelbarer Nähe hatte, ist nicht davon auszugehen, dass diese sich aufgrund der in V. 20 beschriebenen Lage zum Handeln entschieden. Eher werden sie von seinem Aufenthalt in Kafarnaum erfahren haben (Guelich 1989, 172).</w:t>
      </w:r>
    </w:p>
  </w:footnote>
  <w:footnote w:id="1350">
    <w:p>
      <w:pPr>
        <w:pStyle w:val="Funote"/>
        <w:rPr/>
      </w:pPr>
      <w:r>
        <w:rPr/>
        <w:footnoteRef/>
        <w:tab/>
        <w:t>die ... gekommen waren Attr. Ptz. Aor., als vorzeitiger Relativsatz aufgelöst.</w:t>
      </w:r>
    </w:p>
  </w:footnote>
  <w:footnote w:id="1351">
    <w:p>
      <w:pPr>
        <w:pStyle w:val="Funote"/>
        <w:rPr/>
      </w:pPr>
      <w:r>
        <w:rPr/>
        <w:footnoteRef/>
        <w:tab/>
        <w:t>verbreiteten Gr. einfach sagten. Das durative Imperfekt zeigt hier aber an, dass es sich um die Position handelte, die die Schriftgelehrten vertraten – und verbreiteten. Das Bild der aufgeregten Menschenmenge aus V. 20 steht also nicht mehr direkt im Hintergrund. Ähnlich die Position von Jesu Angehörigen im vorigen Vers mit demselben Imperfekt: „Er hat den Verstand verloren!“ Besessenheit und Wahnsinn lagen im damaligen Denken sehr nah beieinander (vgl. France 2002, 169).</w:t>
      </w:r>
    </w:p>
  </w:footnote>
  <w:footnote w:id="1352">
    <w:p>
      <w:pPr>
        <w:pStyle w:val="Funote"/>
        <w:rPr/>
      </w:pPr>
      <w:r>
        <w:rPr/>
        <w:footnoteRef/>
        <w:tab/>
        <w:t>„</w:t>
      </w:r>
      <w:r>
        <w:rPr/>
        <w:t xml:space="preserve">Er ist von Beelzebul besessen!“ W. „Er hat Beelzebul!“ Diese Formulierung drückt (wie in Mk 5,15; 7,25; 9,17) Besessenheit aus. Bei Jesus könnte jedoch auch gemeint sein, ihm stehe für seine Wunder Beelzebuls Macht zur Verfügung, den er kontrolliert. Ein derartiger Pakt wäre ein klarer Verstoß gegen das Gesetz, den es unter die Todesstrafe stellt (Lev 19,31; 20,27). Der aus dem AT bekannte kanaanitische Gott Baal (nun mit einem sonst unbekannten Beinamen, </w:t>
      </w:r>
      <w:r>
        <w:rPr>
          <w:rtl w:val="true"/>
          <w:lang w:bidi="he-IL"/>
        </w:rPr>
        <w:t>בעל זבל</w:t>
      </w:r>
      <w:r>
        <w:rPr/>
        <w:t>, Baal Zabul → wohl „Fürst Baal“) war zur Zeit Jesu noch als mächtiger Dämon bekannt, wie aus dem zeitgenössischen Werk „Testament Salomos“ hervorgeht. Der Name „Baal“ bedeutet auf Hebräisch auch einfach „Herr, Meister“. Es ist leicht nachvollziehbar, wie dieser Name im Volksglauben schließlich dem Herrscher der Dämonen zugeschrieben wurde (Collins 2007, 228-31). Doch erst Markus (bzw. Jesus) setzt den Beelzebul mit dem im nächsten Vers eingeführten Satan gleich; bei den Zuhörern wird das als bekannt vorausgesetzt (France 2002, 170; Collins 2007, 231). Aus Beelzebul wurde über die lateinische Übersetzung Beelzebub das deutsche „Belzebub“.</w:t>
      </w:r>
    </w:p>
  </w:footnote>
  <w:footnote w:id="1353">
    <w:p>
      <w:pPr>
        <w:pStyle w:val="Funote"/>
        <w:rPr/>
      </w:pPr>
      <w:r>
        <w:rPr/>
        <w:footnoteRef/>
        <w:tab/>
        <w:t>er rief sie zu sich und Temporales (gleichzeitig) Ptz. conj., mit „und“ beigeordnet.</w:t>
      </w:r>
    </w:p>
  </w:footnote>
  <w:footnote w:id="1354">
    <w:p>
      <w:pPr>
        <w:pStyle w:val="Funote"/>
        <w:rPr/>
      </w:pPr>
      <w:r>
        <w:rPr/>
        <w:footnoteRef/>
        <w:tab/>
        <w:t>mithilfe [einiger] bildhafter Vergleiche Häufige Übersetzung: in Gleichnissen (wie Klammer), die klassische griechische Bedeutung ist aber „Vergleich“. Aristoteles bezeichnet den Vergleich als eine häufige rhetorische Beleg- oder Beweisform, eine übertragene Illustration, die eine klare argumentative Schlussfolgerung vermittelt (Collins 2007, 231). „Gleichnisse“ sind bei Markus bildhafte Analogien, Rätsel, Metaphern oder Allegorien, die Jesus als Illustrationen zu Hilfe nimmt, um seine Position in verständlicher, einprägsamer Form zu vermitteln (vgl. Guelich 1989, 175). Oft lässt er die Gleichnisse für sich sprechen und erklärt sie nicht, sodass sie den Zuhörern Rätsel aufgeben. NGÜ: „er gebrauchte dazu eine Reihe von Vergleichen“, GNB: „erklärte ihnen die Sache durch Bilder“, NEÜ: „gab ihnen durch einige Vergleiche Antwort“, EÜ: „belehrte sie in Form von Gleichnissen“</w:t>
      </w:r>
    </w:p>
  </w:footnote>
  <w:footnote w:id="1355">
    <w:p>
      <w:pPr>
        <w:pStyle w:val="Funote"/>
        <w:rPr/>
      </w:pPr>
      <w:r>
        <w:rPr/>
        <w:footnoteRef/>
        <w:tab/>
        <w:t xml:space="preserve">Satan Graecisierte Version des hebräischen »Satan«. Das ist im AT kein Eigenname, sondern ein Titel, der je nach Kontext »Feind, Widersacher, Verleumder« oder »Ankläger« heißen kann (Gr. </w:t>
      </w:r>
      <w:r>
        <w:rPr>
          <w:lang w:val="el-GR"/>
        </w:rPr>
        <w:t>ὁ διἀβολος</w:t>
      </w:r>
      <w:r>
        <w:rPr/>
        <w:t xml:space="preserve">). In Ijob 1-2 und Sach 3,1-2 wird so ein »Ankläger« am himmlischen Hof genannt (gewöhnlich mit dem Teufel identifiziert). Erst in den rabbinischen Schriften kommt Satan regelmäßig als Eigenname vor (Collins 2007, 231f.). Hier wird er mit Beelzebul gleichgesetzt, im NT ansonsten oft </w:t>
      </w:r>
      <w:r>
        <w:rPr>
          <w:lang w:val="el-GR"/>
        </w:rPr>
        <w:t>ὁ διἀβολος</w:t>
      </w:r>
      <w:r>
        <w:rPr/>
        <w:t xml:space="preserve"> »der Teufel/Verleumder«.</w:t>
      </w:r>
    </w:p>
  </w:footnote>
  <w:footnote w:id="1356">
    <w:p>
      <w:pPr>
        <w:pStyle w:val="Funote"/>
        <w:rPr/>
      </w:pPr>
      <w:r>
        <w:rPr/>
        <w:footnoteRef/>
        <w:tab/>
        <w:t>wenn / wenn [wirklich] - Jesus äußert im folgenden drei parallel aufgebaute Sätze: »Wenn X sich mit sich selbst verfeindet, dann kann jenes X nicht bestehen.« Der dritte Satz aber unterscheidet sich ein wenig von den beiden vorherigen: Sätze 1 und 2 sind mit [</w:t>
      </w:r>
      <w:r>
        <w:rPr>
          <w:lang w:val="el-GR"/>
        </w:rPr>
        <w:t>ἐὰν</w:t>
      </w:r>
      <w:r>
        <w:rPr/>
        <w:t xml:space="preserve"> + Konjunktiv] konstruiert (2 sog. »generelle Bedingungssätze«), Satz 3 dagegen mit [</w:t>
      </w:r>
      <w:r>
        <w:rPr>
          <w:lang w:val="el-GR"/>
        </w:rPr>
        <w:t>εἰ</w:t>
      </w:r>
      <w:r>
        <w:rPr/>
        <w:t xml:space="preserve"> + Indikativ] (ein sog. »einfacher Bedingungssatz«) (vgl. dazu Hoffmann/Siebenthal §280c; Zerwick §303-5.320): Jesus macht zuerst zwei allgemeingültige Aussagen, die er dann auf die falsche Annahme der Schriftgelehrten überträgt. Grosvenor/Zerwick schlagen daher für Satz 3 gut vor: »Wenn [also] wirklich...«.</w:t>
      </w:r>
    </w:p>
  </w:footnote>
  <w:footnote w:id="1357">
    <w:p>
      <w:pPr>
        <w:pStyle w:val="Funote"/>
        <w:rPr/>
      </w:pPr>
      <w:r>
        <w:rPr/>
        <w:footnoteRef/>
        <w:tab/>
        <w:t>sich mit sich selbst verfeindet W. etwa »gegen sich selbst geteilt/gespalten wird« bzw. »mit sich selbst im Streit liegt« (so NSS, NGÜ, NEÜ). Die Wendung lässt sich nur schwer direkt übersetzen. Der Schwerpunkt scheint jedoch auf dem Beginn der Spaltung, Feindschaft oder des Streits zu liegen.</w:t>
      </w:r>
    </w:p>
  </w:footnote>
  <w:footnote w:id="1358">
    <w:p>
      <w:pPr>
        <w:pStyle w:val="Funote"/>
        <w:rPr/>
      </w:pPr>
      <w:r>
        <w:rPr/>
        <w:footnoteRef/>
        <w:tab/>
        <w:t>es hat ein Ende [mit ihm] W. »er hat ein Ende«. LUT: »es ist aus mit ihm.«</w:t>
      </w:r>
    </w:p>
  </w:footnote>
  <w:footnote w:id="1359">
    <w:p>
      <w:pPr>
        <w:pStyle w:val="Funote"/>
        <w:rPr/>
      </w:pPr>
      <w:r>
        <w:rPr/>
        <w:footnoteRef/>
        <w:tab/>
        <w:t>niemand kann W. »niemand kann nicht«. Die doppelte Verneinung verstärkt die Aussage.</w:t>
      </w:r>
    </w:p>
  </w:footnote>
  <w:footnote w:id="1360">
    <w:p>
      <w:pPr>
        <w:pStyle w:val="Funote"/>
        <w:rPr/>
      </w:pPr>
      <w:r>
        <w:rPr/>
        <w:footnoteRef/>
        <w:tab/>
        <w:t>eindringen und Ptz. conj., temporal, mit »und« beigeordnet.</w:t>
      </w:r>
    </w:p>
  </w:footnote>
  <w:footnote w:id="1361">
    <w:p>
      <w:pPr>
        <w:pStyle w:val="Funote"/>
        <w:rPr/>
      </w:pPr>
      <w:r>
        <w:rPr/>
        <w:footnoteRef/>
        <w:tab/>
        <w:t>In V. 26 befindet sich (wie in 24 und 25) ein prospektiver Konditionalsatz, der anhand des gesunden Menschenverstands eine »Faustregel« aufstellt (Siebenthal 2011, §280). Rein syntaktisch gehört der letzte Versteil (Prädikat im Futur, nicht Konj. Aor.) nicht mehr dazu.</w:t>
      </w:r>
    </w:p>
  </w:footnote>
  <w:footnote w:id="1362">
    <w:p>
      <w:pPr>
        <w:pStyle w:val="Funote"/>
        <w:rPr/>
      </w:pPr>
      <w:r>
        <w:rPr/>
        <w:footnoteRef/>
        <w:tab/>
        <w:t>kann ausplündern Als modales Futur verstanden (NSS).</w:t>
      </w:r>
    </w:p>
  </w:footnote>
  <w:footnote w:id="1363">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 Guelich 1989, 177f.). Hier in Mk 3,28 kommt es zum ersten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364">
    <w:p>
      <w:pPr>
        <w:pStyle w:val="Funote"/>
        <w:rPr/>
      </w:pPr>
      <w:r>
        <w:rPr/>
        <w:footnoteRef/>
        <w:tab/>
        <w:t>Kindern (Söhnen) der Menschen Semitische Formulierung, die einfach »Menschen« oder »die Menschheit« umschreibt. Kinder gibt den geschlechtlich unbestimmten Plural von »Sohn« inklusiv wieder (Generisches Maskulinum).</w:t>
      </w:r>
    </w:p>
  </w:footnote>
  <w:footnote w:id="1365">
    <w:p>
      <w:pPr>
        <w:pStyle w:val="Funote"/>
        <w:rPr/>
      </w:pPr>
      <w:r>
        <w:rPr/>
        <w:footnoteRef/>
        <w:tab/>
        <w:t>kann (wird) vergeben werden Das Futur ist wohl modal (NSS).</w:t>
      </w:r>
    </w:p>
  </w:footnote>
  <w:footnote w:id="1366">
    <w:p>
      <w:pPr>
        <w:pStyle w:val="Funote"/>
        <w:rPr/>
      </w:pPr>
      <w:r>
        <w:rPr/>
        <w:footnoteRef/>
        <w:tab/>
        <w:t>in Ewigkeit Das griechische Wort bezeichnet in diesem Kontext ein heilsgeschichtliches »Zeitalter«, hier das prophetisch angekündigte kommende Zeitalter, die Ewigkeit. Die Aussage »für den gibt es in Ewigkeit keine Vergebung« heißt also »für den wird es niemals Vergebung geben« (Guelich 1989, 179). Jesus spricht hier eine Warnung für Leute aus, die Gottes Wirken als Dämonenwerk verunglimpfen wollen.</w:t>
      </w:r>
    </w:p>
  </w:footnote>
  <w:footnote w:id="1367">
    <w:p>
      <w:pPr>
        <w:pStyle w:val="Funote"/>
        <w:rPr/>
      </w:pPr>
      <w:r>
        <w:rPr/>
        <w:footnoteRef/>
        <w:tab/>
        <w:t>besessen W. „Er hat einen unreinen Geist!“ Dazu s. die Erklärung in der Fußnote zu V. 22.</w:t>
      </w:r>
    </w:p>
  </w:footnote>
  <w:footnote w:id="1368">
    <w:p>
      <w:pPr>
        <w:pStyle w:val="Funote"/>
        <w:rPr/>
      </w:pPr>
      <w:r>
        <w:rPr/>
        <w:footnoteRef/>
        <w:tab/>
        <w:t>kamen Historisches Präsens, W. „kam“.</w:t>
      </w:r>
    </w:p>
  </w:footnote>
  <w:footnote w:id="1369">
    <w:p>
      <w:pPr>
        <w:pStyle w:val="Funote"/>
        <w:rPr/>
      </w:pPr>
      <w:r>
        <w:rPr/>
        <w:footnoteRef/>
        <w:tab/>
        <w:t>Geschwister (Brüder) Generisches Maskulinum. Es ist allerdings durchaus annehmbar, dass hier nur Jesu Brüder beteiligt waren. Ab dem vierten Jahrhundert hat die Rede von Jesu „Brüdern/Geschwistern“ den Kirchenvätern einige Schwierigkeiten bereitet. Problemlos vereinbar ist sie mit dem Glauben an die jungfräuliche Empfängnis; ab dem späten vierten Jahrhundert kam aber in der Theologie zusätzlich der Topos der „immerwährenden Jungfernschaft“ Mariens auf: Maria sei nicht nur zur Zeit der Empfängnis Jesu und nicht nur bis zur Geburt Jesu, sondern Zeit ihres Lebens Jungfrau gewesen. In der katholischen Kirche ist dies noch heute ein Dogma mit dem Status „de fide“ (also dem höchstmöglichem; wer anders glaubt, macht sich der Häresie schuldig), vgl. ad loc. KKK 499f. Auch die orthodoxe Kirche hat die Rede von Mariens immerwährender Jungfernschaft in ihre Liturgie aufgenommen, Luther und Calvin glaubten an diese Lehre und Zwingli hat sie sogar verfochten. In der Folge gab es einige Versuche, die Rede von den Brüdern/Geschwistern Jesu umzudeuten. Cranfield 1959, S. 144 unterscheidet gut (1) die „Epiphanische Position“ (nach Epiphanius), die Brüder/Geschwister Jesu seien als leibliche Kinder aus einer früheren Ehe Josephs nur Jesu Halbbrüder, und (2) die „Hieronymianische Position“ (nach Hieronymus), es handle sich sich bei den Brüdern/Geschwistern Jesu nur um Jesu Cousins (ähnlich immer noch gut: Lagrange 1929, S. 79f); andere auch: Semitismus für „Verwandte im Allgemeinen“ (z.B. KAR zu Mt 1,25). Beide Deutungen lässt der griechische Text auch zu ((2((2) zumindest, wenn man den Ausdruck als Semitismus liest) und werden daher immer noch von einigen Exegeten vertreten, aber da der Text keine direkten Hinweise darauf enthält, dass er so zu verstehen sei, ist die heutige Mehrheitsmeinung, dass es sich doch um Jesu leibliche Geschwister und Mariens leibliche Kinder handle. Selbst NVul übersetzt: „fratres“.</w:t>
      </w:r>
    </w:p>
  </w:footnote>
  <w:footnote w:id="1370">
    <w:p>
      <w:pPr>
        <w:pStyle w:val="Funote"/>
        <w:rPr/>
      </w:pPr>
      <w:r>
        <w:rPr/>
        <w:footnoteRef/>
        <w:tab/>
        <w:t>Sie blieben stehen und Ptz. conj., temporal oder modal, als mit „und“ beigeordneter Satz aufgelöst.</w:t>
      </w:r>
    </w:p>
  </w:footnote>
  <w:footnote w:id="1371">
    <w:p>
      <w:pPr>
        <w:pStyle w:val="Funote"/>
        <w:rPr/>
      </w:pPr>
      <w:r>
        <w:rPr/>
        <w:footnoteRef/>
        <w:tab/>
        <w:t>schickten [jemanden] zu ihm (ließen ihm ausrichten) - Zur Alternativübersetzung vgl. Louw/Nida 15.67 („send a message“). Das ist hier vorzuziehen, weil im Folgesatz ja nicht dieser nicht benannte „Jemand“, der auch gar nicht im Text steht, Jesus auf seine Verwandten hinweist, sondern „sie“ bzw. „man“ (s. übernächste FN).</w:t>
      </w:r>
    </w:p>
  </w:footnote>
  <w:footnote w:id="1372">
    <w:p>
      <w:pPr>
        <w:pStyle w:val="Funote"/>
        <w:rPr/>
      </w:pPr>
      <w:r>
        <w:rPr/>
        <w:footnoteRef/>
        <w:tab/>
        <w:t>um ihn zu rufen Wohl finales Ptz. conj., als finaler Nebensatz aufgelöst (vgl. NSS). Auch ein temporal-modales Verständnis ist möglich – in diesem Fall warten die Verwandten die Rückkehr ihres „Boten“ nicht ab, sondern rufen nach Jesus, noch während der Bote bei Jesus ist! Man sollte allerdings berücksichtigen, dass die Menge nach Mk 3,20 so dicht und aufdringlich war, dass Jesus und die Jünger nicht einmal zum Essen kamen. Kein Wunder, dass seine Familie nicht zu ihm durchkam.</w:t>
      </w:r>
    </w:p>
  </w:footnote>
  <w:footnote w:id="1373">
    <w:p>
      <w:pPr>
        <w:pStyle w:val="Funote"/>
        <w:rPr/>
      </w:pPr>
      <w:r>
        <w:rPr/>
        <w:footnoteRef/>
        <w:tab/>
        <w:t>sagten Historisches Präsens. Die Alternativübersetzung in der Klammer versteht das Prädikat unpersönlich (vgl. EÜ, NGÜ).</w:t>
      </w:r>
    </w:p>
  </w:footnote>
  <w:footnote w:id="1374">
    <w:p>
      <w:pPr>
        <w:pStyle w:val="Funote"/>
        <w:rPr/>
      </w:pPr>
      <w:r>
        <w:rPr/>
        <w:footnoteRef/>
        <w:tab/>
        <w:t>Da draußen - W. »Siehe, deine Mutter und deine Geschwister draußen suchen dich«. »°Siehe°« hat hier die Funktion, Jesus auf etwas räumlich Nahes aufmerksam zu machen (Bailey 2009, S. 329); sinnvoller daher statt wörtliche Üs.: »Da draußen«.</w:t>
      </w:r>
    </w:p>
  </w:footnote>
  <w:footnote w:id="1375">
    <w:p>
      <w:pPr>
        <w:pStyle w:val="Funote"/>
        <w:rPr/>
      </w:pPr>
      <w:r>
        <w:rPr/>
        <w:footnoteRef/>
        <w:tab/>
        <w:t>antwortete ihnen {und sagte} Zu antwortete: Ptz. conj. (modal-temporal), mit „und“ beigeordnet. {und sagte} Historisches Präsens. Im Deutschen ist das doppelte Prädikat unnötig.</w:t>
      </w:r>
    </w:p>
  </w:footnote>
  <w:footnote w:id="1376">
    <w:p>
      <w:pPr>
        <w:pStyle w:val="Funote"/>
        <w:rPr/>
      </w:pPr>
      <w:r>
        <w:rPr/>
        <w:footnoteRef/>
        <w:tab/>
        <w:t>sind W. »ist«</w:t>
      </w:r>
    </w:p>
  </w:footnote>
  <w:footnote w:id="1377">
    <w:p>
      <w:pPr>
        <w:pStyle w:val="Funote"/>
        <w:rPr/>
      </w:pPr>
      <w:r>
        <w:rPr/>
        <w:footnoteRef/>
        <w:tab/>
        <w:t>während (indem, nachdem) er der Reihe nach anschaute Ptz. conj. (Aor.), temporal-modal als Nebensatz aufgelöst.</w:t>
      </w:r>
    </w:p>
  </w:footnote>
  <w:footnote w:id="1378">
    <w:p>
      <w:pPr>
        <w:pStyle w:val="Funote"/>
        <w:rPr/>
      </w:pPr>
      <w:r>
        <w:rPr/>
        <w:footnoteRef/>
        <w:tab/>
        <w:t>[im] Kreis Erstarrter lokaler Dativ (NSS).</w:t>
      </w:r>
    </w:p>
  </w:footnote>
  <w:footnote w:id="1379">
    <w:p>
      <w:pPr>
        <w:pStyle w:val="Funote"/>
        <w:rPr/>
      </w:pPr>
      <w:r>
        <w:rPr/>
        <w:footnoteRef/>
        <w:tab/>
        <w:t>[alle], die ... saßen Substantiviertes Partizip, als Relativsatz aufgelöst.</w:t>
      </w:r>
    </w:p>
  </w:footnote>
  <w:footnote w:id="1380">
    <w:p>
      <w:pPr>
        <w:pStyle w:val="Funote"/>
        <w:rPr/>
      </w:pPr>
      <w:r>
        <w:rPr/>
        <w:footnoteRef/>
        <w:tab/>
        <w:t>Siehe, (Diese hier sind, Ihr hier seid) - W. °Siehe°, aber auch hier fungiert es »deiktisch« - als würde Jesus mit dem Zeigefinger eben nicht auf seine Familie, sondern auf die im Kreis um ihn Sitzenden zeigen. Im Deutschen entspricht dem eher ein »Diese hier sind« (so z.B. BB, B/H, EÜ, GN, HER, H-R, HfA, KAR, MEN, NeÜ, NGÜ, NL, R-S, Stier, WIL, Zink, ZÜR). Und weil diese »Diese hier« natürlich die um ihn Sitzenden sind, eigentlich sogar eher »Ihr hier seid« - aber so niemand.</w:t>
      </w:r>
    </w:p>
  </w:footnote>
  <w:footnote w:id="1381">
    <w:p>
      <w:pPr>
        <w:pStyle w:val="Funote"/>
        <w:rPr/>
      </w:pPr>
      <w:r>
        <w:rPr/>
        <w:footnoteRef/>
        <w:tab/>
        <w:t>[Status: Zuverlässig]</w:t>
      </w:r>
    </w:p>
  </w:footnote>
  <w:footnote w:id="1382">
    <w:p>
      <w:pPr>
        <w:pStyle w:val="Funote"/>
        <w:rPr/>
      </w:pPr>
      <w:r>
        <w:rPr/>
        <w:footnoteRef/>
        <w:tab/>
        <w:t>Meer Gemeint ist wie schon in Mk 2,13; 3,7 der See Gennesaret, das „Meer von Galiläa“. Bisher hat sich Jesus fast nur in Galiläa aufgehalten.</w:t>
      </w:r>
    </w:p>
  </w:footnote>
  <w:footnote w:id="1383">
    <w:p>
      <w:pPr>
        <w:pStyle w:val="Funote"/>
        <w:rPr/>
      </w:pPr>
      <w:r>
        <w:rPr/>
        <w:footnoteRef/>
        <w:tab/>
        <w:t>stieg und Ptz. conj., temporal, mit „und“ beigeordnet übersetzt.</w:t>
      </w:r>
    </w:p>
  </w:footnote>
  <w:footnote w:id="1384">
    <w:p>
      <w:pPr>
        <w:pStyle w:val="Funote"/>
        <w:rPr/>
      </w:pPr>
      <w:r>
        <w:rPr/>
        <w:footnoteRef/>
        <w:tab/>
        <w:t>[darin] auf dem Meer (See) saß Die Formulierung ist etwas plump. Luther missversteht offenbar den griechischen Satzbau und übersetzt bezüglich des Bootes „das im Wasser lag“. Guelich erwähnt den Vorschlag, dass „ins Boot steigen und sitzen“ ein Aramaismus ist, der einfach „an Bord gehen“ bedeutet. Doch Markus könnte uns auch bewusst darauf hinweisen, dass Jesus sich setzte, denn das war die normale Haltung eines Lehrers (Guelich 1989, 191).</w:t>
      </w:r>
    </w:p>
  </w:footnote>
  <w:footnote w:id="1385">
    <w:p>
      <w:pPr>
        <w:pStyle w:val="Funote"/>
        <w:rPr/>
      </w:pPr>
      <w:r>
        <w:rPr/>
        <w:footnoteRef/>
        <w:tab/>
        <w:t>blieb (war) W. „waren“ (Constructio ad sensum).</w:t>
      </w:r>
    </w:p>
  </w:footnote>
  <w:footnote w:id="1386">
    <w:p>
      <w:pPr>
        <w:pStyle w:val="Funote"/>
        <w:rPr/>
      </w:pPr>
      <w:r>
        <w:rPr/>
        <w:footnoteRef/>
        <w:tab/>
        <w:t>am Ufer W. „(nah) am Meer“ oder „zum Meer hin gewandt“.</w:t>
      </w:r>
    </w:p>
  </w:footnote>
  <w:footnote w:id="1387">
    <w:p>
      <w:pPr>
        <w:pStyle w:val="Funote"/>
        <w:rPr/>
      </w:pPr>
      <w:r>
        <w:rPr/>
        <w:footnoteRef/>
        <w:tab/>
        <w:t xml:space="preserve">lehrte und sagte stehen im Imperfekt, was für eine (fortdauernde) Predigt passend ist. </w:t>
      </w:r>
      <w:r>
        <w:rPr>
          <w:lang w:val="el-GR"/>
        </w:rPr>
        <w:t>πολλὰ</w:t>
      </w:r>
      <w:r>
        <w:rPr/>
        <w:t xml:space="preserve"> könnte daher hier nicht nur viele Dinge heißen, sondern auch ein Adverb sein und dann lange bedeuten (NSS, so EÜ).</w:t>
      </w:r>
    </w:p>
  </w:footnote>
  <w:footnote w:id="1388">
    <w:p>
      <w:pPr>
        <w:pStyle w:val="Funote"/>
        <w:rPr/>
      </w:pPr>
      <w:r>
        <w:rPr/>
        <w:footnoteRef/>
        <w:tab/>
        <w:t>während er lehrte LUT: „in seiner Predigt sprach er zu ihnen“, GNB, NGÜ: „Unter anderem sagte er“</w:t>
      </w:r>
    </w:p>
  </w:footnote>
  <w:footnote w:id="1389">
    <w:p>
      <w:pPr>
        <w:pStyle w:val="Funote"/>
        <w:rPr/>
      </w:pPr>
      <w:r>
        <w:rPr/>
        <w:footnoteRef/>
        <w:tab/>
        <w:t xml:space="preserve">ein [Teil des Saatguts] ([Samenkorn]) Gr. </w:t>
      </w:r>
      <w:r>
        <w:rPr>
          <w:lang w:val="el-GR"/>
        </w:rPr>
        <w:t>ὃ μὲν – ἄλλο</w:t>
      </w:r>
      <w:r>
        <w:rPr/>
        <w:t xml:space="preserve"> »eins – ein anderes« oder »ein [Teil] – ein anderer [Teil]«. Für viele Übersetzungen bedeutet das: »ein [Teil des Saatguts]«. Allerdings spricht V. 8 dann von »anderen« (Plural), was darauf hindeuten könnte, dass Markus beispielhaft von einzelnen Körnern spricht. Eines fiel auf den Weg – andere fielen auf guten Boden (Guelich 1989, 193; France 2002, 191f.).Auch den Singular »Wurzel« (V. 6) könnte man so verstehen. Allerdings handelt die Geschichte von Körnern, die mit der Hand ausgestreut werden. Da würde man eher erwarten, dass Jesus vom Schicksal mehrerer Körner als Kollektiv spricht. Weiter klingt es eher nach mehreren Körnern, die am Ende des Verses gleich von den Vögeln (Pl.) gefressen werden (vgl. Stein 2008, 197). Schließlich benutzt Markus in V. 8 Zahlwörter (»ein [Korn]« usw.) für das Schicksal einzelner Körner, aber nicht hier. Es ist also wahrscheinlicher, dass erst ab V. 8 einzelne Körner in den Blick kommen.</w:t>
      </w:r>
    </w:p>
  </w:footnote>
  <w:footnote w:id="1390">
    <w:p>
      <w:pPr>
        <w:pStyle w:val="Funote"/>
        <w:rPr/>
      </w:pPr>
      <w:r>
        <w:rPr/>
        <w:footnoteRef/>
        <w:tab/>
        <w:t xml:space="preserve">an den Wegesrand (auf den Weg) Die griechische Präposition </w:t>
      </w:r>
      <w:r>
        <w:rPr>
          <w:lang w:val="el-GR"/>
        </w:rPr>
        <w:t>παρά</w:t>
      </w:r>
      <w:r>
        <w:rPr/>
        <w:t xml:space="preserve"> lässt beide Möglichkeiten zu, wenn Markus mit semitischem Einschlag formuliert (Guelich 1989, 193), doch für auf hätte er </w:t>
      </w:r>
      <w:r>
        <w:rPr>
          <w:lang w:val="el-GR"/>
        </w:rPr>
        <w:t>ἐπί</w:t>
      </w:r>
      <w:r>
        <w:rPr/>
        <w:t xml:space="preserve"> verwenden können (wie in V. 7, 8), </w:t>
      </w:r>
      <w:r>
        <w:rPr>
          <w:lang w:val="el-GR"/>
        </w:rPr>
        <w:t>παρά</w:t>
      </w:r>
      <w:r>
        <w:rPr/>
        <w:t xml:space="preserve"> heißt eher »bei« (Stein 2008, 198).</w:t>
      </w:r>
    </w:p>
  </w:footnote>
  <w:footnote w:id="1391">
    <w:p>
      <w:pPr>
        <w:pStyle w:val="Funote"/>
        <w:rPr/>
      </w:pPr>
      <w:r>
        <w:rPr/>
        <w:footnoteRef/>
        <w:tab/>
        <w:t>Wurzeln W. »Wurzel«</w:t>
      </w:r>
    </w:p>
  </w:footnote>
  <w:footnote w:id="1392">
    <w:p>
      <w:pPr>
        <w:pStyle w:val="Funote"/>
        <w:rPr/>
      </w:pPr>
      <w:r>
        <w:rPr/>
        <w:footnoteRef/>
        <w:tab/>
        <w:t>indem (während, wobei) er aufging und wuchs Zwei Ptz. conj., modal-temporal Nebensatz übersetzt.</w:t>
      </w:r>
    </w:p>
  </w:footnote>
  <w:footnote w:id="1393">
    <w:p>
      <w:pPr>
        <w:pStyle w:val="Funote"/>
        <w:rPr/>
      </w:pPr>
      <w:r>
        <w:rPr/>
        <w:footnoteRef/>
        <w:tab/>
        <w:t xml:space="preserve">30, 60, 100 [Körner] bzw. dreißig-, sechzig- und hundertfach [Frucht]. Gr. </w:t>
      </w:r>
      <w:r>
        <w:rPr>
          <w:lang w:val="el-GR"/>
        </w:rPr>
        <w:t>ἔφερεν ἓν τριάκοντα</w:t>
      </w:r>
      <w:r>
        <w:rPr/>
        <w:t xml:space="preserve"> usw. Die Frage ist, wie </w:t>
      </w:r>
      <w:r>
        <w:rPr>
          <w:lang w:val="el-GR"/>
        </w:rPr>
        <w:t>ἓν</w:t>
      </w:r>
      <w:r>
        <w:rPr/>
        <w:t xml:space="preserve"> »eines« (Ntr. Sg. des Zahlworts ) zu verstehen ist. Man kann es als Subjekt verstehen: ein [Samenkorn]. Oder es könnte ein Aramaismus sein, der die Zahlen 30, 60 und 100 zu Vielfachen macht, also »mal« oder »-fach« bedeuten (wie in Dan 3,19; so die meisten Übersetzungen; nach Guelich 1989, 188). Da V. 8 von anderen im Plural spricht, sind nun vermutlich einzelne Körner als Teile des Saatguts gemeint (auch wenn der Satz genauso gut funktioniert, wenn man stattdessen von mehreren Teilen Saatgut ausgeht). Folglich ist es plausibel, </w:t>
      </w:r>
      <w:r>
        <w:rPr>
          <w:lang w:val="el-GR"/>
        </w:rPr>
        <w:t>ἓν</w:t>
      </w:r>
      <w:r>
        <w:rPr/>
        <w:t xml:space="preserve"> als Subjekt zu verstehen. Die Annahme eines exotischen Aramaismus ist dann unnötig (so GNB nach NSS; Collins 2007, 239 Fn i; France 2002, 192f.). Die Parallelstellen sind unentschieden: Lukas formuliert freier und verwendet in Lk 8,8 ein Vielfaches. Matthäus folgt Markus sehr genau, ersetzt aber das gr. </w:t>
      </w:r>
      <w:r>
        <w:rPr>
          <w:lang w:val="el-GR"/>
        </w:rPr>
        <w:t>εν, εν, εν</w:t>
      </w:r>
      <w:r>
        <w:rPr/>
        <w:t xml:space="preserve"> durch </w:t>
      </w:r>
      <w:r>
        <w:rPr>
          <w:lang w:val="el-GR"/>
        </w:rPr>
        <w:t>ὃ μὲν, ὃ δὲ, ὃ δὲ</w:t>
      </w:r>
      <w:r>
        <w:rPr/>
        <w:t>, die er deutlich auf einzelne Samenkörner bezieht. Diese Beobachtung und die Tatsache, dass der griechische Text sich auch natürlich und ohne Zuhilfenahme eines vermuteten Aramaismus erklären lässt, waren für die getroffene Entscheidung ausschlaggebend.</w:t>
      </w:r>
    </w:p>
  </w:footnote>
  <w:footnote w:id="1394">
    <w:p>
      <w:pPr>
        <w:pStyle w:val="Funote"/>
        <w:rPr/>
      </w:pPr>
      <w:r>
        <w:rPr/>
        <w:footnoteRef/>
        <w:tab/>
        <w:t>sagte (V. 9 sowie 21, 24, 26, 30) Imperfekt wie in V. 2, und 11. Signalisiert(e) es (ursprünglich) die Fortsetzung der Predigt aus V. 2? Oder führt Jesus seine Erklärung des Gleichnisses weiter (wie V. 11)(Guelich 1989, 228)? Zumindest in V. 9 ist beides denkbar. Markus benutzt diese Imperfektform häufig, um Sprichwörter oder markante Aussagen Jesu einzuleiten (ebd., 205), was besonders zum Gebrauch ab V. 21 passen würde. Ab V. 21 erscheint die Einleitung jedes Mal, um zwischen einzelnen Aussagen zu unterscheiden. Hier würde (wie in V. 11) die Interpretation funktionieren, dass es sich dabei um Aussagen handelte, die Jesus immer wieder machte, und die deshalb von seinen Anhängern mit dem Imperfekt bewart wurden („Jesus sagte immer...“, „Jesus pflegte zu sagen...“).</w:t>
      </w:r>
    </w:p>
  </w:footnote>
  <w:footnote w:id="1395">
    <w:p>
      <w:pPr>
        <w:pStyle w:val="Funote"/>
        <w:rPr/>
      </w:pPr>
      <w:r>
        <w:rPr/>
        <w:footnoteRef/>
        <w:tab/>
        <w:t>fragten … [immer wieder] Das Verb steht – genau wie sagte im nächsten Vers – im Imperfekt, was den kurzen Einschub der Verse 10-12 als (sich wiederholt ereignende) Anekdote kennzeichnet (vgl. France 2002, 194), oder dass Jesus auf solche Anfragen üblicherweise dieselbe Erklärung von sich gab. Markus hat Jesu Predigt auf dem Wasser (4,1-2) hier unterbrochen und diese Anekdote hier zwischen dem Gleichnis von der Saat und dessen Erklärung als wichtige Kontextinformation untergebracht. Diese Unterbrechung erkennt man möglicherweise auch daran, dass es schwer vorstellbar ist, wie Jesus, der eben noch vom Boot aus zu einer gewaltigen Menge predigte, nun mit den Jüngern allein sein kann. Die Verse 33-34 scheinen diese Anekdote noch einmal aufzugreifen, während V. 35ff. die Haupthandlung wieder ein- und zum nächsten Ereignis überleiten.</w:t>
      </w:r>
    </w:p>
  </w:footnote>
  <w:footnote w:id="1396">
    <w:p>
      <w:pPr>
        <w:pStyle w:val="Funote"/>
        <w:rPr/>
      </w:pPr>
      <w:r>
        <w:rPr/>
        <w:footnoteRef/>
        <w:tab/>
        <w:t>sagte Imperfekt, zur Erklärung siehe die vorige Fußnote.</w:t>
      </w:r>
    </w:p>
  </w:footnote>
  <w:footnote w:id="1397">
    <w:p>
      <w:pPr>
        <w:pStyle w:val="Funote"/>
        <w:rPr/>
      </w:pPr>
      <w:r>
        <w:rPr/>
        <w:footnoteRef/>
        <w:tab/>
        <w:t>sehen und sehen und hören und hören W. »sehend sehen« und »hörend hören« (wie ZÜR, ELB). Es handelt sich um zwei Partizipien, die eine hebräische Stilfigur wörtlich übertragen. Ihre Funktion ist es, die fragliche Aussage zu verstärken – im Deutschen kann man das nur umschreiben. Der zitierte Text aus Jes 6,9 ist allerdings eine Aufforderung (EÜ: »Hören sollt ihr, hören«, GNB: »Hört nur zu … seht hin, so viel ihr wollt«). Jesus dagegen zitiert den Vers recht frei und benutzt die dritte Person Plural. Zur Intensivierung zielen viele Übersetzungen auf wiederholtes und sehr genaues Hinsehen und Hinhören: »sehen sollen sie, sehen ... hören sollen sie, hören« (EÜ), »Sie sollen hinsehen, so viel sie wollen ... sie sollen zuhören, so viel sie wollen « (GNB), »immerfort sehen ... immerfort hören« (MEN), »mit sehenden Augen sehen ... mit hörenden Ohren hören« (Luther). Nimmt man das Zitat für sich, könnte man es auch nach den Regeln der griechischen Grammatik auflösen. obwohl sie sehen und obwohl sie hören wäre die Deutung als Ptz. conj., die hier konzessiv als Nebensätze aufgelöst sind (ähnlich NGÜ). beim Sehen ... beim Hören wäre modal. Auch die wörtliche Übersetzung sieht wohl eine modale Sinnrichtung (vgl. NSS).</w:t>
      </w:r>
    </w:p>
  </w:footnote>
  <w:footnote w:id="1398">
    <w:p>
      <w:pPr>
        <w:pStyle w:val="Funote"/>
        <w:rPr/>
      </w:pPr>
      <w:r>
        <w:rPr/>
        <w:footnoteRef/>
        <w:tab/>
        <w:t>dieses Gleichnis Jesus spricht nun wieder vom Gleichnis von der Saat (Mk 4,3-9). Die Beschreibung von Jesu (üblicher?) Antwort auf derartige Fragen nach seinen Gleichnissen (s. die Fußnote in V. 10) endet in V. 12.</w:t>
      </w:r>
    </w:p>
  </w:footnote>
  <w:footnote w:id="1399">
    <w:p>
      <w:pPr>
        <w:pStyle w:val="Funote"/>
        <w:rPr/>
      </w:pPr>
      <w:r>
        <w:rPr/>
        <w:footnoteRef/>
        <w:tab/>
        <w:t xml:space="preserve">überhaupt (all die [anderen]) W. »all die Gleichnisse« (vgl. ELB). Unsere Übersetzung folgt MEN, NGÜ, ZÜR. »Überhaupt« kann ebenso umfassend gemeint sein wie »alle«. Vgl. die Definition von </w:t>
      </w:r>
      <w:r>
        <w:rPr>
          <w:lang w:val="el-GR"/>
        </w:rPr>
        <w:t>πᾶς</w:t>
      </w:r>
      <w:r>
        <w:rPr/>
        <w:t xml:space="preserve"> »jeder« in LN 59.23: »the totality of any object, mass, collective, or extension—‘all, every, each, whole.’«</w:t>
      </w:r>
    </w:p>
  </w:footnote>
  <w:footnote w:id="1400">
    <w:p>
      <w:pPr>
        <w:pStyle w:val="Funote"/>
        <w:rPr/>
      </w:pPr>
      <w:r>
        <w:rPr/>
        <w:footnoteRef/>
        <w:tab/>
        <w:t>Wort (V. 14ff. und 33) bezeichnet den Inhalt von Jesu Verkündigung (vgl. Mk 2,2), die bisher sein Evangelium vom nahen Reich Gottes (1,15) und die Gleichnisse (v.a. ab Kap. 4) umfasst. In der Zeit, als das Evangelium in Umlauf kam, bezeichnete Wort in christlichen Kreisen das christliche Evangelium. Der Vergleich von Mk 1,15 und 2,2 scheint darauf hinzuweisen, dass auch Markus die beiden Begriffe austauschbar benutzt (France 2002, 204; Collins 2007, 251f.).</w:t>
      </w:r>
    </w:p>
  </w:footnote>
  <w:footnote w:id="1401">
    <w:p>
      <w:pPr>
        <w:pStyle w:val="Funote"/>
        <w:rPr/>
      </w:pPr>
      <w:r>
        <w:rPr/>
        <w:footnoteRef/>
        <w:tab/>
        <w:t>die das Wort gleich mit Freuden annehmen, sobald sie es hören W. »die, sobald sie das Wort hören, es gleich mit Freuden annehmen«</w:t>
      </w:r>
    </w:p>
  </w:footnote>
  <w:footnote w:id="1402">
    <w:p>
      <w:pPr>
        <w:pStyle w:val="Funote"/>
        <w:rPr/>
      </w:pPr>
      <w:r>
        <w:rPr/>
        <w:footnoteRef/>
        <w:tab/>
        <w:t>wenn es … zu … kommt Temporal aufgelöster Genitivus absolutus.</w:t>
      </w:r>
    </w:p>
  </w:footnote>
  <w:footnote w:id="1403">
    <w:p>
      <w:pPr>
        <w:pStyle w:val="Funote"/>
        <w:rPr/>
      </w:pPr>
      <w:r>
        <w:rPr/>
        <w:footnoteRef/>
        <w:tab/>
        <w:t>die … hören bzw. gehört haben Als Relativsatz aufgelöstes substantiviertes Partizip. Man kann das Partizip Aorist sowohl vorzeitig wie gleichzeitig übersetzen.</w:t>
      </w:r>
    </w:p>
  </w:footnote>
  <w:footnote w:id="1404">
    <w:p>
      <w:pPr>
        <w:pStyle w:val="Funote"/>
        <w:rPr/>
      </w:pPr>
      <w:r>
        <w:rPr/>
        <w:footnoteRef/>
        <w:tab/>
        <w:t>weltliche Sorgen W. »Sorgen der Welt/Zeit/Gegenwart«, appositiver Genitiv.</w:t>
      </w:r>
    </w:p>
  </w:footnote>
  <w:footnote w:id="1405">
    <w:p>
      <w:pPr>
        <w:pStyle w:val="Funote"/>
        <w:rPr/>
      </w:pPr>
      <w:r>
        <w:rPr/>
        <w:footnoteRef/>
        <w:tab/>
        <w:t>wenn … dazukommen Temporal aufgelöstes Ptz. conj..</w:t>
      </w:r>
    </w:p>
  </w:footnote>
  <w:footnote w:id="1406">
    <w:p>
      <w:pPr>
        <w:pStyle w:val="Funote"/>
        <w:rPr/>
      </w:pPr>
      <w:r>
        <w:rPr/>
        <w:footnoteRef/>
        <w:tab/>
        <w:t>die … gesät werden Als Relativsatz aufgelöstes subst. Ptz..</w:t>
      </w:r>
    </w:p>
  </w:footnote>
  <w:footnote w:id="1407">
    <w:p>
      <w:pPr>
        <w:pStyle w:val="Funote"/>
        <w:rPr/>
      </w:pPr>
      <w:r>
        <w:rPr/>
        <w:footnoteRef/>
        <w:tab/>
        <w:t>eines 30, {und} eines 60 und eines 100 S. die Fußnote zur gleichen Formulierung in V. 8. Wenn nicht der dort von vielen gesehene Aramaismus vorliegt (dann wie Klammer), hat Jesus die Formulierung direkt aus der eigentlichen Parabel übernommen, er meint hier also weiter »ein [Samenkorn] bringt 30 [weitere] hervor« usw. (NSS), wobei er die Metapher nicht extra ausdrücklich auf die Jüngerschaft anwenden muss.</w:t>
      </w:r>
    </w:p>
  </w:footnote>
  <w:footnote w:id="1408">
    <w:p>
      <w:pPr>
        <w:pStyle w:val="Funote"/>
        <w:rPr/>
      </w:pPr>
      <w:r>
        <w:rPr/>
        <w:footnoteRef/>
        <w:tab/>
        <w:t>Bringt man W. »kommt«, d.h. etwa »wird herbeigebracht«, eine gängige griechische Wendung (NSS).</w:t>
      </w:r>
    </w:p>
  </w:footnote>
  <w:footnote w:id="1409">
    <w:p>
      <w:pPr>
        <w:pStyle w:val="Funote"/>
        <w:rPr/>
      </w:pPr>
      <w:r>
        <w:rPr/>
        <w:footnoteRef/>
        <w:tab/>
        <w:t>um zu stellen (2x) Oder etwas genauer an der griechischen Syntax orientiert: »damit … gestellt wird«</w:t>
      </w:r>
    </w:p>
  </w:footnote>
  <w:footnote w:id="1410">
    <w:p>
      <w:pPr>
        <w:pStyle w:val="Funote"/>
        <w:rPr/>
      </w:pPr>
      <w:r>
        <w:rPr/>
        <w:footnoteRef/>
        <w:tab/>
        <w:t>um zu machen Oder etwas genauer an der griechischen Syntax orientiert: »damit … gemacht wird«</w:t>
      </w:r>
    </w:p>
  </w:footnote>
  <w:footnote w:id="1411">
    <w:p>
      <w:pPr>
        <w:pStyle w:val="Funote"/>
        <w:rPr/>
      </w:pPr>
      <w:r>
        <w:rPr/>
        <w:footnoteRef/>
        <w:tab/>
        <w:t>Während … {und} W. »und … und«. In Markus' volkstümlichem Griechisch entspricht das wohl (ähnlich wie im Hebräischen) einer temporalen Verbindung (vgl. Mk 2,23), daher die Wiedergabe als temporaler Nebensatz.</w:t>
      </w:r>
    </w:p>
  </w:footnote>
  <w:footnote w:id="1412">
    <w:p>
      <w:pPr>
        <w:pStyle w:val="Funote"/>
        <w:rPr/>
      </w:pPr>
      <w:r>
        <w:rPr/>
        <w:footnoteRef/>
        <w:tab/>
        <w:t xml:space="preserve">wie, [das] weiß er selbst nicht bzw. ohne dass er selbst etwas davon weiß Das Gleichnis enthält einige Merkmale, die darauf hinweisen könnten, dass der Bauer unabsichtlich einen Samen hat fallen lassen (oder weggeworfen hat), der ohne sein Wissen (die Klammer folgt MEN) wächst und Frucht bringt. Dazu passt, dass der Mann sich – ganz untypisch – gar nicht mehr um die Pflanze kümmert, auch das eher harsche Wort </w:t>
      </w:r>
      <w:r>
        <w:rPr>
          <w:lang w:val="el-GR"/>
        </w:rPr>
        <w:t>βάλῃ</w:t>
      </w:r>
      <w:r>
        <w:rPr/>
        <w:t xml:space="preserve"> (W. »wirft«) in V. 26 könnte dazu passen. Allerdings ist das Reich Gottes ja von Gott planvoll gepflanzt und angelegt, und auch das christliche Zeugnis von Gottes Reich ist eher bewusst und planvoll als unbewusst (wenn man annimmt, dass der unwissende Bauer hier noch für christliche Verkündiger steht; in V. 29 steht er für Gott). Doch das Gleichnis dreht sich eher um das passive Erleben des Bauern, was mit der Saat passiert, als um seine Identität (France 2002, 214). </w:t>
      </w:r>
      <w:r>
        <w:rPr>
          <w:lang w:val="el-GR"/>
        </w:rPr>
        <w:t>βάλῃ</w:t>
      </w:r>
      <w:r>
        <w:rPr/>
        <w:t xml:space="preserve"> könnte hier auch einfach »fallen lassen, ausstreuen« im Sinne des Säens heißen, es steht vielleicht, um seine Sorglosigkeit und passive Rolle bezüglich der Entwicklung des Getreides hervorzuheben (Guelich 1989, 245). Auch die Ernte (V. 29) deutet eher auf ein ganzes Feld hin. Und </w:t>
      </w:r>
      <w:r>
        <w:rPr>
          <w:lang w:val="el-GR"/>
        </w:rPr>
        <w:t>σπόρος</w:t>
      </w:r>
      <w:r>
        <w:rPr/>
        <w:t xml:space="preserve"> heißt (wie NGÜ, GNB), wenigstens in diesem Kontext, eher »Saat(gut)« als »Same« (vgl. Lk 8,5.11; 2Kor 9,10). Der Gedanke, dass der Mann einen ganzen Haufen Saatgut einfach weggeworfen (oder versehentlich fallen lassen) haben könnte, ist unplausibler als mit einem einzelnen Samenkorn. Sein Unwissen deckt sich vielmehr mit dem der Jünger, die Jesu Gleichnis vom Reich Gottes nicht verstanden haben (4,13) und es trotzdem verbreiten werden (Guelich 1989, 241), ohne Einfluss auf den Erfolg zu haben. Dass der Bauer sein Feld nicht pflegt, ist eher ein Stilmittel, das das selbständige Wachstum von Gottes Reich noch unterstreicht und dabei vielleicht hervorhebt, dass menschliche Anstrengungen damit nichts zu tun haben (so z.B. France 2002, 214).</w:t>
      </w:r>
    </w:p>
  </w:footnote>
  <w:footnote w:id="1413">
    <w:p>
      <w:pPr>
        <w:pStyle w:val="Funote"/>
        <w:rPr/>
      </w:pPr>
      <w:r>
        <w:rPr/>
        <w:footnoteRef/>
        <w:tab/>
        <w:t>voll ausgereiftem Weizen bezieht sich auf die Körner in der Ähre.</w:t>
      </w:r>
    </w:p>
  </w:footnote>
  <w:footnote w:id="1414">
    <w:p>
      <w:pPr>
        <w:pStyle w:val="Funote"/>
        <w:rPr/>
      </w:pPr>
      <w:r>
        <w:rPr/>
        <w:footnoteRef/>
        <w:tab/>
        <w:t>setzt er die Sichel an (sendet aus) »Die Sichel aussenden« ist ein Semitismus (Jesus lehnt seine Formulierung an Joel 4,13 an) und heißt sie zum Gebrauch einzusetzen oder anzulegen (LN 43.17; vgl. Offb 14,15.18). Auf Hebräisch und Aramäisch »sendet« man seine Hand aus, wenn man sie ausstreckt (z.B. Ps 138,7; Esr 6,12). Es handelt sich um eine Metonymie, denn der reale Bauer erntet nicht selbst, sondern sendet seine Schnitter aufs Feld (NSS).</w:t>
      </w:r>
    </w:p>
  </w:footnote>
  <w:footnote w:id="1415">
    <w:p>
      <w:pPr>
        <w:pStyle w:val="Funote"/>
        <w:rPr/>
      </w:pPr>
      <w:r>
        <w:rPr/>
        <w:footnoteRef/>
        <w:tab/>
        <w:t>Senfkorn W. »Korn [des] Senfs«. Gemeint ist wohl der Schwarze Senf, der zwischen 30 cm und über 3 m groß werden kann. Ein schwarzes Senfkorn ist nur 1mm dick und wiegt weniger als 1/700 Gramm. Seine Kleinheit war damals in Palästina sprichwörtlich (France 2002, 216; NSS).</w:t>
      </w:r>
    </w:p>
  </w:footnote>
  <w:footnote w:id="1416">
    <w:p>
      <w:pPr>
        <w:pStyle w:val="Funote"/>
        <w:rPr/>
      </w:pPr>
      <w:r>
        <w:rPr/>
        <w:footnoteRef/>
        <w:tab/>
        <w:t>[das] kleinste W. »kleiner«. Superlativisch gebrauchter Komparativ (NSS).</w:t>
      </w:r>
    </w:p>
  </w:footnote>
  <w:footnote w:id="1417">
    <w:p>
      <w:pPr>
        <w:pStyle w:val="Funote"/>
        <w:rPr/>
      </w:pPr>
      <w:r>
        <w:rPr/>
        <w:footnoteRef/>
        <w:tab/>
        <w:t>ist Wohl konzessives Ptz. conj. (NSS), aus stilistischen Gründen einfach als Indikativ übersetzt. Eigentlich etwa: »das, wenn es in die Erde gesät wird, obwohl es das kleinste der Samenkörner ist, die man in die Erde sät, (V. 32) und wenn es gesät wird...« Der unsaubere Satzbau ist wohl dem einfachen Griechisch geschuldet.</w:t>
      </w:r>
    </w:p>
  </w:footnote>
  <w:footnote w:id="1418">
    <w:p>
      <w:pPr>
        <w:pStyle w:val="Funote"/>
        <w:rPr/>
      </w:pPr>
      <w:r>
        <w:rPr/>
        <w:footnoteRef/>
        <w:tab/>
        <w:t>[die] größte W. »größer«. Superlativisch gebrauchter Komparativ (NSS zu V. 31). Dabei handelt es sich (wie bei der ganzen Beschreibung der Senfpflanze als Baum) um eine rhetorische Ausschmückung, um den großen Gegensatz zwischen dem kleinen Senfkorn und der großen Senfpflanze zu beschreiben (Lk 13,19 und Mt 13,32 nennen sie tatsächlich »Baum«)(Guelich 1989, 250). Seltsamerweise geben die deutschen Übersetzungen den Komparativ in V. 31 durchgehend als Superlativ (bis auf ELB) wieder, den gleich aufgebauten hier jedoch als Komparativ.</w:t>
      </w:r>
    </w:p>
  </w:footnote>
  <w:footnote w:id="1419">
    <w:p>
      <w:pPr>
        <w:pStyle w:val="Funote"/>
        <w:rPr/>
      </w:pPr>
      <w:r>
        <w:rPr/>
        <w:footnoteRef/>
        <w:tab/>
        <w:t>in seinem Schatten W. »unter seinem Schatten«</w:t>
      </w:r>
    </w:p>
  </w:footnote>
  <w:footnote w:id="1420">
    <w:p>
      <w:pPr>
        <w:pStyle w:val="Funote"/>
        <w:rPr/>
      </w:pPr>
      <w:r>
        <w:rPr/>
        <w:footnoteRef/>
        <w:tab/>
        <w:t>erläuterte Das Imperfekt drückt entweder eine grundsätzliche Gepflogenheit aus oder hat die Predigt von Mk 4,2 im Sinn. Zur Phrase erläuterte ihnen [seine] Botschaft s. die Fußnote zu Mk 2,2 und die folgende Fußnote zu Wort.</w:t>
      </w:r>
    </w:p>
  </w:footnote>
  <w:footnote w:id="1421">
    <w:p>
      <w:pPr>
        <w:pStyle w:val="Funote"/>
        <w:rPr/>
      </w:pPr>
      <w:r>
        <w:rPr/>
        <w:footnoteRef/>
        <w:tab/>
        <w:t xml:space="preserve">so wie (in einer Weise, dass) Der Satz mit dieser Konjunktion lässt sich positiv und negativ auffassen. Die Konjunktion heißt dabei entweder so wie i.S.v. in einer Weise, dass (positiv, uneingeschränkt) oder so wie i.S.v. in dem Maße wie (negativ, mit Einschränkungen)(BA </w:t>
      </w:r>
      <w:r>
        <w:rPr>
          <w:lang w:val="el-GR"/>
        </w:rPr>
        <w:t>καθώς</w:t>
      </w:r>
      <w:r>
        <w:rPr/>
        <w:t>). Positiv gedeutet heißt das: Jesus benutzte die Gleichnisse als Hilfsmittel, damit ihn jeder verstehen und auf seine Botschaft reagieren konnte. Negativ verstanden bedeutet es: Jesus benutzte die Gleichnisse als nicht unmittelbar verständliche Mittel, die mehr als nur oberflächliches Hinhören, sondern eine persönliche Reaktion erforderten. Wer sich damit befasst, reagiert auch darauf und zählt zum Kreis der Leute „um ihn“, denen das wahre Verständnis von Gottes Reich/Herrschaft gegeben ist (4,10; vgl. 3,31-35). Auf das positive Verständnis deutet zunächst der Kontext des ersten Saatgleichnisses hin, denn in dessen Erklärung haben alle Gruppen die Botschaft gehört und in irgendeiner Form positiv darauf reagiert – erst an den Langzeitauswirkungen wird erkennbar, wie tief die Botschaft sie betroffen hat. (Das spricht übrigens gegen eine noch krassere Deutung: dass Jesus sie als Rätsel benutzte, sodass nur eingeweihte sie verstehen konnten.) Für das negative Verständnis spricht V. 34, der erneut zwischen Gleichnissen für die Außenstehenden und klaren Worten für den inneren Kreis unterscheidet. Bisher haben wir erfahren, dass alle die Gleichnisse hörten und zu einem gewissen Grad verstanden, aber nicht jeder gleich darauf reagierte. Es bildete sich ein „innerer Kreis“ um Jesus und die Zwölf, der positiv reagierte und mehr von Jesus erfahren wollte und Jesus folgte (4,10). Diesen Kreis bezeichnet das Wort „Jünger“ in V. 34. Dann gab es andere, die nicht zu Jesus kamen und draußen blieben (wie seine Familie in 3,31ff. oder offenbar ein guter Teil der Menschenmengen), und wieder andere, die zu seinen Feinden wurden (die Pharisäer und Schriftgelehrten aus Kap. 2 und 3). Diese unterschiedliche Reaktion hat Jesus mit dem Gleichnis von der Saat (4,3-20) erklärt. Hier scheint Markus also erneut darauf hinzuweisen, dass nicht jeder die Gleichnisse gleich aufnahm (Guelich 1989, 256; France 2002, 218).</w:t>
      </w:r>
    </w:p>
  </w:footnote>
  <w:footnote w:id="1422">
    <w:p>
      <w:pPr>
        <w:pStyle w:val="Funote"/>
        <w:rPr/>
      </w:pPr>
      <w:r>
        <w:rPr/>
        <w:footnoteRef/>
        <w:tab/>
        <w:t>Jünger Gemeint sind hier nicht nur die Zwölf, sondern die größere Gruppe seiner Anhänger, die schon in V. 10 im Blick war (Collins 2007, 256).</w:t>
      </w:r>
    </w:p>
  </w:footnote>
  <w:footnote w:id="1423">
    <w:p>
      <w:pPr>
        <w:pStyle w:val="Funote"/>
        <w:rPr/>
      </w:pPr>
      <w:r>
        <w:rPr/>
        <w:footnoteRef/>
        <w:tab/>
        <w:t>sprach und erklärte stehen im Imperfekt, wie große Teile der Rahmenhandlung in Kap. 4. Dazu vgl. die Fußnoten zu V. 10 und 9 sowie V. 33.</w:t>
      </w:r>
    </w:p>
  </w:footnote>
  <w:footnote w:id="1424">
    <w:p>
      <w:pPr>
        <w:pStyle w:val="Funote"/>
        <w:rPr/>
      </w:pPr>
      <w:r>
        <w:rPr/>
        <w:footnoteRef/>
        <w:tab/>
        <w:t>als es Abend geworden war Gen. abs., temporal als Nebensatz aufgelöst.</w:t>
      </w:r>
    </w:p>
  </w:footnote>
  <w:footnote w:id="1425">
    <w:p>
      <w:pPr>
        <w:pStyle w:val="Funote"/>
        <w:rPr/>
      </w:pPr>
      <w:r>
        <w:rPr/>
        <w:footnoteRef/>
        <w:tab/>
        <w:t>ans andere Ufer Jesus und die Jünger hielten sich bei Kafarnaum am See Gennesaret auf (4,1-2). Das andere Ufer war also das von Nichtjuden bewohnte Ostufer (vgl. France 2002, 222), das sie in Mk 5,1 erreichen.</w:t>
      </w:r>
    </w:p>
  </w:footnote>
  <w:footnote w:id="1426">
    <w:p>
      <w:pPr>
        <w:pStyle w:val="Funote"/>
        <w:rPr/>
      </w:pPr>
      <w:r>
        <w:rPr/>
        <w:footnoteRef/>
        <w:tab/>
        <w:t>nachdem sie die Menschenmenge weggeschickt hatten (wobei … zurückließen) Ptz. conj., temporal (oder modal) als Nebensatz aufgelöst. Deutsche Übersetzungen verwenden durchweg „wegschicken“, englische „zurücklassen“.</w:t>
      </w:r>
    </w:p>
  </w:footnote>
  <w:footnote w:id="1427">
    <w:p>
      <w:pPr>
        <w:pStyle w:val="Funote"/>
        <w:rPr/>
      </w:pPr>
      <w:r>
        <w:rPr/>
        <w:footnoteRef/>
        <w:tab/>
        <w:t xml:space="preserve">im Boot mit (zu sich ins Boot), wie er war Die alternative Übersetzung „nahmen ihn in dem Boot mit, in dem er schon war“, stützt sich darauf, die Konjunktion </w:t>
      </w:r>
      <w:r>
        <w:rPr>
          <w:lang w:val="el-GR"/>
        </w:rPr>
        <w:t>ὡς</w:t>
      </w:r>
      <w:r>
        <w:rPr/>
        <w:t xml:space="preserve"> „wie/als“ kausal zu verstehen (France 2002, 223) oder frei als Relativsatz zu übersetzen. So steht zwar wie er war nicht bedeutungslos im Raum, aber diese Deutung ist wenig elegant (so ebd.) und sprachlich möglicherweise schwierig. Ihr folgen dennoch viele Übersetzungen. Dass Jesus noch im Boot war, ist andernfalls allerdings (auch von der Wortstellung her) ebenso wahrscheinlich.</w:t>
      </w:r>
    </w:p>
  </w:footnote>
  <w:footnote w:id="1428">
    <w:p>
      <w:pPr>
        <w:pStyle w:val="Funote"/>
        <w:rPr/>
      </w:pPr>
      <w:r>
        <w:rPr/>
        <w:footnoteRef/>
        <w:tab/>
        <w:t>starker Sturmwind W. „großer Sturmwind [des] Windes“, eine Formulierung, die sich vielleicht an Jona 1,4 anlehnt.</w:t>
      </w:r>
    </w:p>
  </w:footnote>
  <w:footnote w:id="1429">
    <w:p>
      <w:pPr>
        <w:pStyle w:val="Funote"/>
        <w:rPr/>
      </w:pPr>
      <w:r>
        <w:rPr/>
        <w:footnoteRef/>
        <w:tab/>
        <w:t>schlugen [bald] Imperfekt, [langsam] füllte Infinitiv Präsens (im AcI). Beide Tempusformen suggerieren einen anhaltenden Vorgang, der durch die mit angegebenen Worteinfügungen kenntlich gemacht wurde.</w:t>
      </w:r>
    </w:p>
  </w:footnote>
  <w:footnote w:id="1430">
    <w:p>
      <w:pPr>
        <w:pStyle w:val="Funote"/>
        <w:rPr/>
      </w:pPr>
      <w:r>
        <w:rPr/>
        <w:footnoteRef/>
        <w:tab/>
        <w:t>wo er auf dem Kissen schlief Periphrastisches Partizip (oder modales Ptz. conj.), das vielleicht den durativen Aspekt des dadurch umschriebenen Imperfekts noch verstärkt (daher die Ergänzung von [währenddessen]). Aus stilistischen Gründen ist es hier nicht einfach mit deutschem Imperfekt wiedergegeben, sondern mit „befand sich“+Nebensatz. auf dem Kissen könnte sich auf ein mutmaßliches Kissen beziehen, das damals bekanntermaßen (z.B. für Passagiere oder Ruderer) an Bord eines solchen Bootes zu finden war (Guelich 1989, 261). GNB: „auf dem Sitzkissen“</w:t>
      </w:r>
    </w:p>
  </w:footnote>
  <w:footnote w:id="1431">
    <w:p>
      <w:pPr>
        <w:pStyle w:val="Funote"/>
        <w:rPr/>
      </w:pPr>
      <w:r>
        <w:rPr/>
        <w:footnoteRef/>
        <w:tab/>
        <w:t>wachte auf Ptz. conj. (Aor.), temporal, beigeordnet aufgelöst.</w:t>
      </w:r>
    </w:p>
  </w:footnote>
  <w:footnote w:id="1432">
    <w:p>
      <w:pPr>
        <w:pStyle w:val="Funote"/>
        <w:rPr/>
      </w:pPr>
      <w:r>
        <w:rPr/>
        <w:footnoteRef/>
        <w:tab/>
        <w:t>unterwarf (fuhr an) Die meisten Übersetzungen: „(be)drohte“. Bei Markus benutzt Jesus das Wort sonst, um Dämonen göttliche Befehle zu erteilen, wie Gott das im Alten Testament mit seinen Feinden tat, daher ist die Übersetzung „(jmdn.)(mit einem Befehl) unterwerfen“, „(etw.) befehlen“ angemessen (France 2002, 224). In Ps 105,9 LXX wird mit den gleichen Worten berichtet, wie Gott sich das Schilfmeer unterwarf, um die Israeliten hindurchzuführen (Collins 2007, 262). Jesus beherrscht hier in göttlicher Manier das Wetter. Jona dagegen bleibt in Jon 1,7ff. lieber passiv und will dann lieber in den Fluten sterben, als sich Gott zu fügen. S.a. die Fußnoten zu Markus_1#note_blMk 1,25 und 3,12.</w:t>
      </w:r>
    </w:p>
  </w:footnote>
  <w:footnote w:id="1433">
    <w:p>
      <w:pPr>
        <w:pStyle w:val="Funote"/>
        <w:rPr/>
      </w:pPr>
      <w:r>
        <w:rPr/>
        <w:footnoteRef/>
        <w:tab/>
        <w:t>fürchteten sie sich [mit] großer Furcht Wörtliche Übertragung einer hebräischen Stilfigur (figura etymologica). Im Unterschied zur Angst in V. 40 ist hier allerdings auch Ehrfurcht im Spiel (Guelich 1989, 269). Freier einfach „Da bekamen sie große Angst/Ehrfurcht“ oder „Da ergriff sie große Furcht“ (EÜ), „Sie aber fürchteten sich sehr“ (LUT), „Jetzt wurden sie erst recht von Furcht gepackt “ (NGÜ)</w:t>
      </w:r>
    </w:p>
  </w:footnote>
  <w:footnote w:id="1434">
    <w:p>
      <w:pPr>
        <w:pStyle w:val="Funote"/>
        <w:rPr/>
      </w:pPr>
      <w:r>
        <w:rPr/>
        <w:footnoteRef/>
        <w:tab/>
        <w:t>gehorchen W. »gehorcht«</w:t>
      </w:r>
    </w:p>
  </w:footnote>
  <w:footnote w:id="1435">
    <w:p>
      <w:pPr>
        <w:pStyle w:val="Funote"/>
        <w:rPr/>
      </w:pPr>
      <w:r>
        <w:rPr/>
        <w:footnoteRef/>
        <w:tab/>
        <w:t>[Status: Zuverlässig]</w:t>
      </w:r>
    </w:p>
  </w:footnote>
  <w:footnote w:id="1436">
    <w:p>
      <w:pPr>
        <w:pStyle w:val="Funote"/>
        <w:rPr/>
      </w:pPr>
      <w:r>
        <w:rPr/>
        <w:footnoteRef/>
        <w:tab/>
        <w:t>Gebiet (Land) der Gerasener Das Problem mit dieser Ortsangabe (auch in der Parallelstelle Lk 8,26 bezeugt) ist, dass Gerasa etwa 50 km vom See entfernt liegt. In der Geschichte dagegen muss die Stadt nah am Ufer liegen (5,12-13). Wohl deshalb spricht Matthäus 8,28 stattdessen vom Land der „Gadarener“. Gadara ist zwar ein Ort, der relativ nah am Ufer des Sees liegt, aber die in V. 12 beschriebenen Abhänge fehlen dort. Der Kirchenvater Origenes (3. Jh.) berichtet, solche Abhänge in Gergesa vorgefunden zu haben, wo die Bewohner auch eine Überlieferung kannten, nach der die berichtete Austreibung in ihrem Ort geschehen war (Collins 2007, 263f.). Es ist gut möglich, dass es so war.</w:t>
      </w:r>
    </w:p>
  </w:footnote>
  <w:footnote w:id="1437">
    <w:p>
      <w:pPr>
        <w:pStyle w:val="Funote"/>
        <w:rPr/>
      </w:pPr>
      <w:r>
        <w:rPr/>
        <w:footnoteRef/>
        <w:tab/>
        <w:t>als er ... gestiegen war (stieg) Gen. abs., temporal aufgelöst.</w:t>
      </w:r>
    </w:p>
  </w:footnote>
  <w:footnote w:id="1438">
    <w:p>
      <w:pPr>
        <w:pStyle w:val="Funote"/>
        <w:rPr/>
      </w:pPr>
      <w:r>
        <w:rPr/>
        <w:footnoteRef/>
        <w:tab/>
        <w:t>nicht einmal … man … noch W. „nicht einmal … niemand … nicht mehr“. Die dreifache Verneinung intensiviert die ausgedrückte Unmöglichkeit.</w:t>
      </w:r>
    </w:p>
  </w:footnote>
  <w:footnote w:id="1439">
    <w:p>
      <w:pPr>
        <w:pStyle w:val="Funote"/>
        <w:rPr/>
      </w:pPr>
      <w:r>
        <w:rPr/>
        <w:footnoteRef/>
        <w:tab/>
        <w:t>[mit] Fußfesseln und Ketten gefesselt Schöner wäre „(eisernen) Fuß- und Handfesseln“, etwas freier auch „an Händen und Füßen mit Ketten gefesselt“.</w:t>
      </w:r>
    </w:p>
  </w:footnote>
  <w:footnote w:id="1440">
    <w:p>
      <w:pPr>
        <w:pStyle w:val="Funote"/>
        <w:rPr/>
      </w:pPr>
      <w:r>
        <w:rPr/>
        <w:footnoteRef/>
        <w:tab/>
        <w:t>zerrissen W. „auseinander zerrissen“ (vgl. LN 19.29).</w:t>
      </w:r>
    </w:p>
  </w:footnote>
  <w:footnote w:id="1441">
    <w:p>
      <w:pPr>
        <w:pStyle w:val="Funote"/>
        <w:rPr/>
      </w:pPr>
      <w:r>
        <w:rPr/>
        <w:footnoteRef/>
        <w:tab/>
        <w:t>hatte ... zerrissen und … zerrieben W. „(die Ketten) waren zerrissen und zerrieben worden“.</w:t>
      </w:r>
    </w:p>
  </w:footnote>
  <w:footnote w:id="1442">
    <w:p>
      <w:pPr>
        <w:pStyle w:val="Funote"/>
        <w:rPr/>
      </w:pPr>
      <w:r>
        <w:rPr/>
        <w:footnoteRef/>
        <w:tab/>
        <w:t xml:space="preserve">hielt er sich … auf … wo (wobei, während) er schrie Oder einfach „schrie er ununterbrochen … und schnitt sich“. W. </w:t>
      </w:r>
      <w:r>
        <w:rPr>
          <w:lang w:val="el-GR"/>
        </w:rPr>
        <w:t>ἦν κράζων</w:t>
      </w:r>
      <w:r>
        <w:rPr/>
        <w:t xml:space="preserve"> (w. „war schreiend“) Dieses so genannte periphrastische oder umschreibende Partizip kann man verschieden übersetzen. Häufig dient es als Beschreibung eines anhaltenden Zustands. Hier wurde das Hauptverb aus stilistischen Gründen separat übersetzt (weitere Infos auf der verlinkten Seite). Der Satz lässt sich auch als HS+Ptz. conj. (modal-temporal) übersetzen wie in der Klammer; der Unterschied trägt nichts aus.</w:t>
      </w:r>
    </w:p>
  </w:footnote>
  <w:footnote w:id="1443">
    <w:p>
      <w:pPr>
        <w:pStyle w:val="Funote"/>
        <w:rPr/>
      </w:pPr>
      <w:r>
        <w:rPr/>
        <w:footnoteRef/>
        <w:tab/>
        <w:t>schnitt Deutsche Übersetzungen geben das Wort meist als „auf sich einschlagen“ wieder, doch das Wort heißt eigentlich „(zer)schneiden“, „zerstückeln“. Die Übersetzung „sich schlagen“ ist im Zusammenhang mit Steinen nicht unbedingt die einzig denkbare (LN 19,21; vgl. LSJ).</w:t>
      </w:r>
    </w:p>
  </w:footnote>
  <w:footnote w:id="1444">
    <w:p>
      <w:pPr>
        <w:pStyle w:val="Funote"/>
        <w:rPr/>
      </w:pPr>
      <w:r>
        <w:rPr/>
        <w:footnoteRef/>
        <w:tab/>
        <w:t>als/weil er sah Ptz. conj., als temporaler (oder kausaler) Nebensatz aufgelöst.</w:t>
      </w:r>
    </w:p>
  </w:footnote>
  <w:footnote w:id="1445">
    <w:p>
      <w:pPr>
        <w:pStyle w:val="Funote"/>
        <w:rPr/>
      </w:pPr>
      <w:r>
        <w:rPr/>
        <w:footnoteRef/>
        <w:tab/>
        <w:t>warf sich vor ihm nieder Das Wort impliziert eine unterwürfige, anbetende Haltung. Zwar erweist der Besessene Jesus in diesem Augenblick wohl noch keine religiöse Verehrung, aber zumindest bezeugt er großen Respekt. Er erkennt ihn als jemanden, der Macht über ihn hat, wie der nächste Vers zeigt (vgl. Collins 2007, 267).</w:t>
      </w:r>
    </w:p>
  </w:footnote>
  <w:footnote w:id="1446">
    <w:p>
      <w:pPr>
        <w:pStyle w:val="Funote"/>
        <w:rPr/>
      </w:pPr>
      <w:r>
        <w:rPr/>
        <w:footnoteRef/>
        <w:tab/>
        <w:t>Er schrie ... und Ptz. conj. (temporal), mit „und“-Kombination aufgelöst.</w:t>
      </w:r>
    </w:p>
  </w:footnote>
  <w:footnote w:id="1447">
    <w:p>
      <w:pPr>
        <w:pStyle w:val="Funote"/>
        <w:rPr/>
      </w:pPr>
      <w:r>
        <w:rPr/>
        <w:footnoteRef/>
        <w:tab/>
        <w:t xml:space="preserve">Was willst du von mir? W. »Was mir und dir?« In Mk 1,24;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1,24; Mt 8,29; Lk 8,28) wohl auch das defensive Element vorhanden. Sinngemäß könnte man also sagen: »Was habe ich dir getan? Lass mich in Ruhe!« Zür, REB, GNB: »Was habe ich mit dir zu schaffen?«, Lut, Menge, NGÜ: »Was willst du von mir?«</w:t>
      </w:r>
    </w:p>
  </w:footnote>
  <w:footnote w:id="1448">
    <w:p>
      <w:pPr>
        <w:pStyle w:val="Funote"/>
        <w:rPr/>
      </w:pPr>
      <w:r>
        <w:rPr/>
        <w:footnoteRef/>
        <w:tab/>
        <w:t>hatte gesagt (sagte gerade/wiederholt) übersetzt das Imperfekt, das in diesem Kontext zweierlei anzeigen kann: 1. eine vorvergangene Handlung (Siebenthal 2001 §198f): dass Jesus dies vor der Bitte des Dämons gesagt hatte. 2. eine im Verlauf befindliche Handlung (Siebenthal 2011 §198b): dass Jesus schon zu sprechen begonnen hatte, vielleicht nach der ersten Frage des Dämons. „Denn“ verweist auf den Grund für die in V. 7 geäußerte Bitte. Möglich, dass Jesus die Austreibungsformel mehrmals wiederholte (so Mann 1986, 279). Oder wie MEN: „im Begriff war...“ Fast alle Übersetzungen folgen der ersten Möglichkeit (s. BDR §347; Guelich 1989, 272; Collins 2007, 268).</w:t>
      </w:r>
    </w:p>
  </w:footnote>
  <w:footnote w:id="1449">
    <w:p>
      <w:pPr>
        <w:pStyle w:val="Funote"/>
        <w:rPr/>
      </w:pPr>
      <w:r>
        <w:rPr/>
        <w:footnoteRef/>
        <w:tab/>
        <w:t>Legion Lat. Lehnwort, die Bezeichnung einer militärischen Einheit. Wahrscheinlich ist es nicht der tatsächliche Name des/der Dämonen, sondern eine ausweichende Antwort. Die Anzahl der Dämonen scheint jedoch zumindest grob in der Größenordnung einer Legion (4-6000 Mann) zu liegen (Collins 2007, 269; Guelich 1989, 281).</w:t>
      </w:r>
    </w:p>
  </w:footnote>
  <w:footnote w:id="1450">
    <w:p>
      <w:pPr>
        <w:pStyle w:val="Funote"/>
        <w:rPr/>
      </w:pPr>
      <w:r>
        <w:rPr/>
        <w:footnoteRef/>
        <w:tab/>
        <w:t>»Was [ist] dein Name?« und »Mein Name [ist]...« W. »Was (für ein) Name [ist] dir?« etc. (possessiver Dativ; NSS)</w:t>
      </w:r>
    </w:p>
  </w:footnote>
  <w:footnote w:id="1451">
    <w:p>
      <w:pPr>
        <w:pStyle w:val="Funote"/>
        <w:rPr/>
      </w:pPr>
      <w:r>
        <w:rPr/>
        <w:footnoteRef/>
        <w:tab/>
        <w:t xml:space="preserve">immer wieder (inständig) Das Adverb </w:t>
      </w:r>
      <w:r>
        <w:rPr>
          <w:lang w:val="el-GR"/>
        </w:rPr>
        <w:t>πολλὰ</w:t>
      </w:r>
      <w:r>
        <w:rPr/>
        <w:t xml:space="preserve"> kann man sowohl intensivierend als auch wiederholend verstehen. Die meisten Übersetzungen intensivieren (vgl. aber V. 23, 38 und 43).</w:t>
      </w:r>
    </w:p>
  </w:footnote>
  <w:footnote w:id="1452">
    <w:p>
      <w:pPr>
        <w:pStyle w:val="Funote"/>
        <w:rPr/>
      </w:pPr>
      <w:r>
        <w:rPr/>
        <w:footnoteRef/>
        <w:tab/>
        <w:t>am Berghang W. „an dem Berg“. Die Präposition weist auf einen Hang hin (vgl. EÜ, NGÜ, GNB).</w:t>
      </w:r>
    </w:p>
  </w:footnote>
  <w:footnote w:id="1453">
    <w:p>
      <w:pPr>
        <w:pStyle w:val="Funote"/>
        <w:rPr/>
      </w:pPr>
      <w:r>
        <w:rPr/>
        <w:footnoteRef/>
        <w:tab/>
        <w:t>weidete gerade Periphrastische Konjugation, die das Imperfekt umschreibt und die Gleichzeitigkeit des durativen Aspekts stärker betont.</w:t>
      </w:r>
    </w:p>
  </w:footnote>
  <w:footnote w:id="1454">
    <w:p>
      <w:pPr>
        <w:pStyle w:val="Funote"/>
        <w:rPr/>
      </w:pPr>
      <w:r>
        <w:rPr/>
        <w:footnoteRef/>
        <w:tab/>
        <w:t>Schweineherde W. „Herde [der] Schweine“</w:t>
      </w:r>
    </w:p>
  </w:footnote>
  <w:footnote w:id="1455">
    <w:p>
      <w:pPr>
        <w:pStyle w:val="Funote"/>
        <w:rPr/>
      </w:pPr>
      <w:r>
        <w:rPr/>
        <w:footnoteRef/>
        <w:tab/>
        <w:t xml:space="preserve">Wir wollen (damit wir) Die Konjunktion </w:t>
      </w:r>
      <w:r>
        <w:rPr>
          <w:lang w:val="el-GR"/>
        </w:rPr>
        <w:t>ἵνα</w:t>
      </w:r>
      <w:r>
        <w:rPr/>
        <w:t xml:space="preserve"> wird hier (v.a. aus stilistischen Gründen) als selbständiger Begehrungssatz übersetzt (NSS). Vgl. ZÜR, MEN.</w:t>
      </w:r>
    </w:p>
  </w:footnote>
  <w:footnote w:id="1456">
    <w:p>
      <w:pPr>
        <w:pStyle w:val="Funote"/>
        <w:rPr/>
      </w:pPr>
      <w:r>
        <w:rPr/>
        <w:footnoteRef/>
        <w:tab/>
        <w:t>fuhren aus und Temporales oder modales Ptz. conj., hier mit Hilfe einer „und“-Kombination beigeordnet.</w:t>
      </w:r>
    </w:p>
  </w:footnote>
  <w:footnote w:id="1457">
    <w:p>
      <w:pPr>
        <w:pStyle w:val="Funote"/>
        <w:rPr/>
      </w:pPr>
      <w:r>
        <w:rPr/>
        <w:footnoteRef/>
        <w:tab/>
        <w:t>ertranken im Meer Eigentlich können Schweine schwimmen (France 2002, 231). Allerdings ist es nicht undenkbar, dass ihre Panik und schiere Masse (viele Schweine würden im Wasser aufeinander landen und einander unter Wasser drücken) dazu führte, dass sie trotzdem ertranken.</w:t>
      </w:r>
    </w:p>
  </w:footnote>
  <w:footnote w:id="1458">
    <w:p>
      <w:pPr>
        <w:pStyle w:val="Funote"/>
        <w:rPr/>
      </w:pPr>
      <w:r>
        <w:rPr/>
        <w:footnoteRef/>
        <w:tab/>
        <w:t>ihre Hirten Oder etwas wörtlicher „die sie hüteten“.</w:t>
      </w:r>
    </w:p>
  </w:footnote>
  <w:footnote w:id="1459">
    <w:p>
      <w:pPr>
        <w:pStyle w:val="Funote"/>
        <w:rPr/>
      </w:pPr>
      <w:r>
        <w:rPr/>
        <w:footnoteRef/>
        <w:tab/>
        <w:t xml:space="preserve">Land W. „Felder“, eine Metonymie für das Land (BA </w:t>
      </w:r>
      <w:r>
        <w:rPr>
          <w:lang w:val="el-GR"/>
        </w:rPr>
        <w:t>ἀγρός</w:t>
      </w:r>
      <w:r>
        <w:rPr/>
        <w:t xml:space="preserve"> 1; vgl. LN 1.87). Ein anderes Verständnis der Metonymie wäre „Höfe, Dörfer“ (BA </w:t>
      </w:r>
      <w:r>
        <w:rPr>
          <w:lang w:val="el-GR"/>
        </w:rPr>
        <w:t>ἀγρός</w:t>
      </w:r>
      <w:r>
        <w:rPr/>
        <w:t xml:space="preserve"> 2; NSS), was wohl in Mk 6,36 gemeint ist. Zusammen bilden „Stadt und Land“ einen Merismus.</w:t>
      </w:r>
    </w:p>
  </w:footnote>
  <w:footnote w:id="1460">
    <w:p>
      <w:pPr>
        <w:pStyle w:val="Funote"/>
        <w:rPr/>
      </w:pPr>
      <w:r>
        <w:rPr/>
        <w:footnoteRef/>
        <w:tab/>
        <w:t>was das Geschehene war W. „was das Geschehene ist“; der Objektsatz steht in der selben Zeit, in der direkte Rede stehen würde (vgl. Zerwick § 346; ad loc. Grosvenor/Zerwick).</w:t>
      </w:r>
    </w:p>
  </w:footnote>
  <w:footnote w:id="1461">
    <w:p>
      <w:pPr>
        <w:pStyle w:val="Funote"/>
        <w:rPr/>
      </w:pPr>
      <w:r>
        <w:rPr/>
        <w:footnoteRef/>
        <w:tab/>
        <w:t>sahen, dass der Besessene saß, bekleidet und bei Verstand Dreifaches AcP. Aus stilistischen Gründen (allerdings im Rahmen des griechischen Satzbaus) wurde nur das erste Ptz. als Teil des AcP aufgelöst und die anderen beiden Partizipien modal verstanden. bekleidet bedarf keiner Auflösung, bei Verstand gibt das Ptz. als Präpositionalphrase wieder.</w:t>
      </w:r>
    </w:p>
  </w:footnote>
  <w:footnote w:id="1462">
    <w:p>
      <w:pPr>
        <w:pStyle w:val="Funote"/>
        <w:rPr/>
      </w:pPr>
      <w:r>
        <w:rPr/>
        <w:footnoteRef/>
        <w:tab/>
        <w:t>drängten sie ihn W. „fingen an zu bitten“, eine pleonastische Verbindung, die typisch für Markus ist. „Beginnen“ hat hier sehr abgeschwächte Bedeutung (Siebenthal 2011, §218e; NSS). Übersetzt man das Imperfekt, dann vielleicht so wie ZÜR: „Da baten sie ihn immer dringlicher“ (iterativ), MEN: „Da verlegten sie sich aufs Bitten“</w:t>
      </w:r>
    </w:p>
  </w:footnote>
  <w:footnote w:id="1463">
    <w:p>
      <w:pPr>
        <w:pStyle w:val="Funote"/>
        <w:rPr/>
      </w:pPr>
      <w:r>
        <w:rPr/>
        <w:footnoteRef/>
        <w:tab/>
        <w:t>Als er ins Boot stieg Gen. abs., als temporaler Nebensatz aufgelöst.</w:t>
      </w:r>
    </w:p>
  </w:footnote>
  <w:footnote w:id="1464">
    <w:p>
      <w:pPr>
        <w:pStyle w:val="Funote"/>
        <w:rPr/>
      </w:pPr>
      <w:r>
        <w:rPr/>
        <w:footnoteRef/>
        <w:tab/>
        <w:t>der, der besessen gewesen war Subst. Ptz. Aor., als Relativsatz aufgelöst. Eine schönere Übersetzung wäre vielleicht „der vormals Besessene“ oder auch „der ehemalige Besessene“. MEN: „der (früher) Besessene“, GNB sogar: „der Geheilte“.</w:t>
      </w:r>
    </w:p>
  </w:footnote>
  <w:footnote w:id="1465">
    <w:p>
      <w:pPr>
        <w:pStyle w:val="Funote"/>
        <w:rPr/>
      </w:pPr>
      <w:r>
        <w:rPr/>
        <w:footnoteRef/>
        <w:tab/>
        <w:t>Dekapolis Die Dekapolis war eine Region von etwa zehn Städten im heutigen Jordanien, als östlich des Jordan und des Sees Gennesaret. Weitere Informationen liefert der Artikel Dekapolis.</w:t>
      </w:r>
    </w:p>
  </w:footnote>
  <w:footnote w:id="1466">
    <w:p>
      <w:pPr>
        <w:pStyle w:val="Funote"/>
        <w:rPr/>
      </w:pPr>
      <w:r>
        <w:rPr/>
        <w:footnoteRef/>
        <w:tab/>
        <w:t>was Jesus ihm getan hatte W. „was getan hatte ihm Jesus“. „Jesus“ ist bewusst nachgestellt, um den Kontrast zu betonen, der zwischen V. 20 und dem parallelen V. 19 besteht („was der Herr dir getan hat“). Der Geheilte verkündigt Jesus als „den Herrn“.</w:t>
      </w:r>
    </w:p>
  </w:footnote>
  <w:footnote w:id="1467">
    <w:p>
      <w:pPr>
        <w:pStyle w:val="Funote"/>
        <w:rPr/>
      </w:pPr>
      <w:r>
        <w:rPr/>
        <w:footnoteRef/>
        <w:tab/>
        <w:t>staunten (wunderten sich) Eine zeitgemäßere, treffende Übersetzung wäre vielleicht „sie konnten es kaum glauben“.</w:t>
      </w:r>
    </w:p>
  </w:footnote>
  <w:footnote w:id="1468">
    <w:p>
      <w:pPr>
        <w:pStyle w:val="Funote"/>
        <w:rPr/>
      </w:pPr>
      <w:r>
        <w:rPr/>
        <w:footnoteRef/>
        <w:tab/>
        <w:t>nachdem … gefahren war Gen. abs., als temporaler Nebensatz aufgelöst.</w:t>
      </w:r>
    </w:p>
  </w:footnote>
  <w:footnote w:id="1469">
    <w:p>
      <w:pPr>
        <w:pStyle w:val="Funote"/>
        <w:rPr/>
      </w:pPr>
      <w:r>
        <w:rPr/>
        <w:footnoteRef/>
        <w:tab/>
        <w:t>gerade … (V. 22) als W. „und … und“ dient hier wieder als Temporalangabe, daher die Übersetzung. Die Zeitangabe könnte sowohl zu V. 21 (LUT, MEN, ELB, ZÜR) als auch zu V. 22 gehören (EÜ, GNB, NGÜ). Diese spezifische Angabe scheint jedoch eher die spezifische Situation von V. 22 einzuleiten.</w:t>
      </w:r>
    </w:p>
  </w:footnote>
  <w:footnote w:id="1470">
    <w:p>
      <w:pPr>
        <w:pStyle w:val="Funote"/>
        <w:rPr/>
      </w:pPr>
      <w:r>
        <w:rPr/>
        <w:footnoteRef/>
        <w:tab/>
        <w:t>Synagogenvorsteher Zur Zeit Jesu wurden Synagogen von Laien geleitet. Diese waren verantwortlich v.a. für die Leitung des Gottesdienstes, aber auch für die finanziellen, administrativen und politischen Aspekte des Synagogenlebens (TRE 32, S. 506).</w:t>
      </w:r>
    </w:p>
  </w:footnote>
  <w:footnote w:id="1471">
    <w:p>
      <w:pPr>
        <w:pStyle w:val="Funote"/>
        <w:rPr/>
      </w:pPr>
      <w:r>
        <w:rPr/>
        <w:footnoteRef/>
        <w:tab/>
        <w:t>namens Jairus Gr. der Dativ von Name (possessiver Dativ).</w:t>
      </w:r>
    </w:p>
  </w:footnote>
  <w:footnote w:id="1472">
    <w:p>
      <w:pPr>
        <w:pStyle w:val="Funote"/>
        <w:rPr/>
      </w:pPr>
      <w:r>
        <w:rPr/>
        <w:footnoteRef/>
        <w:tab/>
        <w:t>als er ihn sah Temporales Ptz. conj., wohl beschreibendes Partizip.</w:t>
      </w:r>
    </w:p>
  </w:footnote>
  <w:footnote w:id="1473">
    <w:p>
      <w:pPr>
        <w:pStyle w:val="Funote"/>
        <w:rPr/>
      </w:pPr>
      <w:r>
        <w:rPr/>
        <w:footnoteRef/>
        <w:tab/>
        <w:t xml:space="preserve">inständig (mehrfach) Das Adverb </w:t>
      </w:r>
      <w:r>
        <w:rPr>
          <w:lang w:val="el-GR"/>
        </w:rPr>
        <w:t>πολλὰ</w:t>
      </w:r>
      <w:r>
        <w:rPr/>
        <w:t xml:space="preserve"> kann man sowohl intensivierend als auch wiederholend verstehen. Hier scheint die intensivierende Funktion besser zu passen (vgl. V. 38 und 43, aber auch V. 10).</w:t>
      </w:r>
    </w:p>
  </w:footnote>
  <w:footnote w:id="1474">
    <w:p>
      <w:pPr>
        <w:pStyle w:val="Funote"/>
        <w:rPr/>
      </w:pPr>
      <w:r>
        <w:rPr/>
        <w:footnoteRef/>
        <w:tab/>
        <w:t xml:space="preserve">ist dem Tode nahe Das Gr. </w:t>
      </w:r>
      <w:r>
        <w:rPr>
          <w:lang w:val="el-GR"/>
        </w:rPr>
        <w:t>ἐσχάτως ἔχει</w:t>
      </w:r>
      <w:r>
        <w:rPr/>
        <w:t xml:space="preserve"> kann man nicht ohne weiteres übersetzen, es bedeutet »sie schwebt in Lebensgefahr« (sinngemäß nach Collins 2007, 279), »sie ist todkrank« (sinngemäß nach LN 23.151; auch ZÜR, MEN, GNB), »liegt in den letzten Zügen« (LUT, ELB), »liegt im Sterben« (NGÜ, EÜ). ist dem Tode nahe nach Guelich 1989, 290.</w:t>
      </w:r>
    </w:p>
  </w:footnote>
  <w:footnote w:id="1475">
    <w:p>
      <w:pPr>
        <w:pStyle w:val="Funote"/>
        <w:rPr/>
      </w:pPr>
      <w:r>
        <w:rPr/>
        <w:footnoteRef/>
        <w:tab/>
        <w:t>komm doch und Temporales Ptz. conj., als Beiordnung übersetzt. Wohl beschreibendes Partizip.</w:t>
      </w:r>
    </w:p>
  </w:footnote>
  <w:footnote w:id="1476">
    <w:p>
      <w:pPr>
        <w:pStyle w:val="Funote"/>
        <w:rPr/>
      </w:pPr>
      <w:r>
        <w:rPr/>
        <w:footnoteRef/>
        <w:tab/>
        <w:t xml:space="preserve">Komm doch und lege ihr deine Hände auf Im Griechischen handelt es sich um einen selbständigen Nebensatz, der mit der finalen Konjunktion </w:t>
      </w:r>
      <w:r>
        <w:rPr>
          <w:lang w:val="el-GR"/>
        </w:rPr>
        <w:t>ἵνα</w:t>
      </w:r>
      <w:r>
        <w:rPr/>
        <w:t xml:space="preserve"> eingeleitet ist. Das ist eine andere Möglichkeit, einen Imperativ auszudrücken oder vielleicht zu umschreiben (Siebenthal 2011, §268c; BDR §387.3a; NSS). Obwohl die Grammatiken das nicht erwähnen, ist es möglich, dass es sich um eine elliptische Formulierung handelt und wir uns den Hauptsatz dazuzudenken haben (so France 2002, 236 mit Verweis auf Mk 10,51). Dann könnte man übersetzen: »[Ich bitte dich/möchte], dass du kommst und...«</w:t>
      </w:r>
    </w:p>
  </w:footnote>
  <w:footnote w:id="1477">
    <w:p>
      <w:pPr>
        <w:pStyle w:val="Funote"/>
        <w:rPr/>
      </w:pPr>
      <w:r>
        <w:rPr/>
        <w:footnoteRef/>
        <w:tab/>
        <w:t>drängten sich um ihn Das griechische Wort konnotiert großen Druck und kann in anderen Zusammenhängen auch „zusammendrücken“ heißen (LSJ). Den Druck der Menge beschreibt Markus also sehr plastisch. Etwas freier: „es herrschte ein großes Gedränge“</w:t>
      </w:r>
    </w:p>
  </w:footnote>
  <w:footnote w:id="1478">
    <w:p>
      <w:pPr>
        <w:pStyle w:val="Funote"/>
        <w:rPr/>
      </w:pPr>
      <w:r>
        <w:rPr/>
        <w:footnoteRef/>
        <w:tab/>
        <w:t xml:space="preserve">die [seit] zwölf Jahren an Blutungen litt Attr. Ptz., als Relativsatz aufgelöst. Blutungen (Blutfluss) W. „Ausfluss [des] Blutes“. an Blutungen litt W. „war zwölf Jahre mit Blutfluss“. Adela Yarbro Collins zeigt anhand verschiedener zeitgenössischer griechischer Texte, dass es sich dabei um einen (wohl mit der Weiblichkeit zusammenhängenden) Blutausfluss („flow of blood“, Gr. </w:t>
      </w:r>
      <w:r>
        <w:rPr>
          <w:lang w:val="el-GR"/>
        </w:rPr>
        <w:t>ῥύσις αἵματος</w:t>
      </w:r>
      <w:r>
        <w:rPr/>
        <w:t xml:space="preserve">) handelt, nicht um eine gewöhnliche Blutung („hemorrhage“, Hämorrhagie, Gr. </w:t>
      </w:r>
      <w:r>
        <w:rPr>
          <w:lang w:val="el-GR"/>
        </w:rPr>
        <w:t>αἱμορραγία</w:t>
      </w:r>
      <w:r>
        <w:rPr/>
        <w:t>)(Collins 2007, 280). Vermutlich gehörte diese Blutung in den Reinheitsgeboten zu den unreinen Menstruationsblutungen (Lev 15,19–33). Lev 15,25 LXX benutzt in diesem Zusammenhang den gleichen Begriff für die beschriebene Blutung. Die Frau war nicht nur dauerhaft unrein, sondern verunreinigte auch alles, was sie berührte (Guelich 1989, 296f.; France 2002, 236f.).</w:t>
      </w:r>
    </w:p>
  </w:footnote>
  <w:footnote w:id="1479">
    <w:p>
      <w:pPr>
        <w:pStyle w:val="Funote"/>
        <w:rPr/>
      </w:pPr>
      <w:r>
        <w:rPr/>
        <w:footnoteRef/>
        <w:tab/>
        <w:t>durchgemacht … die ... ausgegeben hatte, ohne etwas zu erreichen … gegangen Attr. Ptz. Aor. (4x), vorzeitig übersetzt und (teils unter Wiederholung des Relativpronomens) an den im vorigen Satz begonnen Relativsatz gehängt. Das Hauptverb erfolgt erst in V. 27. Theoretisch könnte man die Partizipien auch als kausale Ptz. conj. verstehen. ohne etwas zu erreichen Aus stilistischen Gründen als Infinitivsatz wiedergegeben. Der Teilsatz hat adversative Konnotation, man könnte ihn im Indikativ folgendermaßen wiedergeben: „aber es hatte nichts genützt“ (GNB, NGÜ, EÜ, ZÜR), „es hatte ihr nichts geholfen“ (LUT). war es ihr immer schlechter gegangen W. etwa „war sie zum Schlechteren gekommen“</w:t>
      </w:r>
    </w:p>
  </w:footnote>
  <w:footnote w:id="1480">
    <w:p>
      <w:pPr>
        <w:pStyle w:val="Funote"/>
        <w:rPr/>
      </w:pPr>
      <w:r>
        <w:rPr/>
        <w:footnoteRef/>
        <w:tab/>
        <w:t>als sie (die) ... hörte, näherte sie sich … und Zwei Ptz. conj. (Präsens und Aorist), temporal aufgelöst. Das erste könnte man auch attributiv verstehen und in den vorangehenden Relativsatz einreihen.</w:t>
      </w:r>
    </w:p>
  </w:footnote>
  <w:footnote w:id="1481">
    <w:p>
      <w:pPr>
        <w:pStyle w:val="Funote"/>
        <w:rPr/>
      </w:pPr>
      <w:r>
        <w:rPr/>
        <w:footnoteRef/>
        <w:tab/>
        <w:t>sagte sich Das Imperfekt zeigt hier die Begründung an, die die Frau sich zurechtgelegt hatte und bis zu ihrer Heilung hegte (für ähnliche Aussagen vgl. 3,21; 6,18; 14,2). Sie ist als (normaler) prospektiver Konditionalsatz formuliert: Die Frau rechnet sich aus, dass die Folge (die Heilung) – vermutlich – eintreten wird, wenn die Bedingung (die Berührung) erfüllt ist (Siebenthal 2011, §282).</w:t>
      </w:r>
    </w:p>
  </w:footnote>
  <w:footnote w:id="1482">
    <w:p>
      <w:pPr>
        <w:pStyle w:val="Funote"/>
        <w:rPr/>
      </w:pPr>
      <w:r>
        <w:rPr/>
        <w:footnoteRef/>
        <w:tab/>
        <w:t>die Quelle ihre Blutes versiegte Idiomatische (blumige?) Ausdrucksweise, die einfach bedeutet: „ihr Blutverluss/ihre Blutung hörte auf“ (LN 23.182; NSS). Die Formulierung entspricht wörtlich der in Lev 12,7 LXX, wo es um die Reinigung einer Frau nach der Geburt geht. Dort erklärt der Priester die Frau für geheilt, nachdem sie ein Lamm als Sühneopfer dargebracht hat. Mit diesem Echo (schon das zweite in dieser Szene nach der gr. Formulierung für „Blutung“ in V. 25) bringt Markus nicht nur die Dimension der rituellen Unreinheit vor dem Gesetz ins Spiel, sondern verbindet Jesus auch indirekt mit dem Priester, der ihre Reinheit vor Gott wieder herstellt (vgl. Guelich 1989, 297). Allerdings geht es in der Geschichte nicht um Reinheit und Unreinheit, sondern in erster Linie um die Heilung von einem chronischen Leiden. Die Frage der Reinheit wird von allen Beteiligten mit völliger Missachtung gestraft – selbst von den zahlreichen Menschen, von denen man erwarten dürfte, dass die Frau sie in der Menge berührt und damit unrein gemacht hat, ist nichts dazu zu hören (Collins 2007, 283f.).</w:t>
      </w:r>
    </w:p>
  </w:footnote>
  <w:footnote w:id="1483">
    <w:p>
      <w:pPr>
        <w:pStyle w:val="Funote"/>
        <w:rPr/>
      </w:pPr>
      <w:r>
        <w:rPr/>
        <w:footnoteRef/>
        <w:tab/>
        <w:t>[an (in) ihrem] Körper Wohl instrumentaler oder lokaler Dativ; hier soll es aber wohl nur markieren, dass es sich bei ihrem „merken“ um eine körperliche Empfindung handelt (Grosvenor/Zerwick), daher besser „spürte sie an ihrem Körper“.</w:t>
      </w:r>
    </w:p>
  </w:footnote>
  <w:footnote w:id="1484">
    <w:p>
      <w:pPr>
        <w:pStyle w:val="Funote"/>
        <w:rPr/>
      </w:pPr>
      <w:r>
        <w:rPr/>
        <w:footnoteRef/>
        <w:tab/>
        <w:t>Leiden (Qual) W. „Geißel“, übertragen „Plage“. Per Bedeutungserweiterung auch „Leiden“ oder „Gebrechen“ (vgl. LN 23.182).</w:t>
      </w:r>
    </w:p>
  </w:footnote>
  <w:footnote w:id="1485">
    <w:p>
      <w:pPr>
        <w:pStyle w:val="Funote"/>
        <w:rPr/>
      </w:pPr>
      <w:r>
        <w:rPr/>
        <w:footnoteRef/>
        <w:tab/>
        <w:t>der (als/weil er) merkte Ptz. conj. (temporal oder kausal), hier als Relativsatz aufgelöst.</w:t>
      </w:r>
    </w:p>
  </w:footnote>
  <w:footnote w:id="1486">
    <w:p>
      <w:pPr>
        <w:pStyle w:val="Funote"/>
        <w:rPr/>
      </w:pPr>
      <w:r>
        <w:rPr/>
        <w:footnoteRef/>
        <w:tab/>
        <w:t>merkte, dass Kraft von ihm ausgegangen war AcP Oder anders aufgelöst: „[die] Kraft bemerkte, die...“ Das Ptz. Aor. Könnte man evtl. auch gleichzeitig verstehen „sofort bemerkte, dass Kraft von ihm ausging“ (vgl. EÜ).</w:t>
      </w:r>
    </w:p>
  </w:footnote>
  <w:footnote w:id="1487">
    <w:p>
      <w:pPr>
        <w:pStyle w:val="Funote"/>
        <w:rPr/>
      </w:pPr>
      <w:r>
        <w:rPr/>
        <w:footnoteRef/>
        <w:tab/>
        <w:t>fragte (sagte, wiederholte) Das Verb steht im Imperfekt. Markus benutzt diese spezielle Form recht häufig (bes. in Kap. 4), sodass der durative Aspekt möglicherweise nur schwach vorhanden ist. Hier könnte die Form ausdrücken, dass Jesu Nachfrage ergebnislos blieb (Siebenthal 2011, §195g; §198l). Das Imperfekt könnte an dieser Stelle jedoch ebenso ausdrücken, dass Jesus mehrmals (iterativ) nachfragte.</w:t>
      </w:r>
    </w:p>
  </w:footnote>
  <w:footnote w:id="1488">
    <w:p>
      <w:pPr>
        <w:pStyle w:val="Funote"/>
        <w:rPr/>
      </w:pPr>
      <w:r>
        <w:rPr/>
        <w:footnoteRef/>
        <w:tab/>
        <w:t>die sich um dich drängt Atr. Ptz., als Relativsatz aufgelöst. Zum Wort s. die Fußnote in V. 24.</w:t>
      </w:r>
    </w:p>
  </w:footnote>
  <w:footnote w:id="1489">
    <w:p>
      <w:pPr>
        <w:pStyle w:val="Funote"/>
        <w:rPr/>
      </w:pPr>
      <w:r>
        <w:rPr/>
        <w:footnoteRef/>
        <w:tab/>
        <w:t>die [Person], die es gewesen war (getan hatte) Attr. Ptz. Aor. im Femininum. Dass das Partizip schon im richtigen Geschlecht steht, weist eher auf die Perspektive des allwissenden Erzählers hin als darauf, dass Jesus gezielt nach einer Frau Ausschau hält (Collins 2007, 283 Fn 158). Die meisten Übersetzungen (bis auf NGÜ) formulieren hier jedoch explizit weiblich. [Person] ist ein eleganter Mittelweg, weil das Wort (im Singular) im Sprachgebrauch häufiger „Frau“ als „Mann“ umschreibt.</w:t>
      </w:r>
    </w:p>
  </w:footnote>
  <w:footnote w:id="1490">
    <w:p>
      <w:pPr>
        <w:pStyle w:val="Funote"/>
        <w:rPr/>
      </w:pPr>
      <w:r>
        <w:rPr/>
        <w:footnoteRef/>
        <w:tab/>
        <w:t>fürchtete sich und zitterte, weil sie wusste Ptz. conj. (3x). Die ersten beiden sind modal und hier als selbständiger Hauptsatz aufgelöst (das modifizierte Verb bildet den zweiten Satz des Verses), das dritte ist kausal und als entsprechender Nebensatz aufgelöst. Schön ZÜR: „kam, verängstigt und zitternd, weil sie wusste“</w:t>
      </w:r>
    </w:p>
  </w:footnote>
  <w:footnote w:id="1491">
    <w:p>
      <w:pPr>
        <w:pStyle w:val="Funote"/>
        <w:rPr/>
      </w:pPr>
      <w:r>
        <w:rPr/>
        <w:footnoteRef/>
        <w:tab/>
        <w:t>Während er noch redete Temporaler Gen. abs., als Nebensatz aufgelöst.</w:t>
      </w:r>
    </w:p>
  </w:footnote>
  <w:footnote w:id="1492">
    <w:p>
      <w:pPr>
        <w:pStyle w:val="Funote"/>
        <w:rPr/>
      </w:pPr>
      <w:r>
        <w:rPr/>
        <w:footnoteRef/>
        <w:tab/>
        <w:t>und richteten aus Ptz. conj., temporal-modal, beigeordnet übersetzt.</w:t>
      </w:r>
    </w:p>
  </w:footnote>
  <w:footnote w:id="1493">
    <w:p>
      <w:pPr>
        <w:pStyle w:val="Funote"/>
        <w:rPr/>
      </w:pPr>
      <w:r>
        <w:rPr/>
        <w:footnoteRef/>
        <w:tab/>
        <w:t xml:space="preserve">der mitbekommen hatte Ptz. conj. (Aor.), modal, kausal oder temporal, hier als Relativsatz aufgelöst. wie die Botschaft ausgerichtet wurde AcP, mit „wie“ aufgelöst. Übersetzt man das Wort </w:t>
      </w:r>
      <w:r>
        <w:rPr>
          <w:lang w:val="el-GR"/>
        </w:rPr>
        <w:t>παρακούω</w:t>
      </w:r>
      <w:r>
        <w:rPr/>
        <w:t xml:space="preserve"> nicht als mitbekommen, sondern als „überhören, missachten“ (so MEN, ELB mit Guelich 1989, 291. Das Ptz. Aor. wäre dann gleichzeitig zu übersetzen), dann kann man übersetzen: „Unter Missachtung dieser Meldung sagte Jesus“ (Präpositionalphrase) oder parataktisch: „Jesus aber überhörte das Wort, das geredet wurde“ (ELB). Sehr schön MEN: „Jesus aber ließ die Nachricht, die da gemeldet wurde, unbeachtet“ oder die Alternativübersetzung der NGÜ: „Jesus schenkte diesen Worten keine Beachtung“</w:t>
      </w:r>
    </w:p>
  </w:footnote>
  <w:footnote w:id="1494">
    <w:p>
      <w:pPr>
        <w:pStyle w:val="Funote"/>
        <w:rPr/>
      </w:pPr>
      <w:r>
        <w:rPr/>
        <w:footnoteRef/>
        <w:tab/>
        <w:t>„</w:t>
      </w:r>
      <w:r>
        <w:rPr/>
        <w:t>Fürchte dich nicht, vertraue (glaube) einfach (nur)!“ Beide Imperative stehen im Präsens, der durativischen Befehlsform, die das Fortsetzen (bzw. negativ Aufhören mit) einer schon begonnenen Handlung konnotiert. Die implizierte Botschaft ist also „Fürchte dich nicht (länger)! Vertraue/glaube einfach (weiter)!“ (Siebenthal 2011, §212e; Collins 2007, 285).</w:t>
      </w:r>
    </w:p>
  </w:footnote>
  <w:footnote w:id="1495">
    <w:p>
      <w:pPr>
        <w:pStyle w:val="Funote"/>
        <w:rPr/>
      </w:pPr>
      <w:r>
        <w:rPr/>
        <w:footnoteRef/>
        <w:tab/>
        <w:t>ein lärmendes Durcheinander Die treffendste Übersetzung der Hauptbedeutung ist vielleicht „Aufruhr“ oder „Tumult“: Es herrscht Lärm, Durcheinander (LUT, MEN, ELB: „Getümmel“), und häufig bezieht es sich im NT auf kurzfristige Tumulte gegen die römische Herrschaft (Mk 14,2 par Mt 26,5; Mt 27,24; Apg 20,1; 21,34). Hier ist eher ein großes, lärmendes Durcheinander gemeint. EÜ: „Lärm“, NGÜ: „helle Aufregung“</w:t>
      </w:r>
    </w:p>
  </w:footnote>
  <w:footnote w:id="1496">
    <w:p>
      <w:pPr>
        <w:pStyle w:val="Funote"/>
        <w:rPr/>
      </w:pPr>
      <w:r>
        <w:rPr/>
        <w:footnoteRef/>
        <w:tab/>
        <w:t>sah er … [Menschen], die heftig heulten und wehklagten AcP (zwei Ptz.), unter Ergänzung eines Objekts mit Relativsatz wiedergegeben.</w:t>
      </w:r>
    </w:p>
  </w:footnote>
  <w:footnote w:id="1497">
    <w:p>
      <w:pPr>
        <w:pStyle w:val="Funote"/>
        <w:rPr/>
      </w:pPr>
      <w:r>
        <w:rPr/>
        <w:footnoteRef/>
        <w:tab/>
        <w:t>nach dem (beim) Eintreten Temporal-modales Ptz. conj., als Präpositionalphrase aufgelöst.</w:t>
      </w:r>
    </w:p>
  </w:footnote>
  <w:footnote w:id="1498">
    <w:p>
      <w:pPr>
        <w:pStyle w:val="Funote"/>
        <w:rPr/>
      </w:pPr>
      <w:r>
        <w:rPr/>
        <w:footnoteRef/>
        <w:tab/>
        <w:t>Er nahm die Hand Gen. abs., temporal-modal, beigeordnet aufgelöst.</w:t>
      </w:r>
    </w:p>
  </w:footnote>
  <w:footnote w:id="1499">
    <w:p>
      <w:pPr>
        <w:pStyle w:val="Funote"/>
        <w:rPr/>
      </w:pPr>
      <w:r>
        <w:rPr/>
        <w:footnoteRef/>
        <w:tab/>
        <w:t>„</w:t>
      </w:r>
      <w:r>
        <w:rPr/>
        <w:t>Talita kum!“ Aramäisch für „Mädchen, steh auf!“ Kum (</w:t>
      </w:r>
      <w:r>
        <w:rPr>
          <w:rtl w:val="true"/>
          <w:lang w:bidi="he-IL"/>
        </w:rPr>
        <w:t>קום</w:t>
      </w:r>
      <w:r>
        <w:rPr/>
        <w:t>) ist der maskuline Imperativ.</w:t>
      </w:r>
    </w:p>
  </w:footnote>
  <w:footnote w:id="1500">
    <w:p>
      <w:pPr>
        <w:pStyle w:val="Funote"/>
        <w:rPr/>
      </w:pPr>
      <w:r>
        <w:rPr/>
        <w:footnoteRef/>
        <w:tab/>
        <w:t>begann umherzugehen Als inchoatives Imperfekt übersetzt (vgl. Guelich 1989, 303).</w:t>
      </w:r>
    </w:p>
  </w:footnote>
  <w:footnote w:id="1501">
    <w:p>
      <w:pPr>
        <w:pStyle w:val="Funote"/>
        <w:rPr/>
      </w:pPr>
      <w:r>
        <w:rPr/>
        <w:footnoteRef/>
        <w:tab/>
        <w:t>waren [alle vor] lauter Fassungslosigkeit [ganz] fassungslos Es handelt sich wohl um eine Formulierung, die bewusst hebraisierend an das Griechisch der Sepuaginta angelehnt ist. Das mit dem Verbalsubstantiv derselben Wurzel im Dativ verbundene Verb ist eine Nachahmung der hebr. Konstruktion mit Verb+Inf. abs. („Septuagintismus“, Guelich 1989, 291; BDR §198.6). Dasselbe Verb beschreibt in Mk 2,12 und 6,51 die fassungslose Reaktion der Zeugen auf ein Wunder. Die von anderen gewählte Übersetzung „(Er)Staunen“ (ELB, MEN) ist vielleicht etwas blass, das seit Luther verbreitete „Entsetzen“ (LUT, EÜ, GNB, ZÜR) zwar vorstellbar, aber etwas unpassend. Der Dativus modi führt zur Einfügung von [vor], das fehlende Subjekt zur sinngemäßen Ergänzung von [alle]. Wörtlich könnte man vielleicht übersetzen: „[vor] großem Außersichsein [ganz] außer sich sein“, etwas freier übersetzt dann so wie hier. LUT: „Und sie entsetzten sich sogleich über die Maßen.“, EÜ: „Die Leute gerieten außer sich vor Entsetzen.“. Schön NGÜ: „zum grenzenlosen Erstaunen aller“, NeÜ: „Mit fassungslosem Erstaunen sahen alle, wie“</w:t>
      </w:r>
    </w:p>
  </w:footnote>
  <w:footnote w:id="1502">
    <w:p>
      <w:pPr>
        <w:pStyle w:val="Funote"/>
        <w:rPr/>
      </w:pPr>
      <w:r>
        <w:rPr/>
        <w:footnoteRef/>
        <w:tab/>
        <w:t xml:space="preserve">unmissverständlich (mehrmals, ausdrücklich) Das Adverb </w:t>
      </w:r>
      <w:r>
        <w:rPr>
          <w:lang w:val="el-GR"/>
        </w:rPr>
        <w:t>πολλὰ</w:t>
      </w:r>
      <w:r>
        <w:rPr/>
        <w:t xml:space="preserve"> kann man sowohl intensivierend als auch wiederholend verstehen, die meisten Übersetzungen intensivieren. Vgl. V. 23 und 38, aber auch V. 10.</w:t>
      </w:r>
    </w:p>
  </w:footnote>
  <w:footnote w:id="1503">
    <w:p>
      <w:pPr>
        <w:pStyle w:val="Funote"/>
        <w:rPr/>
      </w:pPr>
      <w:r>
        <w:rPr/>
        <w:footnoteRef/>
        <w:tab/>
        <w:t>[man solle] Der griechische Infinitivsatz ist (dem Deutschen ganz ähnlich) final. In der gegenwärtigen Formulierung ist im Deutschen eine finale Satzeinleitung notwendig.</w:t>
      </w:r>
    </w:p>
  </w:footnote>
  <w:footnote w:id="1504">
    <w:p>
      <w:pPr>
        <w:pStyle w:val="Funote"/>
        <w:rPr/>
      </w:pPr>
      <w:r>
        <w:rPr/>
        <w:footnoteRef/>
        <w:tab/>
        <w:t>[Status: Zuverlässig]</w:t>
      </w:r>
    </w:p>
  </w:footnote>
  <w:footnote w:id="1505">
    <w:p>
      <w:pPr>
        <w:pStyle w:val="Funote"/>
        <w:rPr/>
      </w:pPr>
      <w:r>
        <w:rPr/>
        <w:footnoteRef/>
        <w:tab/>
        <w:t>Heimat Gemeint ist Nazaret (Mk 1,9.24). Die meisten Übersetzungen spezifizieren „Heimatstadt“ oder „Vaterstadt“.</w:t>
      </w:r>
    </w:p>
  </w:footnote>
  <w:footnote w:id="1506">
    <w:p>
      <w:pPr>
        <w:pStyle w:val="Funote"/>
        <w:rPr/>
      </w:pPr>
      <w:r>
        <w:rPr/>
        <w:footnoteRef/>
        <w:tab/>
        <w:t>als … gekommen war Gen. abs., als temporaler Nebensatz aufgelöst.</w:t>
      </w:r>
    </w:p>
  </w:footnote>
  <w:footnote w:id="1507">
    <w:p>
      <w:pPr>
        <w:pStyle w:val="Funote"/>
        <w:rPr/>
      </w:pPr>
      <w:r>
        <w:rPr/>
        <w:footnoteRef/>
        <w:tab/>
        <w:t>begann er, in der Synagoge zu lehren (lehrte er) Markus benutzt „beginnen“ gerne schwach und ohne echte Funktion. Viele Übersetzungen formulieren daher wie in der Klammer. Vgl. die Fußnote zu 5,17.</w:t>
      </w:r>
    </w:p>
  </w:footnote>
  <w:footnote w:id="1508">
    <w:p>
      <w:pPr>
        <w:pStyle w:val="Funote"/>
        <w:rPr/>
      </w:pPr>
      <w:r>
        <w:rPr/>
        <w:footnoteRef/>
        <w:tab/>
        <w:t>und sagten Modales Ptz. conj., beigeordnet aufgelöst.</w:t>
      </w:r>
    </w:p>
  </w:footnote>
  <w:footnote w:id="1509">
    <w:p>
      <w:pPr>
        <w:pStyle w:val="Funote"/>
        <w:rPr/>
      </w:pPr>
      <w:r>
        <w:rPr/>
        <w:footnoteRef/>
        <w:tab/>
        <w:t>und (und [wie kommt es, dass]) solche Wunder, die durch seine Hände geschehen Den Satz kann man entweder als überraschten Ausruf verstehen (wie die meisten Übersetzungen), oder als elliptische Frage (so NGÜ). Dabei wäre wie in der Klammer [wie kommt es, dass] sinngemäß zu ergänzen (NSS).</w:t>
      </w:r>
    </w:p>
  </w:footnote>
  <w:footnote w:id="1510">
    <w:p>
      <w:pPr>
        <w:pStyle w:val="Funote"/>
        <w:rPr/>
      </w:pPr>
      <w:r>
        <w:rPr/>
        <w:footnoteRef/>
        <w:tab/>
        <w:t>auflegte und Modales Ptz. conj., hier mit „und“ beigeordnet. Auch möglich: „indem er ihnen die Hände auflegte“ oder „durch Handauflegen“ (MEN)</w:t>
      </w:r>
    </w:p>
  </w:footnote>
  <w:footnote w:id="1511">
    <w:p>
      <w:pPr>
        <w:pStyle w:val="Funote"/>
        <w:rPr/>
      </w:pPr>
      <w:r>
        <w:rPr/>
        <w:footnoteRef/>
        <w:tab/>
        <w:t>und lehrte Modales Ptz. conj., beigeordnet aufgelöst.</w:t>
      </w:r>
    </w:p>
  </w:footnote>
  <w:footnote w:id="1512">
    <w:p>
      <w:pPr>
        <w:pStyle w:val="Funote"/>
        <w:rPr/>
      </w:pPr>
      <w:r>
        <w:rPr/>
        <w:footnoteRef/>
        <w:tab/>
        <w:t>paarweise W. „zwei zwei“. Die Formulierung war sowohl in der Volkssprache als auch in semitischen Sprachen gebräuchlich (NSS).</w:t>
      </w:r>
    </w:p>
  </w:footnote>
  <w:footnote w:id="1513">
    <w:p>
      <w:pPr>
        <w:pStyle w:val="Funote"/>
        <w:rPr/>
      </w:pPr>
      <w:r>
        <w:rPr/>
        <w:footnoteRef/>
        <w:tab/>
        <w:t>sandte aus W. „begann auszusenden“. Dazu s. die Fußnote zu 5,17. Ein ähnlicher Fall liegt auch in V. 2 vor.</w:t>
      </w:r>
    </w:p>
  </w:footnote>
  <w:footnote w:id="1514">
    <w:p>
      <w:pPr>
        <w:pStyle w:val="Funote"/>
        <w:rPr/>
      </w:pPr>
      <w:r>
        <w:rPr/>
        <w:footnoteRef/>
        <w:tab/>
        <w:t>Geld W. „Kupfer(münze)“ (oder „Bronze(münze)“). Das Wort wird hier metonymisch für Kupfermünzen, also Kleingeld benutzt. Die Parallelstelle Mt 10,19 führt aus: „weder Gold noch Silber noch Kupfer...“ im Gürtel Im Orient bewahrte man Geld lange in den Falten des Gürtels auf, einem breiten Tuch, das entsprechend um die Hüfte gebunden war.</w:t>
      </w:r>
    </w:p>
  </w:footnote>
  <w:footnote w:id="1515">
    <w:p>
      <w:pPr>
        <w:pStyle w:val="Funote"/>
        <w:rPr/>
      </w:pPr>
      <w:r>
        <w:rPr/>
        <w:footnoteRef/>
        <w:tab/>
        <w:t xml:space="preserve">dabei jedoch Sandalen zu tragen Mod. oder konz. Ptz. conj. Pf. zu tragen ist das resultative Äquivalent des griechischen Perfekts, das man auch „Sandalen untergebunden/angezogen zu haben“ übersetzen könnte (vgl. NSS). Markus formuliert hier sinngemäß, indem er den mit </w:t>
      </w:r>
      <w:r>
        <w:rPr>
          <w:lang w:val="el-GR"/>
        </w:rPr>
        <w:t>ἵνα</w:t>
      </w:r>
      <w:r>
        <w:rPr/>
        <w:t>+Konjunktiv begonnenen Satz (V. 8) mit einer Akkusativform fortsetzt, als ob es sich um einen AcI handelte (NSS nach BDR §470.3). Collins versteht das Partizip als imperativisch (BDR 468.2), übersieht jedoch, dass es sich hier um einen Akkusativ, nicht wie andernfalls erforderlich um einen Nominativ handelt (Collins 2007, 299 Fn 25).</w:t>
      </w:r>
    </w:p>
  </w:footnote>
  <w:footnote w:id="1516">
    <w:p>
      <w:pPr>
        <w:pStyle w:val="Funote"/>
        <w:rPr/>
      </w:pPr>
      <w:r>
        <w:rPr/>
        <w:footnoteRef/>
        <w:tab/>
        <w:t>„</w:t>
      </w:r>
      <w:r>
        <w:rPr/>
        <w:t>und zieht keine zwei Unterhemden an!“ Markus wechselt hier übergangslos von der dritten in die zweite Person Plural. Der verneinte Konjunktiv Aorist könnte dabei entweder imperativisch sein (direkte Rede, so NSS) oder sich an die fortlaufende, indirekt wiedergegebene Anweisung anschließen. Es handelt sich bei dem ganzen Vers um eine Stelle, an der besonders deutlich wird, wie umgangssprachlich Markus sich ausdrückt. Die Übersetzung Unterhemden (LUT u.a.: „Hemden“, ELB „Unterkleider“, ZÜR „Kleid“, MEN „Rock“) scheint die Funktion des Kleidungsstücks am besten wiederzugeben. Es handelt es sich um eine Tunika oder ein Hemd, das man unter dem langen Obergewand trug (vgl. LN 6.176). Wie die Übersetzung ausdrückt, geht es nicht um einen zweiten Satz Unterwäsche, sondern entweder um den Luxus, sich mit einem zweiten Unterhemd besser vor Kälte zu schützen (France 2002, 249), oder um die Gewohnheit der Bessergestellten, sich durch zwei Untergewänder, eine innere und eine äußere Tunika, von der Masse abzuheben (Collins 2007, 299).</w:t>
      </w:r>
    </w:p>
  </w:footnote>
  <w:footnote w:id="1517">
    <w:p>
      <w:pPr>
        <w:pStyle w:val="Funote"/>
        <w:rPr/>
      </w:pPr>
      <w:r>
        <w:rPr/>
        <w:footnoteRef/>
        <w:tab/>
        <w:t>nimmt man euch nicht auf und hört euch auch nicht zu Im Griechischen (</w:t>
      </w:r>
      <w:r>
        <w:rPr>
          <w:lang w:val="el-GR"/>
        </w:rPr>
        <w:t>καὶ ὃς ἂν τόπος</w:t>
      </w:r>
      <w:r>
        <w:rPr/>
        <w:t>, »und ein Ort, der auch immer...«) handelt es sich um einen Relativsatz mit konditionalem Nebensinn, in dem das Bezugswort (Ort) Teil des Relativsatzes ist (NSS). Solche Relativsätze gibt man am besten mit deutschen Relativsätzen wieder (Siebenthal 2011, §290e; so im vorigen Vers), hier war die Übersetzung durch einen (schwachen) deutschen Konditionalsatz jedoch passender. an einem Ort W. »nimmt euch ein Ort nicht auf und hören sie...«. Das erste Prädikat steht im Sg., das zweite im unpersönlichen Plural. Aus stilistischen Gründen bietet es sich an, beide (mit »man« oder »die Leute«) auf die Bewohner zu beziehen.</w:t>
      </w:r>
    </w:p>
  </w:footnote>
  <w:footnote w:id="1518">
    <w:p>
      <w:pPr>
        <w:pStyle w:val="Funote"/>
        <w:rPr/>
      </w:pPr>
      <w:r>
        <w:rPr/>
        <w:footnoteRef/>
        <w:tab/>
        <w:t>beim Aufbruch bzw. geht von dort weg und Modales Ptz. conj., als Präpositionalphrase (bzw. beigeordnete Konstruktion) übersetzt.</w:t>
      </w:r>
    </w:p>
  </w:footnote>
  <w:footnote w:id="1519">
    <w:p>
      <w:pPr>
        <w:pStyle w:val="Funote"/>
        <w:rPr/>
      </w:pPr>
      <w:r>
        <w:rPr/>
        <w:footnoteRef/>
        <w:tab/>
        <w:t>von euren Schuhsohlen W. »den Staub unter (d.h. an der Unterseite, LN 83.52) euren Füßen«. Die beschriebene Geste ist offensichtlich ein Zeichen der Abgrenzung, aber was genau damit signalisiert oder erreicht werden sollte, ist nicht mehr bekannt. Der folgende »Beweis gegen sie« hat jedoch wahrscheinlich mit dem Endgericht zu tun (Guelich 1989, 322f.; Collins 2007, 300ff.).</w:t>
      </w:r>
    </w:p>
  </w:footnote>
  <w:footnote w:id="1520">
    <w:p>
      <w:pPr>
        <w:pStyle w:val="Funote"/>
        <w:rPr/>
      </w:pPr>
      <w:r>
        <w:rPr/>
        <w:footnoteRef/>
        <w:tab/>
        <w:t>als Zeugenaussage (Beweis, Zeichen, Zeugnis) [gegen (für)] sie Es handelt sich bei gegen um einen Dativus incommodi (oder commodi bei für). Aus den anderen Evangelien geht hervor, dass es sich wohl um eine Zeugenaussage oder einen Beweis im Endgericht handelt. Matthäus versteht die Geste des Staubabschüttelns so, dass sie sich auf das Ergehen der Betroffenen im Endgericht bezieht (10,15). Bei Lukas ist die Aussage ebenfalls adversativ gemeint, wie er mit einer Präposition deutlich macht (9,5). Beide Evangelisten halten das „Zeugnis“ also für eine Zeugenaussage oder einen Beweis gegen die Bewohner der entsprechenden Orte. In einem Schwur mit ganz ähnlicher Symbolik schüttelt Nehemia im AT den Staub von seinem Mantel, mit der Drohung, ebenso möge Gott mit jenen verfahren, die diesen Eid verletzen (Neh 5,13. Collins 2007, 300f.; Guelich 1989, 323). Dieselbe Formulierung haben wir in Mk 1,44 im Kontext übrigens anders gedeutet.</w:t>
      </w:r>
    </w:p>
  </w:footnote>
  <w:footnote w:id="1521">
    <w:p>
      <w:pPr>
        <w:pStyle w:val="Funote"/>
        <w:rPr/>
      </w:pPr>
      <w:r>
        <w:rPr/>
        <w:footnoteRef/>
        <w:tab/>
        <w:t>machten sich auf den Weg Modal-temporales Ptz. conj., beigeordnet aufgelöst.</w:t>
      </w:r>
    </w:p>
  </w:footnote>
  <w:footnote w:id="1522">
    <w:p>
      <w:pPr>
        <w:pStyle w:val="Funote"/>
        <w:rPr/>
      </w:pPr>
      <w:r>
        <w:rPr/>
        <w:footnoteRef/>
        <w:tab/>
        <w:t>hörte [von Jesus] Die nachgelieferte Begründung (ab denn) macht klar, dass Herodes von Jesus (möglicherweise im Zusammenhang mit den Taten seiner Jünger) hörte, nicht nur von deren Dienst. So drückt auch Matthäus klarer aus: „hörte von seinem Ansehen“ (Mt 14,1; France 2002, 252).</w:t>
      </w:r>
    </w:p>
  </w:footnote>
  <w:footnote w:id="1523">
    <w:p>
      <w:pPr>
        <w:pStyle w:val="Funote"/>
        <w:rPr/>
      </w:pPr>
      <w:r>
        <w:rPr/>
        <w:footnoteRef/>
        <w:tab/>
        <w:t>meinten Das Imperfekt leitet hier die (vielfach geäußerte) öffentliche Meinung ein. In V. 15 sind dagegen mit Aor. offenbar spezifische Einzelaussagen zu hören. ZÜR: „es hieß“+indirekte Rede.</w:t>
      </w:r>
    </w:p>
  </w:footnote>
  <w:footnote w:id="1524">
    <w:p>
      <w:pPr>
        <w:pStyle w:val="Funote"/>
        <w:rPr/>
      </w:pPr>
      <w:r>
        <w:rPr/>
        <w:footnoteRef/>
        <w:tab/>
        <w:t>Das erklärt, warum W. »und aus diesem Grund/deshalb«</w:t>
      </w:r>
    </w:p>
  </w:footnote>
  <w:footnote w:id="1525">
    <w:p>
      <w:pPr>
        <w:pStyle w:val="Funote"/>
        <w:rPr/>
      </w:pPr>
      <w:r>
        <w:rPr/>
        <w:footnoteRef/>
        <w:tab/>
        <w:t>Elija Die Rückkehr des im Alten Testament entrückten Propheten wurde aufgrund von Mal 3,23-24 zu Jesu Zeit vielfach erwartet (France 2002, 253).</w:t>
      </w:r>
    </w:p>
  </w:footnote>
  <w:footnote w:id="1526">
    <w:p>
      <w:pPr>
        <w:pStyle w:val="Funote"/>
        <w:rPr/>
      </w:pPr>
      <w:r>
        <w:rPr/>
        <w:footnoteRef/>
        <w:tab/>
        <w:t>Als … hörte Ptz. conj., als temporaler Nebensatz aufgelöst.</w:t>
      </w:r>
    </w:p>
  </w:footnote>
  <w:footnote w:id="1527">
    <w:p>
      <w:pPr>
        <w:pStyle w:val="Funote"/>
        <w:rPr/>
      </w:pPr>
      <w:r>
        <w:rPr/>
        <w:footnoteRef/>
        <w:tab/>
        <w:t>glaubte er W. „sagte“ (Imperfekt), das wie in V. 14 eine (geäußerte) Meinung beschreibt. Vgl. GNB: „Herodes aber war überzeugt … er sagte“ Da das Wirken von Johannes und Jesus zeitlich überlappten, ist es unwahrscheinlich, dass Herodes diese Aussage wörtlich meinte. Er wird wohl die deutlichen Parallelen zwischen den beiden Männern vor Augen gehabt haben und auf dieses Déjà-vu entweder spöttisch („Kaum ist der eine weg, kommt schon wieder ein anderer!“) oder abergläubisch reagieren (vgl. die Betonung den ich enthauptet habe, die anzeigen könnte, dass Herodes sich für Johannes' Tod verantwortlich fühlt; so France 2002, 254; vgl. Collins 2007, 304).</w:t>
      </w:r>
    </w:p>
  </w:footnote>
  <w:footnote w:id="1528">
    <w:p>
      <w:pPr>
        <w:pStyle w:val="Funote"/>
        <w:rPr/>
      </w:pPr>
      <w:r>
        <w:rPr/>
        <w:footnoteRef/>
        <w:tab/>
        <w:t xml:space="preserve">im Gefängnis festhalten lassen Viele Übersetzungen „und er hatte ihn (gefesselt) ins Gefängnis geworfen/werfen lassen“ (nach BA). Für die gewählte Übersetzung von </w:t>
      </w:r>
      <w:r>
        <w:rPr>
          <w:lang w:val="el-GR"/>
        </w:rPr>
        <w:t>δέω</w:t>
      </w:r>
      <w:r>
        <w:rPr/>
        <w:t xml:space="preserve"> „fesseln“ s. jedoch LN 37.144, wo zudem angemerkt ist, dass von der Einkerkerung häufig sehr idiomatisch gesprochen wird.</w:t>
      </w:r>
    </w:p>
  </w:footnote>
  <w:footnote w:id="1529">
    <w:p>
      <w:pPr>
        <w:pStyle w:val="Funote"/>
        <w:rPr/>
      </w:pPr>
      <w:r>
        <w:rPr/>
        <w:footnoteRef/>
        <w:tab/>
        <w:t xml:space="preserve">lassen Oder: „[Soldaten] ausgesandt und“ (vgl. MEN). Das modale Ptz. conj. modifiziert hier kausativ zwei finite Verben und heißt dasselbe wie das Deutsche „lassen“ (BA </w:t>
      </w:r>
      <w:r>
        <w:rPr>
          <w:lang w:val="el-GR"/>
        </w:rPr>
        <w:t>ἀποστέλλω</w:t>
      </w:r>
      <w:r>
        <w:rPr/>
        <w:t>, 2.; vgl. NSS).</w:t>
      </w:r>
    </w:p>
  </w:footnote>
  <w:footnote w:id="1530">
    <w:p>
      <w:pPr>
        <w:pStyle w:val="Funote"/>
        <w:rPr/>
      </w:pPr>
      <w:r>
        <w:rPr/>
        <w:footnoteRef/>
        <w:tab/>
        <w:t>[Das tat er] Die Einfügung verdeutlicht, dass der der folgende (mit wegen eingeleitete) Bericht den Anlass für die Festnahme liefert. So EÜ: „Schuld daran war Herodias, die Frau seines Bruders Philippus, die“, NGÜ: „Der Anlass dazu war Herodias gewesen“, GNB: „Der Grund dafür war: …“</w:t>
      </w:r>
    </w:p>
  </w:footnote>
  <w:footnote w:id="1531">
    <w:p>
      <w:pPr>
        <w:pStyle w:val="Funote"/>
        <w:rPr/>
      </w:pPr>
      <w:r>
        <w:rPr/>
        <w:footnoteRef/>
        <w:tab/>
        <w:t>hatte [wiederholt] gesagt Das Imperfekt könnte hier einfach im Sinne eines Plusquamperfekt benutzt werden (NSS). Allerdings hebt es sich von den Aoristformen ab, die bisher ebenfalls die Vorvergangenheit vermittelt haben. Daher ist wohl auch der iterative Aspekt im Blick (vgl. France 2002, 257).</w:t>
      </w:r>
    </w:p>
  </w:footnote>
  <w:footnote w:id="1532">
    <w:p>
      <w:pPr>
        <w:pStyle w:val="Funote"/>
        <w:rPr/>
      </w:pPr>
      <w:r>
        <w:rPr/>
        <w:footnoteRef/>
        <w:tab/>
        <w:t>plante (wollte) „wollen“ im durativen Imperfekt ist „über einen längeren Zeitraum wollen“ → „planen“.</w:t>
      </w:r>
    </w:p>
  </w:footnote>
  <w:footnote w:id="1533">
    <w:p>
      <w:pPr>
        <w:pStyle w:val="Funote"/>
        <w:rPr/>
      </w:pPr>
      <w:r>
        <w:rPr/>
        <w:footnoteRef/>
        <w:tab/>
        <w:t>hatte lange keine Gelegenheit dazu W. es gelang ihr nicht oder „sie konnte nicht“ (Ipf.). NSS empfiehlt in diesem Kontext die angemessenere Übersetzung der NGÜ „Doch bot sich ihr zunächst keine Möglichkeit dazu“. Dass Herodias als Herrschergattin die Macht gehabt hätte, einen unliebsamen Prediger zu beseitigen, steht außer Frage. Doch hatte sie keine lange Gelegenheit dazu, weil ihr Mann den Prediger schätzte (V. 20). Die Gelegenheit ihn zu überlisten kommt in V. 21. EÜ vgl. GNB: „Sie konnte ihren Plan aber nicht durchsetzen“</w:t>
      </w:r>
    </w:p>
  </w:footnote>
  <w:footnote w:id="1534">
    <w:p>
      <w:pPr>
        <w:pStyle w:val="Funote"/>
        <w:rPr/>
      </w:pPr>
      <w:r>
        <w:rPr/>
        <w:footnoteRef/>
        <w:tab/>
        <w:t>respektierte/fürchtete und weil er wusste (kausales Ptz. conj., als Nebensatz aufgelöst.) Sowohl Angst (die meisten Übersetzungen) als auch Erfurcht (NGÜ, MEN, GNB?) passen in den Kontext. Dass Herodes Johannes' Charakter schätzt, weist darauf hin, dass Respekt und Ehrfurcht möglicherweise die Furcht vor Johannes' politischem Einfluss übersteigen. NGÜ: „hatte Hochachtung“, MEN „hatte Scheu“, GNB lässt beides zu: „wagte er nicht, ihn anzutasten“, Collins 2007, 293: „Herodes respektierte Johannes“. Für ein anderes Verständnis s. die folgende Fußnote.</w:t>
      </w:r>
    </w:p>
  </w:footnote>
  <w:footnote w:id="1535">
    <w:p>
      <w:pPr>
        <w:pStyle w:val="Funote"/>
        <w:rPr/>
      </w:pPr>
      <w:r>
        <w:rPr/>
        <w:footnoteRef/>
        <w:tab/>
        <w:t>beschützte ihn (hielt ihn in Haft) Das Wort lässt sich in anderen Kontexten mit „bewahren“ oder „einhalten, wahren“ übersetzen, die Bedeutung „beschützen“ fällt etwas aus der Reihe. Der NSS merkt jedoch an, das alternative Verständnis hielt ihn in Haft (LUT, GNB, ZÜR?) erscheine „lexikalisch kaum begründbar“. Nach diesem Verständnis hält Herodes Johannes gefangen, weil er ihn bzw. seinen Einfluss fürchtet (vgl. den Versbeginn). MEN: „er nahm ihn in seinen Schutz“, ZÜR lässt beide Deutungen zu: „er liess ihn bewachen“</w:t>
      </w:r>
    </w:p>
  </w:footnote>
  <w:footnote w:id="1536">
    <w:p>
      <w:pPr>
        <w:pStyle w:val="Funote"/>
        <w:rPr/>
      </w:pPr>
      <w:r>
        <w:rPr/>
        <w:footnoteRef/>
        <w:tab/>
        <w:t>wenn er ihm zuhörte Temporales Ptz. conj., als Nebensatz aufgelöst. Die Klammer übersetzt vorzeitig, Sinn wäre „nach dem Zuhören“.</w:t>
      </w:r>
    </w:p>
  </w:footnote>
  <w:footnote w:id="1537">
    <w:p>
      <w:pPr>
        <w:pStyle w:val="Funote"/>
        <w:rPr/>
      </w:pPr>
      <w:r>
        <w:rPr/>
        <w:footnoteRef/>
        <w:tab/>
        <w:t xml:space="preserve">immer wieder stark verunsichert Das Adverb </w:t>
      </w:r>
      <w:r>
        <w:rPr>
          <w:lang w:val="el-GR"/>
        </w:rPr>
        <w:t>πολλὰ</w:t>
      </w:r>
      <w:r>
        <w:rPr/>
        <w:t xml:space="preserve"> kann sowohl intensivierend als auch wiederholend gemeint sein. Da das Imperfekt schon den wiederholenden Aspekt mitbringt, ist es wahrscheinlicher, dass es intensivieren soll. Einige Ausleger (nach G.D. Kilpatrick, Some notes on Markan usage, in: BT 7 (1956), 2-9; zitiert bei Willker 2013, 227) argumentieren, dass dieses Adverb immer dem modifizierten Verb folgen muss. Es müsse sich deshalb statt war verunsichert auf das vorhergehende Partizip </w:t>
      </w:r>
      <w:r>
        <w:rPr>
          <w:lang w:val="el-GR"/>
        </w:rPr>
        <w:t>ἀκούσας</w:t>
      </w:r>
      <w:r>
        <w:rPr/>
        <w:t xml:space="preserve"> wenn er ihm zuhörte beziehen. In diesem ebenfalls gut denkbaren Fall wäre sicherlich iterativ (wiederholend) zu übersetzen: „immer wenn er ihm zuhörte“ (EÜ: „Sooft er mit ihm sprach“). Es gibt aber auch Beispiele, wo das Adverb dem modifizierten Verb vorausgeht (Mk 3,12; 9,26; Mt 27,19). Bei iterativer Deutung lässt sich der Übersetzung ohnehin kaum entnehmen, welchem Verb die Übersetzer das Adverb zugeordnet haben (vgl. GNB, MEN).</w:t>
      </w:r>
    </w:p>
  </w:footnote>
  <w:footnote w:id="1538">
    <w:p>
      <w:pPr>
        <w:pStyle w:val="Funote"/>
        <w:rPr/>
      </w:pPr>
      <w:r>
        <w:rPr/>
        <w:footnoteRef/>
        <w:tab/>
        <w:t>als ein günstiger Zeitpunkt kam Gen. abs., temporal als Nebensatz aufgelöst. Der Hauptsatz kommt erst in V. 22.</w:t>
      </w:r>
    </w:p>
  </w:footnote>
  <w:footnote w:id="1539">
    <w:p>
      <w:pPr>
        <w:pStyle w:val="Funote"/>
        <w:rPr/>
      </w:pPr>
      <w:r>
        <w:rPr/>
        <w:footnoteRef/>
        <w:tab/>
        <w:t>[anlässlich] seines Geburtstages Temporaler Dativ.</w:t>
      </w:r>
    </w:p>
  </w:footnote>
  <w:footnote w:id="1540">
    <w:p>
      <w:pPr>
        <w:pStyle w:val="Funote"/>
        <w:rPr/>
      </w:pPr>
      <w:r>
        <w:rPr/>
        <w:footnoteRef/>
        <w:tab/>
        <w:t>Galiläas angesehenste Bürger W. „die Ersten Galiläas“</w:t>
      </w:r>
    </w:p>
  </w:footnote>
  <w:footnote w:id="1541">
    <w:p>
      <w:pPr>
        <w:pStyle w:val="Funote"/>
        <w:rPr/>
      </w:pPr>
      <w:r>
        <w:rPr/>
        <w:footnoteRef/>
        <w:tab/>
        <w:t>die Tochter eben jener Herodias (seine Tochter Herodias) Die Überlieferung ist an dieser Stelle kompliziert, die Ausleger sind sich uneinig. NA28 bezeugt seine Tochter Herodias, SBLGNT wählt die Tochter eben jener Herodias. Zwar ist seine Tochter Herodias die schwierigste Lesart, passt aber nicht gut in den Kontext (der spricht deutlich davon, dass sie die Tochter von Herodias war). Auch historisch ist die Lesart schwierig, denn eine Tochter von Herodes und Herodias (die dann nicht älter als 10 Jahre wäre) ist nicht bekannt, wohl aber eine Tochter aus Herodias' erster Ehe, die der Geschichtsschreiber Josephus unter dem Namen Salome kennt (Collins 2007, 308). Die Namensgleichheit zwischen Mutter und Tochter kommt noch dazu. Es könnte sich also um einen frühen Fehler handeln (France 2002, 254f.). Mit dem meisten deutschen Übersetzungen (außer ZÜR) sind wir vorerst bei der von NA28 abweichenden Lesart die Tochter eben jener Herodias geblieben. Die griechische Formulierung könnte man auch „ihre Tochter, Herodias,“ oder „die Tochter von Herodias selbst“ übersetzen; für die vorgezogene Übersetzung spricht BDR §288.3. Die Lesart seine Tochter Herodias könnte auch als „seine Tochter, die von Herodias“ (so ZÜR) gemeint sein, aber das wäre sehr unklar formuliert.</w:t>
      </w:r>
    </w:p>
  </w:footnote>
  <w:footnote w:id="1542">
    <w:p>
      <w:pPr>
        <w:pStyle w:val="Funote"/>
        <w:rPr/>
      </w:pPr>
      <w:r>
        <w:rPr/>
        <w:footnoteRef/>
        <w:tab/>
        <w:t>als … hereinkam und tanzte Gen. abs., als temporaler Nebensatz aufgelöst. Nach der generellen Zeitangabe (V. 21) bildet dieser Gen. abs. nun die spezifische. Als Herodes' Aufforderung kam, wusste Herodias, dass dies der „günstige Tag“ (V. 21) war.</w:t>
      </w:r>
    </w:p>
  </w:footnote>
  <w:footnote w:id="1543">
    <w:p>
      <w:pPr>
        <w:pStyle w:val="Funote"/>
        <w:rPr/>
      </w:pPr>
      <w:r>
        <w:rPr/>
        <w:footnoteRef/>
        <w:tab/>
        <w:t>seinen Tischgästen (denen, die mit [ihm] aßen/[zu Tisch] lagen) Die meisten deutschen Übersetzungen übertragen das subst. Ptz. einfach als „seine Gäste“. Wie LUT, ELB kann man es auch als Relativsatz auflösen.</w:t>
      </w:r>
    </w:p>
  </w:footnote>
  <w:footnote w:id="1544">
    <w:p>
      <w:pPr>
        <w:pStyle w:val="Funote"/>
        <w:rPr/>
      </w:pPr>
      <w:r>
        <w:rPr/>
        <w:footnoteRef/>
        <w:tab/>
        <w:t>Mädchen Das gleiche Wort wie bei der Zwölfjährigen in Mk 5,42. Markus überlässt es der Vorstellung des Lesers, ob es sich dabei um einen unsittlichen Tanz einer minderjährigen Stieftochter handelte. Bei derartigen Festmählern waren sonst nur (als sittenlos geltende) Kurtisanen als Tänzerinnen zugegen. Ein Mädchen galt mit etwa 13 Jahren als heiratsfähig, und Salome war zu dieser Zeit wohl zwischen 9 und 19, nach einigen Schätzungen 12-14 Jahre alt (Collins 2007, 308f.). Ist die Formulierung „seine Tochter“ am Versanfang ursprünglich, dann hebt sie sicherlich diesen unsittlichen Aspekt hervor.</w:t>
      </w:r>
    </w:p>
  </w:footnote>
  <w:footnote w:id="1545">
    <w:p>
      <w:pPr>
        <w:pStyle w:val="Funote"/>
        <w:rPr/>
      </w:pPr>
      <w:r>
        <w:rPr/>
        <w:footnoteRef/>
        <w:tab/>
        <w:t xml:space="preserve">schwor ihr mehrmals/eindringlich Das Adverb </w:t>
      </w:r>
      <w:r>
        <w:rPr>
          <w:lang w:val="el-GR"/>
        </w:rPr>
        <w:t>πολλὰ</w:t>
      </w:r>
      <w:r>
        <w:rPr/>
        <w:t>, das wir hier als sekundär einstufen und nur in der Klammer übersetzen (s.u.), kann sowohl intensivierend als auch wiederholend gemeint sein (vgl. schon V. 20). Hier ist es wohl wiederholend, denn in V. 26 ist von Herodes' Schwüren (Pl.) die Rede.</w:t>
      </w:r>
    </w:p>
  </w:footnote>
  <w:footnote w:id="1546">
    <w:p>
      <w:pPr>
        <w:pStyle w:val="Funote"/>
        <w:rPr/>
      </w:pPr>
      <w:r>
        <w:rPr/>
        <w:footnoteRef/>
        <w:tab/>
        <w:t>ging hinaus und Modal-temporales beschreibendes Partizip Aor., mit „und“-Kombination übersetzt.</w:t>
      </w:r>
    </w:p>
  </w:footnote>
  <w:footnote w:id="1547">
    <w:p>
      <w:pPr>
        <w:pStyle w:val="Funote"/>
        <w:rPr/>
      </w:pPr>
      <w:r>
        <w:rPr/>
        <w:footnoteRef/>
        <w:tab/>
        <w:t>eilig W. „mit Eile“</w:t>
      </w:r>
    </w:p>
  </w:footnote>
  <w:footnote w:id="1548">
    <w:p>
      <w:pPr>
        <w:pStyle w:val="Funote"/>
        <w:rPr/>
      </w:pPr>
      <w:r>
        <w:rPr/>
        <w:footnoteRef/>
        <w:tab/>
        <w:t>ging … hinein und Modal-temporales beschreibendes Partizip Aor., mit „und“-Kombination übersetzt.</w:t>
      </w:r>
    </w:p>
  </w:footnote>
  <w:footnote w:id="1549">
    <w:p>
      <w:pPr>
        <w:pStyle w:val="Funote"/>
        <w:rPr/>
      </w:pPr>
      <w:r>
        <w:rPr/>
        <w:footnoteRef/>
        <w:tab/>
        <w:t>wurde sehr traurig Konzessives Ptz. conj.., als gleichgeordneter Hauptsatz mit folgendem „aber“ aufgelöst.</w:t>
      </w:r>
    </w:p>
  </w:footnote>
  <w:footnote w:id="1550">
    <w:p>
      <w:pPr>
        <w:pStyle w:val="Funote"/>
        <w:rPr/>
      </w:pPr>
      <w:r>
        <w:rPr/>
        <w:footnoteRef/>
        <w:tab/>
        <w:t>der Gäste ([zu Tisch] Liegenden) Die meisten deutschen Übersetzungen übertragen das subst. Ptz. einfach als „seine Gäste“. Wie LUT, ELB kann man es auch als Relativsatz auflösen. Vgl. 22.</w:t>
      </w:r>
    </w:p>
  </w:footnote>
  <w:footnote w:id="1551">
    <w:p>
      <w:pPr>
        <w:pStyle w:val="Funote"/>
        <w:rPr/>
      </w:pPr>
      <w:r>
        <w:rPr/>
        <w:footnoteRef/>
        <w:tab/>
        <w:t>Also W. „Und sofort“. Beide Wörter sind bei Markus typisch, „und“ als allgemeine Konjunktion, „sofort“, um die Spannung aufrecht zu erhalten. Hier ist es schwach und heißt so etwas wie „da“, und weil V. 27 aus V. 26 folgt, kann man stilistisch schöner „also“ schreiben.</w:t>
      </w:r>
    </w:p>
  </w:footnote>
  <w:footnote w:id="1552">
    <w:p>
      <w:pPr>
        <w:pStyle w:val="Funote"/>
        <w:rPr/>
      </w:pPr>
      <w:r>
        <w:rPr/>
        <w:footnoteRef/>
        <w:tab/>
        <w:t>schickte … und Modal-temporales Ptz. conj., mit „und“-Kombination übersetzt.</w:t>
      </w:r>
    </w:p>
  </w:footnote>
  <w:footnote w:id="1553">
    <w:p>
      <w:pPr>
        <w:pStyle w:val="Funote"/>
        <w:rPr/>
      </w:pPr>
      <w:r>
        <w:rPr/>
        <w:footnoteRef/>
        <w:tab/>
        <w:t>als … erfuhren Temporales Ptz. conj., als Nebensatz aufgelöst.</w:t>
      </w:r>
    </w:p>
  </w:footnote>
  <w:footnote w:id="1554">
    <w:p>
      <w:pPr>
        <w:pStyle w:val="Funote"/>
        <w:rPr/>
      </w:pPr>
      <w:r>
        <w:rPr/>
        <w:footnoteRef/>
        <w:tab/>
        <w:t>Apostel (ausgesandten [Jünger]) Markus setzt hier den Bericht von der Aussendung der Jünger (Mk 6,7-13) mit deren Rückkehr fort. Den Begriff „Apostel“ verwendet er mit doppeltem Sinn: In der Geschichte bezeichnet er zunächst einmal die ausgesandten Jünger (so die Übersetzung von „Apostel“; vgl. das Verb „aussenden“ in 6,7), die zurückkehren. Für seine christlichen Leser spielt der Titel aber (sicherlich absichtsvoll) schon auf die spätere Rolle der Jünger als Apostel an (vgl. Guelich 1989, 338).</w:t>
      </w:r>
    </w:p>
  </w:footnote>
  <w:footnote w:id="1555">
    <w:p>
      <w:pPr>
        <w:pStyle w:val="Funote"/>
        <w:rPr/>
      </w:pPr>
      <w:r>
        <w:rPr/>
        <w:footnoteRef/>
        <w:tab/>
        <w:t>ganz allein NSS schlägt (wie es auch andere Übersetzungen verstehen) die sinngemäß wohl richtige Übersetzung „um für sich allein zu sein“.</w:t>
      </w:r>
    </w:p>
  </w:footnote>
  <w:footnote w:id="1556">
    <w:p>
      <w:pPr>
        <w:pStyle w:val="Funote"/>
        <w:rPr/>
      </w:pPr>
      <w:r>
        <w:rPr/>
        <w:footnoteRef/>
        <w:tab/>
        <w:t>viele erkannten [ihre Absicht] W. viele erkannten sie (ELB; wenn man das Objekt sie vom Satzanfang miteinbezieht) oder viele erfuhren [davon] (ZÜR, EÜ, LUT). Oder wie ELB könnte man viele auch in den ersten Satzteil vorziehen, sodass es sich auf beide Verben bezieht: „Allerdings sahen viele [Leute], wie sie losfuhren, und erkannten [sie/ihre Absicht]“. Unsere Übersetzung wie MEN, NGÜ.</w:t>
      </w:r>
    </w:p>
  </w:footnote>
  <w:footnote w:id="1557">
    <w:p>
      <w:pPr>
        <w:pStyle w:val="Funote"/>
        <w:rPr/>
      </w:pPr>
      <w:r>
        <w:rPr/>
        <w:footnoteRef/>
        <w:tab/>
        <w:t>an ihrem Zielort Sinngemäße Wiedergabe von dort.</w:t>
      </w:r>
    </w:p>
  </w:footnote>
  <w:footnote w:id="1558">
    <w:p>
      <w:pPr>
        <w:pStyle w:val="Funote"/>
        <w:rPr/>
      </w:pPr>
      <w:r>
        <w:rPr/>
        <w:footnoteRef/>
        <w:tab/>
        <w:t>als er ausstieg Ptz. conj., als temporaler Nebensatz aufgelöst.</w:t>
      </w:r>
    </w:p>
  </w:footnote>
  <w:footnote w:id="1559">
    <w:p>
      <w:pPr>
        <w:pStyle w:val="Funote"/>
        <w:rPr/>
      </w:pPr>
      <w:r>
        <w:rPr/>
        <w:footnoteRef/>
        <w:tab/>
        <w:t>wie Schafe waren, die keinen Hirten haben ist eine Wendung, die im AT mehrmals vorkommt (das Zitat selbst stammt aus Num 27,17). Es geht dabei immer um das Volk Israel und seinen König. Die Tatsache, dass sich hier plötzlich eine so große Menschenmenge im Nirgendwo versammelt, könnte darauf schließen lassen, dass Markus die Begebenheit stark vereinfacht darstellt. Joh 6,15 beschreibt in derselben Szene, dass die Menge Jesus zum König machen möchte. Jesus ist zwar der jüdische Messias, aber nicht der Anführer eines politischen Aufstands gegen die Herrschaft der Römer, auf den das Volk hofft. Die atl. Anspielung zeigt hier: Jesus erkennt seine Verantwortung als eschatologischer Führer dieses führerlosen Volkes. Auch Mose spricht in Num 27,17 im Zusammenhang seines Nachfolgers einmal von hirtenlosen Schafen. Jesus reagiert wie der in Dtn 18,15-18 angekündigte „Prophet wie Mose“, indem er die Menge durch ein Wunder mit Nahrung versorgt. Ebenso übernatürlich hatte Mose in der Wüste von Gott die Versorgung mit Manna und Wachteln erreicht. (Johannes stellt denselben Zusammenhang in Joh 6,31 her, wo er Ex 16,4 zitiert.) Jesus reiht sich auch neben die Propheten Elija und Elisa ein, die in den Königebüchern ebenfalls Nahrungswunder vollbrachten. Jesus ist der angekündigte Schafhirte, der in Eze 34 und Ps 78 mit einem neuen Auszug in Verbindung gebracht wird (vgl. Watts 2007, 158-61; France 2002, 260-63; Collins 2007, 319).</w:t>
      </w:r>
    </w:p>
  </w:footnote>
  <w:footnote w:id="1560">
    <w:p>
      <w:pPr>
        <w:pStyle w:val="Funote"/>
        <w:rPr/>
      </w:pPr>
      <w:r>
        <w:rPr/>
        <w:footnoteRef/>
        <w:tab/>
        <w:t>als (weil) die Stunde schon spät geworden war Das schwer übersetzbare Idiom (auf Gr. ist die „Stunde“ so etwas wie „lang“ oder „viel“) heißt einfach „Es war schon spät“ oder „eine fortgeschrittene Tageszeit“. Dabei handelte es sich wahrscheinlich um die gewöhnliche Zeit zum Abendessen am Spätnachmittag (France 2002, 265). Vgl. 11,11 sowie 15,33 für ähnliche Zeitangaben.</w:t>
      </w:r>
    </w:p>
  </w:footnote>
  <w:footnote w:id="1561">
    <w:p>
      <w:pPr>
        <w:pStyle w:val="Funote"/>
        <w:rPr/>
      </w:pPr>
      <w:r>
        <w:rPr/>
        <w:footnoteRef/>
        <w:tab/>
        <w:t>kamen … zu ihm und Temp. Ptz. conj., parataktisch aufgelöst.</w:t>
      </w:r>
    </w:p>
  </w:footnote>
  <w:footnote w:id="1562">
    <w:p>
      <w:pPr>
        <w:pStyle w:val="Funote"/>
        <w:rPr/>
      </w:pPr>
      <w:r>
        <w:rPr/>
        <w:footnoteRef/>
        <w:tab/>
        <w:t xml:space="preserve">Bauernhöfe(n) (V. 36 und 56) W. »Felder«, eine Metonymie für »Höfe« oder (nicht hier) »Dörfer« (BA </w:t>
      </w:r>
      <w:r>
        <w:rPr>
          <w:lang w:val="el-GR"/>
        </w:rPr>
        <w:t>ἀγρός</w:t>
      </w:r>
      <w:r>
        <w:rPr/>
        <w:t xml:space="preserve"> 2; LN 1.93; NSS). Ein anderes Verständnis der Metonymie wäre »das umliegende Land« (BA </w:t>
      </w:r>
      <w:r>
        <w:rPr>
          <w:lang w:val="el-GR"/>
        </w:rPr>
        <w:t>ἀγρός</w:t>
      </w:r>
      <w:r>
        <w:rPr/>
        <w:t xml:space="preserve"> 1; vgl. LN 1.87), wie wohl in Mk 5,14.</w:t>
      </w:r>
    </w:p>
  </w:footnote>
  <w:footnote w:id="1563">
    <w:p>
      <w:pPr>
        <w:pStyle w:val="Funote"/>
        <w:rPr/>
      </w:pPr>
      <w:r>
        <w:rPr/>
        <w:footnoteRef/>
        <w:tab/>
        <w:t>gehen und W. »weggehen und« Beschreibendes Partizip, beigeordnet aufgelöst.</w:t>
      </w:r>
    </w:p>
  </w:footnote>
  <w:footnote w:id="1564">
    <w:p>
      <w:pPr>
        <w:pStyle w:val="Funote"/>
        <w:rPr/>
      </w:pPr>
      <w:r>
        <w:rPr/>
        <w:footnoteRef/>
        <w:tab/>
        <w:t>antwortete {und sagte} W. etwa „antwortend sagte er...“ Diese pleonastische Verbindung geben wir aus stilistischen Gründen mit nur einem Verb wieder. antwortete Mod. Ptz. conj..</w:t>
      </w:r>
    </w:p>
  </w:footnote>
  <w:footnote w:id="1565">
    <w:p>
      <w:pPr>
        <w:pStyle w:val="Funote"/>
        <w:rPr/>
      </w:pPr>
      <w:r>
        <w:rPr/>
        <w:footnoteRef/>
        <w:tab/>
        <w:t>losgehen und Oder »weggehen und« Beschreibendes Partizip, beigeordnet aufgelöst. Die Verblüffung der Jünger kommt zum Ausdruck, indem sie dieselben Wörter auf sich beziehen, die sie noch im Vers vorher im Zusammenhang mit den Menschen gebraucht hatten. Ihre Antwort besteht aus einer rhetorischen Frage (vgl. Guelich 1989, 341).</w:t>
      </w:r>
    </w:p>
  </w:footnote>
  <w:footnote w:id="1566">
    <w:p>
      <w:pPr>
        <w:pStyle w:val="Funote"/>
        <w:rPr/>
      </w:pPr>
      <w:r>
        <w:rPr/>
        <w:footnoteRef/>
        <w:tab/>
        <w:t>[für] zweihundert Denare Genitiv des Preises. Ein Denar entsprach einem Tagelohn (Guelich 1989, 341).</w:t>
      </w:r>
    </w:p>
  </w:footnote>
  <w:footnote w:id="1567">
    <w:p>
      <w:pPr>
        <w:pStyle w:val="Funote"/>
        <w:rPr/>
      </w:pPr>
      <w:r>
        <w:rPr/>
        <w:footnoteRef/>
        <w:tab/>
        <w:t>nachdem sie [es] festgestellt hatten Ptz. conj. Aor., temporal-vorzeitig als Nebensatz aufgelöst. Oder: „sie stellten es fest und“</w:t>
      </w:r>
    </w:p>
  </w:footnote>
  <w:footnote w:id="1568">
    <w:p>
      <w:pPr>
        <w:pStyle w:val="Funote"/>
        <w:rPr/>
      </w:pPr>
      <w:r>
        <w:rPr/>
        <w:footnoteRef/>
        <w:tab/>
        <w:t>in Gruppen W. „Symposia Symposia“, eine distributive Dopplung wie in V. 7, wo „zwei zwei“ „paarweise“ heißt. Ein Symposion war ein entspanntes, abendliches Gast- und Trinkmahl samt Tischgesellschaft und Unterhaltung (vgl. France 2002, 267). Hier bezeichnet es wohl einfach den Zweck der angestrebten Gruppen als „Essgruppen“ (vgl. LN 11.5). Zusammen mit dem Wort für „setzen“ bedeutet die Formulierung aber auch, dass Jesus hier quasi ein Gastmahl veranstaltet (Pesch 1976, 352). ELB, GNB, ZÜR: „nach/in/zu Tischgemeinschaften“, MEN „zu einzelnen Tischgenossenschaften“, LUT etwas rätselhaft „tischweise“. NGÜ „gruppenweise“, EÜ wie OfBi.</w:t>
      </w:r>
    </w:p>
  </w:footnote>
  <w:footnote w:id="1569">
    <w:p>
      <w:pPr>
        <w:pStyle w:val="Funote"/>
        <w:rPr/>
      </w:pPr>
      <w:r>
        <w:rPr/>
        <w:footnoteRef/>
        <w:tab/>
        <w:t>in Gruppen Hier ein anderes Wort als in V. 39, doch ebenso eine distributive Dopplung: W. „Gruppen Gruppen“. Das Wort heißt eigentlich „Beet“ und bezieht sich im übertragenen Sinn auf dasselbe wie der Begriff im letzten Vers, nur dass hier nicht wie in V. 39 „Essgruppen“ konnotiert sind, sondern geordnete „Sitzgruppen“ (LN 11.6).</w:t>
      </w:r>
    </w:p>
  </w:footnote>
  <w:footnote w:id="1570">
    <w:p>
      <w:pPr>
        <w:pStyle w:val="Funote"/>
        <w:rPr/>
      </w:pPr>
      <w:r>
        <w:rPr/>
        <w:footnoteRef/>
        <w:tab/>
        <w:t>Gruppen von hundert und von fünfzig [Personen] Einige Ausleger halten dies für einen weiteren sprachlichen Hinweis auf Jesus als eschatologischen Führer Israels. Mose teilte in Ex 18,21 einst das Volk in militärische Einheiten auf (und auch die Anhänger einer jüdischen Sekte, die Verfasser des Damaskus-Dokuments) (Collins 2007, 324f.; Guelich 1989, 341). Tatsächlich ist die Formulierung so komisch, dass man sich fragt, wie man sich das vorzustellen hat. Überspitzt ausgedrückt: Haben die Jünger Köpfe gezählt, um genaue Gruppengrößen zu erreichen? Und warum gerade Gruppen von 100 und der halben Anzahl? Doch bei Mose war von 1000, 100, 50 und 10 die Rede, sodass die Anspielung nicht gesichert ist. Viel eher bezeichnet die Formulierung wohl Gruppen zwischen 50 und 100 Personen (Stein 2008, 315; vgl. France 2002, 267). Diese Übersetzung wird für die Lesefassung empfohlen.</w:t>
      </w:r>
    </w:p>
  </w:footnote>
  <w:footnote w:id="1571">
    <w:p>
      <w:pPr>
        <w:pStyle w:val="Funote"/>
        <w:rPr/>
      </w:pPr>
      <w:r>
        <w:rPr/>
        <w:footnoteRef/>
        <w:tab/>
        <w:t>er nahm und blickte auf Modal-temporales Ptz. conj. (2x), beigeordnet übersetzt.</w:t>
      </w:r>
    </w:p>
  </w:footnote>
  <w:footnote w:id="1572">
    <w:p>
      <w:pPr>
        <w:pStyle w:val="Funote"/>
        <w:rPr/>
      </w:pPr>
      <w:r>
        <w:rPr/>
        <w:footnoteRef/>
        <w:tab/>
        <w:t xml:space="preserve">voller Brocken Wie eine Präposition kommt hier ein Substantiv Pl. zum Einsatz (BA </w:t>
      </w:r>
      <w:r>
        <w:rPr>
          <w:lang w:val="el-GR"/>
        </w:rPr>
        <w:t>πλήρωμα</w:t>
      </w:r>
      <w:r>
        <w:rPr/>
        <w:t xml:space="preserve"> 1a). zwölf große Körbe, wobei das Adjektiv große die Bedeutung des griechischen Worts wiedergeben helfen soll. Wozu die Krümel aufgehoben wurden oder wie in der abgelegenen Gegend große Tragekörbe zur Verfügung standen, erzählt uns Markus nicht. Bei den Körben könnte es sich einfach um die Schätzung handeln, dass man die Reste in zwölf Körbe füllen könnte, doch Mk 8,19 scheint dagegen zu sprechen. Die Körbe stammten vielleicht aus dem Boot, mit dem Jesus und seine Jünger gekommen waren (France 2002, 268).</w:t>
      </w:r>
    </w:p>
  </w:footnote>
  <w:footnote w:id="1573">
    <w:p>
      <w:pPr>
        <w:pStyle w:val="Funote"/>
        <w:rPr/>
      </w:pPr>
      <w:r>
        <w:rPr/>
        <w:footnoteRef/>
        <w:tab/>
        <w:t>auch von den Fischen Wohl zu verstehen im Sinne von GNB: „Auch von den Fischen wurden noch Reste eingesammelt.“ Es ist aber nicht klar, ob die Fischreste zum Inhalt der zwölf Körbe gehören oder nicht (vgl. Guelich 1989, 343). Einige Übersetzungen umschreiben den Vorgang deshalb so, dass diese Frage offen bleibt. So EÜ (vgl. NGÜ): „Als die Jünger die Reste der Brote und auch der Fische einsammelten, wurden zwölf Körbe voll.“</w:t>
      </w:r>
    </w:p>
  </w:footnote>
  <w:footnote w:id="1574">
    <w:p>
      <w:pPr>
        <w:pStyle w:val="Funote"/>
        <w:rPr/>
      </w:pPr>
      <w:r>
        <w:rPr/>
        <w:footnoteRef/>
        <w:tab/>
        <w:t>verabschieden wollte Im Griechischen „verabschiedet“; es ist hier so formuliert, wie es die entsprechende wörtliche Rede wäre (NSS).</w:t>
      </w:r>
    </w:p>
  </w:footnote>
  <w:footnote w:id="1575">
    <w:p>
      <w:pPr>
        <w:pStyle w:val="Funote"/>
        <w:rPr/>
      </w:pPr>
      <w:r>
        <w:rPr/>
        <w:footnoteRef/>
        <w:tab/>
        <w:t>nachdem er sich von ihnen verabschiedet hatte Temporales Ptz. conj. Aor., vorzeitig aufgelöst. Das Wort ist ein anderes als das mit „(jdn.) verabschieden“ übersetzte in V. 45, das etwas schwächer ist. France glaubt, dass es sich eher auf die Jünger als auf die Menschenmenge bezieht. Diese ausdrückliche Erwähnung des Abschieds verstärkt dann noch den Schrecken, den die Jünger in V. 49 bekommen, weil sie Jesus ja hinter sich an Land vermuten (France 2002, 271). Die Übersetzung geht davon aus, dass das stimmt, lässt aber beide Möglichkeiten offen.</w:t>
      </w:r>
    </w:p>
  </w:footnote>
  <w:footnote w:id="1576">
    <w:p>
      <w:pPr>
        <w:pStyle w:val="Funote"/>
        <w:rPr/>
      </w:pPr>
      <w:r>
        <w:rPr/>
        <w:footnoteRef/>
        <w:tab/>
        <w:t>als es … geworden war Gen. abs., als temporaler Nebensatz aufgelöst.</w:t>
      </w:r>
    </w:p>
  </w:footnote>
  <w:footnote w:id="1577">
    <w:p>
      <w:pPr>
        <w:pStyle w:val="Funote"/>
        <w:rPr/>
      </w:pPr>
      <w:r>
        <w:rPr/>
        <w:footnoteRef/>
        <w:tab/>
        <w:t xml:space="preserve">weil (als) er sah Kausales oder temporales Ptz. conj., als Nebensatz aufgelöst. sah, dass sie sich quälten AcP, mit „dass“ aufgelöst. sich quälten W. „gequält wurden“ (zur Übersetzung s. BA </w:t>
      </w:r>
      <w:r>
        <w:rPr>
          <w:lang w:val="el-GR"/>
        </w:rPr>
        <w:t>βασανίζω</w:t>
      </w:r>
      <w:r>
        <w:rPr/>
        <w:t>, 3; NSS).</w:t>
      </w:r>
    </w:p>
  </w:footnote>
  <w:footnote w:id="1578">
    <w:p>
      <w:pPr>
        <w:pStyle w:val="Funote"/>
        <w:rPr/>
      </w:pPr>
      <w:r>
        <w:rPr/>
        <w:footnoteRef/>
        <w:tab/>
        <w:t>um die vierte Nachtwache W. „Wache der Nacht“. Die Römer teilten die Nacht in vier gleich lange Nachtwachen ein. Die letzte Nachtwache fiel etwa zwischen 3 und 6 Uhr morgens. Das Speisungswunder hatte wohl spätnachmittags, zur Zeit des Abendessens stattgefunden. Später am Abend (V. 47) waren die Jünger bereits mitten auf dem See. Die Jünger hatten inzwischen offenbar so mit widrigen Winden zu kämpfen gehabt, dass sie über Stunden kaum Fortschritte machten (Collins 2007, 333f.; France 2002, 271).</w:t>
      </w:r>
    </w:p>
  </w:footnote>
  <w:footnote w:id="1579">
    <w:p>
      <w:pPr>
        <w:pStyle w:val="Funote"/>
        <w:rPr/>
      </w:pPr>
      <w:r>
        <w:rPr/>
        <w:footnoteRef/>
        <w:tab/>
        <w:t>indem … lief Modales Ptc. conj., als Nebensatz aufgelöst.</w:t>
      </w:r>
    </w:p>
  </w:footnote>
  <w:footnote w:id="1580">
    <w:p>
      <w:pPr>
        <w:pStyle w:val="Funote"/>
        <w:rPr/>
      </w:pPr>
      <w:r>
        <w:rPr/>
        <w:footnoteRef/>
        <w:tab/>
        <w:t>wollte Die Verwendung des Imperfekts zeigt wohl an, dass dies in dieser Szene seine Absicht war.</w:t>
      </w:r>
    </w:p>
  </w:footnote>
  <w:footnote w:id="1581">
    <w:p>
      <w:pPr>
        <w:pStyle w:val="Funote"/>
        <w:rPr/>
      </w:pPr>
      <w:r>
        <w:rPr/>
        <w:footnoteRef/>
        <w:tab/>
        <w:t>als … sahen Ptz. conj., als temporaler Nebensatz aufgelöst.</w:t>
      </w:r>
    </w:p>
  </w:footnote>
  <w:footnote w:id="1582">
    <w:p>
      <w:pPr>
        <w:pStyle w:val="Funote"/>
        <w:rPr/>
      </w:pPr>
      <w:r>
        <w:rPr/>
        <w:footnoteRef/>
        <w:tab/>
        <w:t>schrien auf (fingen an zu schreien) Wie in der Klammer kann man den Aorist auch ingressiv übersetzen, der den Anfang von etwas markiert.</w:t>
      </w:r>
    </w:p>
  </w:footnote>
  <w:footnote w:id="1583">
    <w:p>
      <w:pPr>
        <w:pStyle w:val="Funote"/>
        <w:rPr/>
      </w:pPr>
      <w:r>
        <w:rPr/>
        <w:footnoteRef/>
        <w:tab/>
        <w:t xml:space="preserve">erschraken Eigentlich ein Passiv, w. also so etwas wie „sie wurden erschrocken“. Auf Deutsch wird daraus aktiv „sie erschraken“ (so auch viele andere Übersetzungen. Vgl. BA </w:t>
      </w:r>
      <w:r>
        <w:rPr>
          <w:lang w:val="el-GR"/>
        </w:rPr>
        <w:t>ταράσσω</w:t>
      </w:r>
      <w:r>
        <w:rPr/>
        <w:t>, 2, wo für das Passiv angegeben ist: „in Bestürzung, Schrecken geraten“).</w:t>
      </w:r>
    </w:p>
  </w:footnote>
  <w:footnote w:id="1584">
    <w:p>
      <w:pPr>
        <w:pStyle w:val="Funote"/>
        <w:rPr/>
      </w:pPr>
      <w:r>
        <w:rPr/>
        <w:footnoteRef/>
        <w:tab/>
        <w:t>begann … zu reden Der Aorist ist hier ingressiv übersetzt, der den Anfang von etwas markiert (vgl. NSS; EÜ). Ansonsten wäre die Übersetzung: „er redete sofort mit ihnen“, oder schöner: „er sprach sie sofort an“ (NGÜ, vgl. GNB).</w:t>
      </w:r>
    </w:p>
  </w:footnote>
  <w:footnote w:id="1585">
    <w:p>
      <w:pPr>
        <w:pStyle w:val="Funote"/>
        <w:rPr/>
      </w:pPr>
      <w:r>
        <w:rPr/>
        <w:footnoteRef/>
        <w:tab/>
        <w:t>Keine Angst! (Beruhigt euch!, Habt Vertrauen!) W. so etwas wie »Seid tapfer!«. Seit LUT gerne mit »Seid getrost« übersetzt. Etwas moderner EÜ: »Habt Vertrauen«, GNB: »Fasst Mut!« Auf Deutsch gibt man den Sinn dieser Aussage eigentlich eher mit einer negativen Formulierung wieder, wie unsere Übersetzung. Vgl. NGÜ: »Erschreckt nicht!«</w:t>
      </w:r>
    </w:p>
  </w:footnote>
  <w:footnote w:id="1586">
    <w:p>
      <w:pPr>
        <w:pStyle w:val="Funote"/>
        <w:rPr/>
      </w:pPr>
      <w:r>
        <w:rPr/>
        <w:footnoteRef/>
        <w:tab/>
        <w:t>ganz (ganz außerordentlich) fassungslos Die Übersetzung mit fassungslos schließt sich an unsere Übersetzung in Mk 2,12 und 5,42 an (vgl. NGÜ). Ist die NA28-Lesart mit gleich zwei intensivierenden Ausdrücken korrekt (hier in der Klammer zu finden, dann hat Markus wie schon in 5,42 dem überforderten Erstaunen der Jünger in sehr blumiger Ausdruck verliehen. LUT: „Und sie entsetzten sich über die Maßen“, GNB: „Da gerieten sie vor Entsetzen ganz außer sich.“, NGÜ: „Da waren sie erst recht fassungslos.“</w:t>
      </w:r>
    </w:p>
  </w:footnote>
  <w:footnote w:id="1587">
    <w:p>
      <w:pPr>
        <w:pStyle w:val="Funote"/>
        <w:rPr/>
      </w:pPr>
      <w:r>
        <w:rPr/>
        <w:footnoteRef/>
        <w:tab/>
        <w:t>was es mit den Broten auf sich hatte W. „hinsichtlich/angesichts/aufgrund der Brote“ Eine andere sinngemäße Übersetzung lautet: „Denn auch durch das Wunder mit den Broten waren sie nicht zur Einsicht gekommen“ (GNB, ähnlich NGÜ, ELB?, LUT?)</w:t>
      </w:r>
    </w:p>
  </w:footnote>
  <w:footnote w:id="1588">
    <w:p>
      <w:pPr>
        <w:pStyle w:val="Funote"/>
        <w:rPr/>
      </w:pPr>
      <w:r>
        <w:rPr/>
        <w:footnoteRef/>
        <w:tab/>
        <w:t>ihr Herz war verstockt (verhärtet) D.h. die Jünger verstanden Jesu Macht und Anspruch nicht, auch nach den vergangenen Wundern. Damit rückt er die Jünger in die Nähe seiner Feinde, die ihn ebenfalls nicht verstanden (Mk 3,5). In Mk 8,14-21 kommt Jesus noch einmal mit demselben Wort auf die Brotvermehrung und die Verständnis</w:t>
        <w:softHyphen/>
        <w:t>schwierigkeiten der Jünger zu sprechen.</w:t>
      </w:r>
    </w:p>
  </w:footnote>
  <w:footnote w:id="1589">
    <w:p>
      <w:pPr>
        <w:pStyle w:val="Funote"/>
        <w:rPr/>
      </w:pPr>
      <w:r>
        <w:rPr/>
        <w:footnoteRef/>
        <w:tab/>
        <w:t>nachdem sie übergesetzt hatten Temp. Ptz. conj., als vorzeitiger Nebensatz aufgelöst.</w:t>
      </w:r>
    </w:p>
  </w:footnote>
  <w:footnote w:id="1590">
    <w:p>
      <w:pPr>
        <w:pStyle w:val="Funote"/>
        <w:rPr/>
      </w:pPr>
      <w:r>
        <w:rPr/>
        <w:footnoteRef/>
        <w:tab/>
        <w:t xml:space="preserve">landeten (legten an, ankerten, liefen in den Hafen, zogen [das Boot] an Land) Das Wort hat offenbar die Grundbedeutung, ein Boot zu sichern (also „zu verankern“; und implizit, danach an Land zu gehen). Der genaue Vorgang wird im Kontext nicht genauer vermerkt. Es könnte „anlegen“ heißen (so die meisten Übersetzungen); „(ver)ankern“ (LSJ), „an Land ziehen“ oder „(das Boot) festmachen“ (so einige englische Übersetzungen); „landen“ (GNB) oder „in den Hafen einlaufen“ (BA </w:t>
      </w:r>
      <w:r>
        <w:rPr>
          <w:lang w:val="el-GR"/>
        </w:rPr>
        <w:t>προσορμίζω</w:t>
      </w:r>
      <w:r>
        <w:rPr/>
        <w:t>, NSS) (vgl. LN 54.20; Blight 2012, 340f.). Pesch schließt aus der letztgenannten Definition, die Gruppe müsse in einem Hafen angelegt haben (ders. 1976, 375), aber Gennesaret war ein fruchtbarer und dicht bewohnter Küstenstreifen zwischen Tiberias und Kafarnaum. Ob es dort eine gleichnamige Ortschaft mit einem Hafen gab, ist unsicher (Guelich 1989, 356). Also bietet sich eine Übersetzung wie „landen“ an, die den Vorgang nicht näher beschreibt als nötig. „an Land kommen“ und „landen“ wäre dann ein (bei Markus schon öfter vorgefundener) Hendiadyoin. Um die Dopplung zu vermeiden, böte sich auch die Übersetzung „zogen das Boot an Land“ an.</w:t>
      </w:r>
    </w:p>
  </w:footnote>
  <w:footnote w:id="1591">
    <w:p>
      <w:pPr>
        <w:pStyle w:val="Funote"/>
        <w:rPr/>
      </w:pPr>
      <w:r>
        <w:rPr/>
        <w:footnoteRef/>
        <w:tab/>
        <w:t>erkannten … und Kausales oder temporales Ptz. conj., hier beigeordnet aufgelöst.</w:t>
      </w:r>
    </w:p>
  </w:footnote>
  <w:footnote w:id="1592">
    <w:p>
      <w:pPr>
        <w:pStyle w:val="Funote"/>
        <w:rPr/>
      </w:pPr>
      <w:r>
        <w:rPr/>
        <w:footnoteRef/>
        <w:tab/>
        <w:t>die W. „jene“, im Deutschen obsolet.</w:t>
      </w:r>
    </w:p>
  </w:footnote>
  <w:footnote w:id="1593">
    <w:p>
      <w:pPr>
        <w:pStyle w:val="Funote"/>
        <w:rPr/>
      </w:pPr>
      <w:r>
        <w:rPr/>
        <w:footnoteRef/>
        <w:tab/>
        <w:t>trugen W. „fingen an zu tragen“, eine pleonastische Verbindung, die typisch für Markus ist. „Anfangen“ hat hier sehr abgeschwächte Bedeutung (Siebenthal 2011, §218e; NSS). Vgl. z.B. Mk 5,17, wo das Verb ebenfalls unübersetzt blieb.</w:t>
      </w:r>
    </w:p>
  </w:footnote>
  <w:footnote w:id="1594">
    <w:p>
      <w:pPr>
        <w:pStyle w:val="Funote"/>
        <w:rPr/>
      </w:pPr>
      <w:r>
        <w:rPr/>
        <w:footnoteRef/>
        <w:tab/>
        <w:t>diejenigen, denen es schlecht ging Subst. Ptz., als Relativsatz aufgelöst. Oder „die Kranken“, eine beliebte Übersetzung des subst. Ptz. (wie in Mk 1,32.34; 2,17 und alle Übersetzungen an dieser Stelle). Da im nächsten Vers das spezifische Wort für „Kranke“ vorkommt, scheinen hier oder Menschen mit allen möglichen Leiden und Gebrechen gemeint zu sein, die sie am eigenständigen Gehen hindern.</w:t>
      </w:r>
    </w:p>
  </w:footnote>
  <w:footnote w:id="1595">
    <w:p>
      <w:pPr>
        <w:pStyle w:val="Funote"/>
        <w:rPr/>
      </w:pPr>
      <w:r>
        <w:rPr/>
        <w:footnoteRef/>
        <w:tab/>
        <w:t>Quaste bzw. Saum Das Wort könnte sowohl einen Saum oder eine Quaste bezeichnen und steht hier wohl für die vier Quasten, die Juden nach dem Gesetz an ihren Kleidern tragen mussten (Num 15,38–39 LXX; vgl. Dtn 22,12). Die Quasten bestanden aus vier blauen und weißen Fäden, die den Träger daran erinnern sollten, die Gebote zu halten (Mt 23,5; Guelich 1989, 357f.; France 2002, 275).</w:t>
      </w:r>
    </w:p>
  </w:footnote>
  <w:footnote w:id="1596">
    <w:p>
      <w:pPr>
        <w:pStyle w:val="Funote"/>
        <w:rPr/>
      </w:pPr>
      <w:r>
        <w:rPr/>
        <w:footnoteRef/>
        <w:tab/>
        <w:t>[Status: Zuverlässig]</w:t>
      </w:r>
    </w:p>
  </w:footnote>
  <w:footnote w:id="1597">
    <w:p>
      <w:pPr>
        <w:pStyle w:val="Funote"/>
        <w:rPr/>
      </w:pPr>
      <w:r>
        <w:rPr/>
        <w:footnoteRef/>
        <w:tab/>
        <w:t>die ... gekommen waren attr. Ptz. Aor., als vorzeitiger Relativsatz aufgelöst.</w:t>
      </w:r>
    </w:p>
  </w:footnote>
  <w:footnote w:id="1598">
    <w:p>
      <w:pPr>
        <w:pStyle w:val="Funote"/>
        <w:rPr/>
      </w:pPr>
      <w:r>
        <w:rPr/>
        <w:footnoteRef/>
        <w:tab/>
        <w:t>weil (als) sie gesehen hatten (sahen) Kausales oder temporales Ptz. conj..</w:t>
      </w:r>
    </w:p>
  </w:footnote>
  <w:footnote w:id="1599">
    <w:p>
      <w:pPr>
        <w:pStyle w:val="Funote"/>
        <w:rPr/>
      </w:pPr>
      <w:r>
        <w:rPr/>
        <w:footnoteRef/>
        <w:tab/>
        <w:t>[mit] unreinen ... [mit] ungewaschenen, Händen Instr. Dativ.</w:t>
      </w:r>
    </w:p>
  </w:footnote>
  <w:footnote w:id="1600">
    <w:p>
      <w:pPr>
        <w:pStyle w:val="Funote"/>
        <w:rPr/>
      </w:pPr>
      <w:r>
        <w:rPr/>
        <w:footnoteRef/>
        <w:tab/>
        <w:t>die Brote aßen Eine ungewöhnliche Formulierung. „Brot“ kann pars pro toto für Nahrung oder eine Mahlzeit stehen. Die zu erwartende Phrase wäre aber „Brot essen“. Vielleicht hat Markus so formuliert, um noch einmal das Wunder der Brotvermehrung (Kap. 6) in Erinnerung zu rufen (bei dem Brot könnte es sich um die Überbleibsel handeln), doch das ist unsicher (dafür: Guelich 1989, 363; dagegen: France 2002, 281).</w:t>
      </w:r>
    </w:p>
  </w:footnote>
  <w:footnote w:id="1601">
    <w:p>
      <w:pPr>
        <w:pStyle w:val="Funote"/>
        <w:rPr/>
      </w:pPr>
      <w:r>
        <w:rPr/>
        <w:footnoteRef/>
        <w:tab/>
        <w:t>Der Satz endet nach Meinung der meisten Ausleger und der Zeichensetzung der kritischen Editionen unvollendet (Anakoluth), um der Erklärung des pharisäischen Brauchs Platz zu machen. Unklar ist, ob er in V. 5 fortgesetzt wird oder ob V. 5 neu einsetzt (Guelich 1989, 360; vgl. Collins 2007, 344 Fn 35). France bemerkt allerdings, man könne den Satzbau auch erklären, indem man V. 2 nicht als Umstandsangabe für die Anfrage der Pharisäer V. 5, sondern für ihr Zusammenkommen in V. 1 versteht (ders. 2002, 279f.). Das Partizip weil/als sie gesehen hatten gibt dann kausal oder temporal an, warum die Pharisäer und Schriftgelehrten Jesus ansprachen. Das passt zwar inhaltlich, aber für die verbreitetere Interpretation spricht, dass man die Stelle offenbar schon lange als Anakoluth verstanden hat. Varianten in der Überlieferung des Textes zeigen, dass man zum Teil versuchte, den Satzbau etwas einfacher zu formulieren. Zudem stehen Partizipien mit kausaler Sinnrichtung häufiger vor der Aussage, die sie begründen, als danach.</w:t>
      </w:r>
    </w:p>
  </w:footnote>
  <w:footnote w:id="1602">
    <w:p>
      <w:pPr>
        <w:pStyle w:val="Funote"/>
        <w:rPr/>
      </w:pPr>
      <w:r>
        <w:rPr/>
        <w:footnoteRef/>
        <w:tab/>
        <w:t xml:space="preserve">sorgfältig Gr. </w:t>
      </w:r>
      <w:r>
        <w:rPr>
          <w:lang w:val="el-GR"/>
        </w:rPr>
        <w:t>πυγμῇ</w:t>
      </w:r>
      <w:r>
        <w:rPr/>
        <w:t xml:space="preserve"> W. „[mit] der Faust“ Instr. Dativ. Diese Wendung ist nur hier bekannt und ihre Bedeutung unklar. Es gibt folgende Vorschläge, was das Wort bezeichnet: 1. die Art des Waschens, nämlich der Faust in der hohlen Hand, 2. das Waschen bis zum Ellbogen (so Collins 2007, 349) bzw. zum Handgelenk, 3. die meisten Übersetzungen folgen LUT mit der Übersetzung „[mit] einer Handvoll Wasser“ (so z.B. Cranfield 1959, S. 233). 4. MEN „gründlich“, ELB „sorgfältig“. 5. bedeutungsagnostisch „in der vorgeschriebenen Weise“ (NSS) oder „zeremoniell“ (France). France empfiehlt, das Wort sinngemäß mit „sorgfältig“ oder „zeremoniell“ zu übersetzen (ders. 2002, 282; in dieselbe Richtung geht NSS). Weil es sich um einen Singular handelt, ist eine pluralspezifische Übersetzung wie Guelichs „with cupped hands“ (ders. 1989, 364f.) weniger wahrscheinlich. Auch Hengels Theorie eines aus dem Lateinischen entlehnten Wortes „Handvoll“ ist unwahrscheinlich, weil es im Griechischen ein Wort dafür gab (ebd.; so aber auch Dschulnigg 2007; Gnilka 1978). NGÜ lässt das Wort gleich ganz aus dem Fließtext und erwähnt seine unbekannte Bedeutung in einer Fußnote.</w:t>
      </w:r>
    </w:p>
  </w:footnote>
  <w:footnote w:id="1603">
    <w:p>
      <w:pPr>
        <w:pStyle w:val="Funote"/>
        <w:rPr/>
      </w:pPr>
      <w:r>
        <w:rPr/>
        <w:footnoteRef/>
        <w:tab/>
        <w:t>Überlieferung der Ältesten (Vorfahren) Dabei handelt es sich um Bräuche und Regeln, die sich auf der Grundlage des Gesetzes ausgebildet hatten und irgendwann als Norm galten, ohne vom Gesetz direkt vorgeschrieben zu sein. Lange ging man davon aus, dass es sich beim Händewaschen um eine rein pharisäische Lehre handelte, inzwischen weiß man aber, dass die meisten Juden diesem Brauch tatsächlich folgten (Collins 2007, 345f.; vgl. France 2002, 280ff.).</w:t>
      </w:r>
    </w:p>
  </w:footnote>
  <w:footnote w:id="1604">
    <w:p>
      <w:pPr>
        <w:pStyle w:val="Funote"/>
        <w:rPr/>
      </w:pPr>
      <w:r>
        <w:rPr/>
        <w:footnoteRef/>
        <w:tab/>
        <w:t>um (Damit, weil) … festzuhalten Ptz. conj., als Nebensatz aufgelöst. Man kann diese Angabe (mit um) final verstehen (vgl. ZÜR) oder sie als getrennten Satz modal übersetzen: „Damit halten sie an der Überlieferung der Ältesten fest.“ (vgl. NGÜ) Auch eine kausale Deutung ist möglich (NSS, MEN).</w:t>
      </w:r>
    </w:p>
  </w:footnote>
  <w:footnote w:id="1605">
    <w:p>
      <w:pPr>
        <w:pStyle w:val="Funote"/>
        <w:rPr/>
      </w:pPr>
      <w:r>
        <w:rPr/>
        <w:footnoteRef/>
        <w:tab/>
        <w:t>nach der Rückkehr vom Markt W. „vom Markt“, ein griechisches Idiom. Möglich wäre vielleicht auch „essen nichts, was vom Markt kommt, ohne es gewaschen zu haben“ (NSS).</w:t>
      </w:r>
    </w:p>
  </w:footnote>
  <w:footnote w:id="1606">
    <w:p>
      <w:pPr>
        <w:pStyle w:val="Funote"/>
        <w:rPr/>
      </w:pPr>
      <w:r>
        <w:rPr/>
        <w:footnoteRef/>
        <w:tab/>
        <w:t>und Sitzpolstern (Betten) Dabei handelt es sich um jedes Möbelstück, das als Bett oder Liege auch als Sitzgelegenheit zum Essen diente. Das waren bei ärmeren Leuten oft einfache Matten oder Teppiche, bei Reicheren auch Möbelstücke mit Beinen, wie man sie heute als Betten und Sofas kennt. Nach Lev 15 waren auch unrein gewordene Betten zu waschen (Collins 2007, 349; LN 6.106). Die Übersetzung „Sitzpolster“ folgt GNB, NGÜ.</w:t>
      </w:r>
    </w:p>
  </w:footnote>
  <w:footnote w:id="1607">
    <w:p>
      <w:pPr>
        <w:pStyle w:val="Funote"/>
        <w:rPr/>
      </w:pPr>
      <w:r>
        <w:rPr/>
        <w:footnoteRef/>
        <w:tab/>
        <w:t xml:space="preserve">da (und) Nach der Parenthese in Vv. 3f nimmt Markus den Satz wieder auf, tut es aber „auf eine Weise, als hätte er vergessen, dass er schon vor der Parenthese einen Satz begonnen hatte und setzt also ein mit </w:t>
      </w:r>
      <w:r>
        <w:rPr>
          <w:lang w:val="el-GR"/>
        </w:rPr>
        <w:t>καὶ</w:t>
      </w:r>
      <w:r>
        <w:rPr/>
        <w:t>, das hier eigentlich gar nicht nötig wäre.“ (Cranfield 1959, S. 234f). In den selben Phänomenkomplex gehört wohl, dass auch die Wendung „Parisäer und Schriftgelehrte“, mit der der Satz einsetzte, hier extra noch mal gesetzt wird.</w:t>
      </w:r>
    </w:p>
  </w:footnote>
  <w:footnote w:id="1608">
    <w:p>
      <w:pPr>
        <w:pStyle w:val="Funote"/>
        <w:rPr/>
      </w:pPr>
      <w:r>
        <w:rPr/>
        <w:footnoteRef/>
        <w:tab/>
        <w:t>[mit] unreinen Händen Instr. Dativ.</w:t>
      </w:r>
    </w:p>
  </w:footnote>
  <w:footnote w:id="1609">
    <w:p>
      <w:pPr>
        <w:pStyle w:val="Funote"/>
        <w:rPr/>
      </w:pPr>
      <w:r>
        <w:rPr/>
        <w:footnoteRef/>
        <w:tab/>
        <w:t>[mit] den Lippen Instr. Dativ.</w:t>
      </w:r>
    </w:p>
  </w:footnote>
  <w:footnote w:id="1610">
    <w:p>
      <w:pPr>
        <w:pStyle w:val="Funote"/>
        <w:rPr/>
      </w:pPr>
      <w:r>
        <w:rPr/>
        <w:footnoteRef/>
        <w:tab/>
        <w:t>weil sie … lehren Ptz. conj., als kausaler Nebensatz aufgelöst. [als verbindliche] Lehren Gebote von Menschen lehren Im gr. AT steht etwas anders »weil sie Gebote von Menschen und Lehren lehren«. Jesus spitzt das rhetorisch auf den Vorwurf zu, die Vorstellungen von Menschen (nämlich die erwähnte »Überlieferung der Ältesten«) als verbindliche Gebote festzuschreiben – ohne dabei allerdings etwas am Sinn zu ändern. Im Kern geht es bei Jesaja um oberflächliche Religion, die überkommenen Bräuchen und Traditionen folgt, anstatt Gott mit dem Herzen (d.h. aus Überzeugung) zu ehren, wie es der Fall wäre, wenn die Bräuche nicht zur missbräuchlichen Umgehung der Gebote führen würden (vgl. France 2002, 284).</w:t>
      </w:r>
    </w:p>
  </w:footnote>
  <w:footnote w:id="1611">
    <w:p>
      <w:pPr>
        <w:pStyle w:val="Funote"/>
        <w:rPr/>
      </w:pPr>
      <w:r>
        <w:rPr/>
        <w:footnoteRef/>
        <w:tab/>
        <w:t>Gottes Willen (Gesetz, Gebot), W. »das Gebot Gottes«, bezeichnet in diesem Kontext das, was von Gott geboten (und nicht von Menschen vorgeschrieben) wurde (Guelich 1989, 367). Dass Jesaja von Verehrung mit dem Herzen spricht, weist darauf hin, dass er (und auch Jesus mit seinem Zitat) von Gottes Geboten gerade das »Hauptgebot« aus Dtn 6,4-6 im Blick haben. Israel sollte danach »JHWH, deinen Gott mit deinem ganzen Herzen und deinem ganzen Sein und deiner ganzen Kraft lieben« und Gottes Gebote im Herzen bewahren (Pesch 1976, 373).</w:t>
      </w:r>
    </w:p>
  </w:footnote>
  <w:footnote w:id="1612">
    <w:p>
      <w:pPr>
        <w:pStyle w:val="Funote"/>
        <w:rPr/>
      </w:pPr>
      <w:r>
        <w:rPr/>
        <w:footnoteRef/>
        <w:tab/>
        <w:t>Während ihr … außer Acht lasst (preisgebt, verlasst, ablehnt) Modales Ptz. conj., als Nebensatz mit »während« und »[stattdessen (gleichzeitig)]« aufgelöst. Das Verb kann in diesem Kontext verschiedenes bedeuten: »außer Acht lassen« (NSS, NGÜ, MEN, ZÜR), »verlassen« (LUT), »preisgeben« (ELB, EÜ), oder sogar »ablehnen« (LN 31.63). GNB etwas freier, aber treffend »zur Seite schieben«. Es geht hier wenige um eine absichtliche Missachtung als um eine bewusste Ablehnung oder Umdeutung der Gebote (V. 9 und 13; France 2002, 285).</w:t>
      </w:r>
    </w:p>
  </w:footnote>
  <w:footnote w:id="1613">
    <w:p>
      <w:pPr>
        <w:pStyle w:val="Funote"/>
        <w:rPr/>
      </w:pPr>
      <w:r>
        <w:rPr/>
        <w:footnoteRef/>
        <w:tab/>
        <w:t xml:space="preserve">er fuhr fort (V. 9 und 20) übersetzt das Imperfekt </w:t>
      </w:r>
      <w:r>
        <w:rPr>
          <w:lang w:val="el-GR"/>
        </w:rPr>
        <w:t>ἔλεγεν</w:t>
      </w:r>
      <w:r>
        <w:rPr/>
        <w:t>. Der durative Aspekt zeigt hier wohl an, dass Jesus weiterspricht. Vgl. die ähnliche Übersetzung des Imperfekts in V. 14.</w:t>
      </w:r>
    </w:p>
  </w:footnote>
  <w:footnote w:id="1614">
    <w:p>
      <w:pPr>
        <w:pStyle w:val="Funote"/>
        <w:rPr/>
      </w:pPr>
      <w:r>
        <w:rPr/>
        <w:footnoteRef/>
        <w:tab/>
        <w:t>muss sterben W. etwa »[dem] Tod sterben« (Dativ+Imperativ 3. Sg.). Der Dativ soll hier den hebräischen Inf. abs. nachbilden und in der gleichen Weise die Verstärkung der Aussage bewirken (Siebenthal 2011, §189c). Er lässt sich nicht direkt übersetzen, höchstens mit der etwas staubigen Formulierung »des Todes sterben« (LUT, ELB, MEN). Etwas freier, aber sinngemäß »muss mit dem Tod bestraft werden« (NSS, EÜ, GNB, NGÜ).</w:t>
      </w:r>
    </w:p>
  </w:footnote>
  <w:footnote w:id="1615">
    <w:p>
      <w:pPr>
        <w:pStyle w:val="Funote"/>
        <w:rPr/>
      </w:pPr>
      <w:r>
        <w:rPr/>
        <w:footnoteRef/>
        <w:tab/>
        <w:t>Korban Dabei handelt es sich um ein aus dem AT geläufiges hebräisches Wort (</w:t>
      </w:r>
      <w:r>
        <w:rPr>
          <w:rtl w:val="true"/>
          <w:lang w:bidi="he-IL"/>
        </w:rPr>
        <w:t>קָרְבָּן</w:t>
      </w:r>
      <w:r>
        <w:rPr/>
        <w:t>), ein terminus technicus für »Opfergabe« (Guelich 1989, 368). Nach dem, was heute bekannt ist, war es nach der beschriebenen Sitte irgendwie möglich, das als Opfergabe Deklarierte am Ende selbst zu behalten. Offenbar war es nicht erforderlich, den Gegenstand direkt zu spenden. Das Gelübde wurde dann unter Verweis auf das Verbot im Gesetz, einen Schwur zu brechen, eingehalten (Num 30,2; Dtn 23,21-23; Lev 5,14-16). In der Praxis diente dieser Eid dann nur dazu, solche »Opfergaben« anderen vorzuenthalten. France erwähnt als Beispiel Grundbesitz, der auch nach der Korban-Weihe weiter im Besitz des Sohnes war, ohne dass der Vater ihn betreten durfte (France 2002, 286f.; Collins 2007, 351ff.).</w:t>
      </w:r>
    </w:p>
  </w:footnote>
  <w:footnote w:id="1616">
    <w:p>
      <w:pPr>
        <w:pStyle w:val="Funote"/>
        <w:rPr/>
      </w:pPr>
      <w:r>
        <w:rPr/>
        <w:footnoteRef/>
        <w:tab/>
        <w:t>Anakoluth (z.B. Kleist 1937, S. 208). Jesus hat sich hier offenbar so in Rage geredet, dass er nicht einmal seinen begonnenen Satz zu Ende führt.</w:t>
      </w:r>
    </w:p>
  </w:footnote>
  <w:footnote w:id="1617">
    <w:p>
      <w:pPr>
        <w:pStyle w:val="Funote"/>
        <w:rPr/>
      </w:pPr>
      <w:r>
        <w:rPr/>
        <w:footnoteRef/>
        <w:tab/>
        <w:t>erlaubt bzw. lasst zu, dass Der Satz lässt sich auf zwei Weisen übersetzen: (1) »Ihr lasst nicht zu, dass er...« oder (2) »Ihr lasst zu, dass er nicht...«. Im ersten Fall wäre gemeint, dass die Pharisäer dem Mann nicht erlauben würden, sein Gelübde rückgängig zu machen, um doch noch seinen Eltern zu helfen (EÜ, NGÜ, LUT, ELB, MEN; die meisten Kommentare). Im zweiten Fall wäre gemeint, dass sie den Mann damit davonkommen lassen, nicht mehr für seine Eltern zu sorgen (BB, B/N, KAM, NL, ZÜR; Thüsing 2011). GN kombiniert beide Möglichkeiten: »dann braucht er für seine Eltern nichts mehr zu tun. Ja, ihr erlaubt es ihm dann nicht einmal mehr.« Die gewählte Übersetzung scheint vom Griechischen her etwas wahrscheinlicher zu sein.</w:t>
      </w:r>
    </w:p>
  </w:footnote>
  <w:footnote w:id="1618">
    <w:p>
      <w:pPr>
        <w:pStyle w:val="Funote"/>
        <w:rPr/>
      </w:pPr>
      <w:r>
        <w:rPr/>
        <w:footnoteRef/>
        <w:tab/>
        <w:t>nicht mehr, etwas W. »nicht mehr, nichts«, eine doppelte Verneinung, die den Effekt der Aussage (s. die vorige Fußnote) verstärkt.</w:t>
      </w:r>
    </w:p>
  </w:footnote>
  <w:footnote w:id="1619">
    <w:p>
      <w:pPr>
        <w:pStyle w:val="Funote"/>
        <w:rPr/>
      </w:pPr>
      <w:r>
        <w:rPr/>
        <w:footnoteRef/>
        <w:tab/>
        <w:t>[für seinen] Vater oder [seine] Mutter Instr. Dat. (2x).</w:t>
      </w:r>
    </w:p>
  </w:footnote>
  <w:footnote w:id="1620">
    <w:p>
      <w:pPr>
        <w:pStyle w:val="Funote"/>
        <w:rPr/>
      </w:pPr>
      <w:r>
        <w:rPr/>
        <w:footnoteRef/>
        <w:tab/>
        <w:t>Gottes Wort steht nicht für die Heilige Schrift, wie man aus der beliebten christlichen Wendung schließen könnte. Im NT ist sie noch nicht üblich. Jesus bezieht sich also auf eine bestimmte Aussage der Schrift. Dabei dürfte es sich um das zuvor zitierte 5. Gebot und die andere Stelle handeln, aus denen hervorgeht, wie Vater und Mutter zu behandeln sind (France 2002, 288).</w:t>
      </w:r>
    </w:p>
  </w:footnote>
  <w:footnote w:id="1621">
    <w:p>
      <w:pPr>
        <w:pStyle w:val="Funote"/>
        <w:rPr/>
      </w:pPr>
      <w:r>
        <w:rPr/>
        <w:footnoteRef/>
        <w:tab/>
        <w:t>so hebt ihr auf bzw. indem ihr aufhebt Modales Ptz. conj., hier als separater Hauptsatz mit so aufgelöst. Dieser Satz dient wohl als zusammenfassende Wiederholung der nun begründeten Behauptung (so, »damit« o.ä.): »Dieses Beispiel zeigt, dass...« (so die meisten Übersetzungen). Die Aussage könnte auch angeben, auf welche Weise die Pharisäer den Mann nichts mehr für seine Eltern tun lassen (»indem«; so ELB).</w:t>
      </w:r>
    </w:p>
  </w:footnote>
  <w:footnote w:id="1622">
    <w:p>
      <w:pPr>
        <w:pStyle w:val="Funote"/>
        <w:rPr/>
      </w:pPr>
      <w:r>
        <w:rPr/>
        <w:footnoteRef/>
        <w:tab/>
        <w:t>er rief ... und Ptz. conj. Aor., temporal-modal, beigeordnet übersetzt.</w:t>
      </w:r>
    </w:p>
  </w:footnote>
  <w:footnote w:id="1623">
    <w:p>
      <w:pPr>
        <w:pStyle w:val="Funote"/>
        <w:rPr/>
      </w:pPr>
      <w:r>
        <w:rPr/>
        <w:footnoteRef/>
        <w:tab/>
        <w:t xml:space="preserve">sprach nun übersetzt das Imperfekt </w:t>
      </w:r>
      <w:r>
        <w:rPr>
          <w:lang w:val="el-GR"/>
        </w:rPr>
        <w:t>ἔλεγεν</w:t>
      </w:r>
      <w:r>
        <w:rPr/>
        <w:t>. Der durative Aspekt zeigt hier wohl an, dass Jesus weiterspricht, und zwar jetzt an die Menge gewandt. Vgl. die ähnliche Übersetzung des Imperfekts in V. 9 und 20.</w:t>
      </w:r>
    </w:p>
  </w:footnote>
  <w:footnote w:id="1624">
    <w:p>
      <w:pPr>
        <w:pStyle w:val="Funote"/>
        <w:rPr/>
      </w:pPr>
      <w:r>
        <w:rPr/>
        <w:footnoteRef/>
        <w:tab/>
        <w:t>und versteht Möglich wäre eine finale Übersetzung des zweiten Imperativs wie NGÜ: »damit ihr versteht, [was ich sage]« Der Übersetzer hat das vielleicht als eine aus dem Semitischen entlehnte Formulierung verstanden. MEN übersetzt ebenso sinngemäß »und versucht zu verstehen«.</w:t>
      </w:r>
    </w:p>
  </w:footnote>
  <w:footnote w:id="1625">
    <w:p>
      <w:pPr>
        <w:pStyle w:val="Funote"/>
        <w:rPr/>
      </w:pPr>
      <w:r>
        <w:rPr/>
        <w:footnoteRef/>
        <w:tab/>
        <w:t>Nichts, was … hineingelangt Subst. oder umschreibendes Partizip, hier als umschr. Ptz. verstanden (wie die meisten Übersetzungen). Als subst. Ptz. übersetzt und folglich als Relativsatz aufgelöst (vgl. LUT, ELB), würde der Satz lauten: »Es gibt nichts, was von außerhalb des Menschen in ihn hineingelangt, das ihn verunreinigen kann.« bzw. »Außerhalb des Menschen gibt es nichts, was...« (für den zweiten Versteil s. die folgende Fußnote). Von der Syntax her ist es auch möglich, das Ptz. wie die meisten englischen Übersetzungen als Ptz. conj. zu übersetzen. Das temporal-konditionale (wenn) oder modale (indem) Ptz. conj. wäre als Nebensatz aufzulösen: »Außerhalb des Menschen gibt es nichts, was ihn verunreinigen kann, wenn (indem) es in ihn hineingelangt« bzw. »Es gibt nichts, was …, wenn es von außen...« (vgl. z.B. ESV, NASB, ähnlich wohl SLT). (Vgl. NSS.)</w:t>
      </w:r>
    </w:p>
  </w:footnote>
  <w:footnote w:id="1626">
    <w:p>
      <w:pPr>
        <w:pStyle w:val="Funote"/>
        <w:rPr/>
      </w:pPr>
      <w:r>
        <w:rPr/>
        <w:footnoteRef/>
        <w:tab/>
        <w:t>was herauskommt und das verunreinigt Subst. Ptz. (2x), als Relativsatz aufgelöst. Man könnte das zweite Partizip auch als umschreibendes Partizip übersetzen (dazu s. die vorige Fußnote): »Vielmehr verunreinigt den Menschen das, was aus dem Menschen herauskommt.«</w:t>
      </w:r>
    </w:p>
  </w:footnote>
  <w:footnote w:id="1627">
    <w:p>
      <w:pPr>
        <w:pStyle w:val="Funote"/>
        <w:rPr/>
      </w:pPr>
      <w:r>
        <w:rPr/>
        <w:footnoteRef/>
        <w:tab/>
        <w:t>Textkritik: Dieser Vers fehlt in den frühesten bekannten Handschriften; genaueres im Kommentar</w:t>
      </w:r>
    </w:p>
  </w:footnote>
  <w:footnote w:id="1628">
    <w:p>
      <w:pPr>
        <w:pStyle w:val="Funote"/>
        <w:rPr/>
      </w:pPr>
      <w:r>
        <w:rPr/>
        <w:footnoteRef/>
        <w:tab/>
        <w:t>sagte Historisches Präsens.</w:t>
      </w:r>
    </w:p>
  </w:footnote>
  <w:footnote w:id="1629">
    <w:p>
      <w:pPr>
        <w:pStyle w:val="Funote"/>
        <w:rPr/>
      </w:pPr>
      <w:r>
        <w:rPr/>
        <w:footnoteRef/>
        <w:tab/>
        <w:t>Abtritt (Senkgrube, Latrine) Dieser Begriff bezeichnet die Vorläufer heutiger Toiletten. Einige Übersetzungen gehen sehr delikat vor und glätten die Ausdrucksweise: »wird wieder ausgeschieden« (EÜ, GNB, NGÜ), MEN, SLT »auf dem natürlichen Wege«. ELB »in den Abort«, LUT, ZÜR »in die Grube«.</w:t>
      </w:r>
    </w:p>
  </w:footnote>
  <w:footnote w:id="1630">
    <w:p>
      <w:pPr>
        <w:pStyle w:val="Funote"/>
        <w:rPr/>
      </w:pPr>
      <w:r>
        <w:rPr/>
        <w:footnoteRef/>
        <w:tab/>
        <w:t xml:space="preserve">So erklärte [Jesus] alle Speisen für rein Alternativ „...ausgeschieden wird, was alle Speisen rein macht.“ Dieser abhängige Satz hat keinen offensichtlichen Bezug zum Kontext. Am wahrscheinlichsten ist, dass sich das modale Ptz. conj. auf </w:t>
      </w:r>
      <w:r>
        <w:rPr>
          <w:lang w:val="el-GR"/>
        </w:rPr>
        <w:t>λέγει</w:t>
      </w:r>
      <w:r>
        <w:rPr/>
        <w:t xml:space="preserve"> „er sagte“ (V. 18) bezieht (so alle herangezogenen Ausleger und die meisten Übersetzungen). Es ist dann ein Kommentar des Evangelisten. Nach dem alternativen Verständnis handelt es sich um eine syntaktisch schwierige Ergänzung zu dem Vergleich des Essens, das den Körper durchläuft und so rein wird. Allerdings würde Jesus dann vom Neutrum Plural in den Nominativ Plural wechseln (France 2002, 291f.). Diese Deutung findet sich in der Interpunktion von NA28 sowie bei SLT und MEN. Diese Übersetzungen beziehen das Partizip offenbar attributiv auf „Abtritt“ und geben dieses Wort dann sehr frei wieder. MEN: „...und auf dem natürlichen Wege, der alle Speisen reinigt, wieder ausgeschieden wird?“</w:t>
      </w:r>
    </w:p>
  </w:footnote>
  <w:footnote w:id="1631">
    <w:p>
      <w:pPr>
        <w:pStyle w:val="Funote"/>
        <w:rPr/>
      </w:pPr>
      <w:r>
        <w:rPr/>
        <w:footnoteRef/>
        <w:tab/>
        <w:t>Was … herauskommt Subst. Ptz., als Relativsatz aufgelöst.</w:t>
      </w:r>
    </w:p>
  </w:footnote>
  <w:footnote w:id="1632">
    <w:p>
      <w:pPr>
        <w:pStyle w:val="Funote"/>
        <w:rPr/>
      </w:pPr>
      <w:r>
        <w:rPr/>
        <w:footnoteRef/>
        <w:tab/>
        <w:t>sexuelle Eskapaden (Unzüchtigkeiten), Diebstähle, Morde, V. 22 Seitensprünge (Ehebrüche), Begehrlichkeiten (Gelüste, Machthunger), Bosheiten Diese ersten sechs Begriffe stehen im Plural. Der Plural von abstrakten Begriffen bezeichnet im Griechischen oft deren konkrete Erscheinungsformen (BDR §142; ad loc. Grosvenor/Zerwick); sehr gut Dschulnigg 2007: »Hurereien, Diebereien, Morde, Ehebrüche, Habgierigkeiten, Schlechtigkeiten...« Auf diese Weise folgen hier in Vv. 21f aufeinander sechs konkrete Ausprägungen der Schlechtigkeit und sechs »moralische Defekte« (vgl. Cranfield 1959, S. 241).</w:t>
      </w:r>
    </w:p>
  </w:footnote>
  <w:footnote w:id="1633">
    <w:p>
      <w:pPr>
        <w:pStyle w:val="Funote"/>
        <w:rPr/>
      </w:pPr>
      <w:r>
        <w:rPr/>
        <w:footnoteRef/>
        <w:tab/>
        <w:t>Begehrlichkeiten (Gelüste, Machthunger) »Habgier/Gier« oder neutraler »Begehren« oder »Ehrgeiz« ist die normale Bedeutung dieses Worts. Im Markusevangelium bezeichnet es vielleicht gerade (negativ konnotierten) Ehrgeiz, also Machthunger (Collins 2007, 358f.).</w:t>
      </w:r>
    </w:p>
  </w:footnote>
  <w:footnote w:id="1634">
    <w:p>
      <w:pPr>
        <w:pStyle w:val="Funote"/>
        <w:rPr/>
      </w:pPr>
      <w:r>
        <w:rPr/>
        <w:footnoteRef/>
        <w:tab/>
        <w:t>ein böses Auge Oder »ein schlimmes (d.h. erkranktes) Auge« (Collins 2007, 361). Meist: Neid, neidische Blicke, Missgunst (LN 88.165); alternativ Geiz (LN 57.108). Collins glaubt, aus Mk 15,10 könne man schließen, dass die erste Deutung im Blick ist (Collins 2007, 361). Dem wird man sich anschließen müssen; das »böse Auge« i.S.v. »Missgunst« ist im Rabbinischen ein häufiges Idiom (Stellen: B/S S. 14</w:t>
      </w:r>
    </w:p>
  </w:footnote>
  <w:footnote w:id="1635">
    <w:p>
      <w:pPr>
        <w:pStyle w:val="Funote"/>
        <w:rPr/>
      </w:pPr>
      <w:r>
        <w:rPr/>
        <w:footnoteRef/>
        <w:tab/>
        <w:t>Tyrus war ein Stadtstaat, der im Norden an Galiläa angrenzte. Die Bewohner der Region waren Nichtjuden. Ein zeitgenössischer jüdischer Autor beschreibt sie sinngemäß als „unsere Intimfeinde“ (France 2002, 297).</w:t>
      </w:r>
    </w:p>
  </w:footnote>
  <w:footnote w:id="1636">
    <w:p>
      <w:pPr>
        <w:pStyle w:val="Funote"/>
        <w:rPr/>
      </w:pPr>
      <w:r>
        <w:rPr/>
        <w:footnoteRef/>
        <w:tab/>
        <w:t>brach er auf und sowie er begab sich … und Ptz. conj., beigeordnet aufgelöst.</w:t>
      </w:r>
    </w:p>
  </w:footnote>
  <w:footnote w:id="1637">
    <w:p>
      <w:pPr>
        <w:pStyle w:val="Funote"/>
        <w:rPr/>
      </w:pPr>
      <w:r>
        <w:rPr/>
        <w:footnoteRef/>
        <w:tab/>
        <w:t>von einem unreinen Geist besessen war W. „einen unreinen Geist hatte“</w:t>
      </w:r>
    </w:p>
  </w:footnote>
  <w:footnote w:id="1638">
    <w:p>
      <w:pPr>
        <w:pStyle w:val="Funote"/>
        <w:rPr/>
      </w:pPr>
      <w:r>
        <w:rPr/>
        <w:footnoteRef/>
        <w:tab/>
        <w:t>kam … und Ptz. conj., temporal, beigeordnet aufgelöst.</w:t>
      </w:r>
    </w:p>
  </w:footnote>
  <w:footnote w:id="1639">
    <w:p>
      <w:pPr>
        <w:pStyle w:val="Funote"/>
        <w:rPr/>
      </w:pPr>
      <w:r>
        <w:rPr/>
        <w:footnoteRef/>
        <w:tab/>
        <w:t>Nichtjüdin (Griechin), der Herkunft [nach] eine Syrophönizierin Im Griechischen steht zwar Griechin, aber das ist hier gemeint als Abgrenzung von den Juden (vgl. Guelich 1989, 385). Das zeigt auch die weitere Einordnung in die Gegend Syrophönizien. Das war damals die Bezeichnung für Südsyrien (Collins 2007, 366) und meint hier „einheimisch“ (Gnilka 1989, S. 291f; Theißen 1990, S. 130). Der Herkunft [nach]: Dat. respectus.</w:t>
      </w:r>
    </w:p>
  </w:footnote>
  <w:footnote w:id="1640">
    <w:p>
      <w:pPr>
        <w:pStyle w:val="Funote"/>
        <w:rPr/>
      </w:pPr>
      <w:r>
        <w:rPr/>
        <w:footnoteRef/>
        <w:tab/>
        <w:t>sie bat ihn hartnäckig (immer wieder) Das Verb steht im Imperfekt und wird deshalb hier entweder durativ („bat ihn fortwährend“; d.h. „hartnäckig“) oder iterativ („bat ihn immer wieder“) verwendet. Es steht häufig bei (zunächst) erfolglosen Bitten oder Forderungen (Siebenthal 2001, §195g). Etwas freier könnte man die Funktion des Imperfekts auch mit „sie ließ nicht locker“ oder „sie drängte auf ihn ein“ ausdrücken.</w:t>
      </w:r>
    </w:p>
  </w:footnote>
  <w:footnote w:id="1641">
    <w:p>
      <w:pPr>
        <w:pStyle w:val="Funote"/>
        <w:rPr/>
      </w:pPr>
      <w:r>
        <w:rPr/>
        <w:footnoteRef/>
        <w:tab/>
        <w:t>die Krümel W. »von den Krümeln«, eine Präpositionalphrase, die den partitiven Genitiv ersetzt (NSS).</w:t>
      </w:r>
    </w:p>
  </w:footnote>
  <w:footnote w:id="1642">
    <w:p>
      <w:pPr>
        <w:pStyle w:val="Funote"/>
        <w:rPr/>
      </w:pPr>
      <w:r>
        <w:rPr/>
        <w:footnoteRef/>
        <w:tab/>
        <w:t>Weil du das gesagt hast W. »Aufgrund dieses Wortes/dieser Äußerung bzw. Antwort«</w:t>
      </w:r>
    </w:p>
  </w:footnote>
  <w:footnote w:id="1643">
    <w:p>
      <w:pPr>
        <w:pStyle w:val="Funote"/>
        <w:rPr/>
      </w:pPr>
      <w:r>
        <w:rPr/>
        <w:footnoteRef/>
        <w:tab/>
        <w:t>geh D.h. »Du kannst gehen« (NGÜ) oder »Geh nach Hause« (EÜ, GNB). Vgl. 10,52.</w:t>
      </w:r>
    </w:p>
  </w:footnote>
  <w:footnote w:id="1644">
    <w:p>
      <w:pPr>
        <w:pStyle w:val="Funote"/>
        <w:rPr/>
      </w:pPr>
      <w:r>
        <w:rPr/>
        <w:footnoteRef/>
        <w:tab/>
        <w:t>ging zurück … und W. „ging weg“. Ptz. conj., beigeordnet aufgelöst.</w:t>
      </w:r>
    </w:p>
  </w:footnote>
  <w:footnote w:id="1645">
    <w:p>
      <w:pPr>
        <w:pStyle w:val="Funote"/>
        <w:rPr/>
      </w:pPr>
      <w:r>
        <w:rPr/>
        <w:footnoteRef/>
        <w:tab/>
        <w:t>reiste … und Ptz. conj., beigeordnet aufgelöst.</w:t>
      </w:r>
    </w:p>
  </w:footnote>
  <w:footnote w:id="1646">
    <w:p>
      <w:pPr>
        <w:pStyle w:val="Funote"/>
        <w:rPr/>
      </w:pPr>
      <w:r>
        <w:rPr/>
        <w:footnoteRef/>
        <w:tab/>
        <w:t>Die beschriebene Route ist sehr merkwürdig. Blickt man einmal auf diese Karte, reist Jesus von Tyrus („Tyre“; sehr weit im Nordwesten am Meeresufer) über Sidon (ganz im Norden) an den See Gennesareth („Sea of Galilee“); ein gewaltiger Umweg also. Noch dazu liegt laut dem Text entweder (1) der See Gennesaret „mitten im“ Gebiet der Dekapolis (Zentrum der Karte) - was geographisch falsch wäre - oder Jesus zieht (2) „mitten durch das Gebiet der Dekapolis“ an den See, macht also einen noch gewaltigerer Umweg. Am wahrscheinlichsten ist daher (3), dass Markus mit „Gebiet der Dekapolis“ vage auf die (überwiegend heidnische) Ostseite des Sees Bezug nimmt und daher Jesus also „an den See Gennesaret, mitten in das Gebiet der Dekapolis“ ziehen lässt, also „an die Ostseite des Sees Gennesaret“ (Reuber 2007, S. 112; Schenke 2005, S. 190 u.a.). Die Route bleibt dennoch merkwürdig; es ist häufig vorgeschlagen worden, dass dies ein Indiz für Markus' mangelhafte Ortskenntnis sei.</w:t>
      </w:r>
    </w:p>
  </w:footnote>
  <w:footnote w:id="1647">
    <w:p>
      <w:pPr>
        <w:pStyle w:val="Funote"/>
        <w:rPr/>
      </w:pPr>
      <w:r>
        <w:rPr/>
        <w:footnoteRef/>
        <w:tab/>
        <w:t xml:space="preserve">einen Taubstummen W. „einen Tauben/Taubstummen und Sprachgestörten/Stummen“. Der Mann war wohl taub geboren. Für Menschen mit dieser Behinderung ist es kaum möglich, normal sprechen zu lernen. Das Wort </w:t>
      </w:r>
      <w:r>
        <w:rPr>
          <w:lang w:val="el-GR"/>
        </w:rPr>
        <w:t>μογιλάλος</w:t>
      </w:r>
      <w:r>
        <w:rPr/>
        <w:t xml:space="preserve"> „sprachgestört, stumm“ ist sehr selten. Da der Mann nach der Heilung in V. 35 „richtig zu sprechen“ beginnt, heißt es hier „sprachgestört“. Dieser Begriff kommt in der Bibel nur noch in Jes 35,6 LXX vor. Diese Prophezeiung wird auch in V. 37 wieder in den Blick kommen. Markus spielt mit diesem Heilungsbericht also darauf an, dass diese Prophetie mit Jesus in Erfüllung gehen könnte (vgl. Guelich 1989, 394; Collins 2007, 370).</w:t>
      </w:r>
    </w:p>
  </w:footnote>
  <w:footnote w:id="1648">
    <w:p>
      <w:pPr>
        <w:pStyle w:val="Funote"/>
        <w:rPr/>
      </w:pPr>
      <w:r>
        <w:rPr/>
        <w:footnoteRef/>
        <w:tab/>
        <w:t>ihm die Hand aufzulegen bedeutet offenbar, ihn dadurch zu heilen (Collins 2007, 370).</w:t>
      </w:r>
    </w:p>
  </w:footnote>
  <w:footnote w:id="1649">
    <w:p>
      <w:pPr>
        <w:pStyle w:val="Funote"/>
        <w:rPr/>
      </w:pPr>
      <w:r>
        <w:rPr/>
        <w:footnoteRef/>
        <w:tab/>
        <w:t>nahm beiseite … und sowie spuckte er und Ptz. conj., beigeordnet aufgelöst. Markus überliefert nicht, wozu Jesus spuckte. Die Vorstellung vom Speichel als Heilmittel ist in der Antike aber sehr weit verbreitet (einige schöne Beispiele aus der arabischen Welt gibt Reinfried 1915, S. 39.60. Für die römische Welt vgl. Sueton, Vesp. VII und Tacitus, Hist. IV,81; für das NT vergleiche Mk 8,22-26 und Joh 9,1-7). In Israel war der Brauch verbreitet, dass man, wenn man eine Wunde heilen wollte, zuerst (a) eine Schriftstelle oder einen Zauberspruch rezitierte, manchmal zusätzlich (b) den Gottesnamen aussprach und dann (c) direkt auf den kranken Körperteil ausspie (s. B/S S. 15-17). Hier liegt wohl eine Variante dieses Brauchs vor: Jesus speit sich (c) auf den Finger, berührt damit den kranken Körperteil, blickt dann zum Himmel (Gnilka 1978, S. 297: „Der Aufblick zum Himmel [...] ist in einer Wundergeschichte stilgemäßer Ausdruck für das Einholen von übermenschlicher Kraft, ebenso das Seufzen des Thaumaturgen.“; ebenso Pesch 1976; vgl. auch Marcus 2008) und (a) rezitiert dann noch einen Spruch (Theißen 1990, S. 252: „Machtwort“). Das Ptz. conj. hat dann modale Sinnrichtung (NSS).</w:t>
      </w:r>
    </w:p>
  </w:footnote>
  <w:footnote w:id="1650">
    <w:p>
      <w:pPr>
        <w:pStyle w:val="Funote"/>
        <w:rPr/>
      </w:pPr>
      <w:r>
        <w:rPr/>
        <w:footnoteRef/>
        <w:tab/>
        <w:t>blickte er ... auf und Ptz. conj., beigeordnet aufgelöst.</w:t>
      </w:r>
    </w:p>
  </w:footnote>
  <w:footnote w:id="1651">
    <w:p>
      <w:pPr>
        <w:pStyle w:val="Funote"/>
        <w:rPr/>
      </w:pPr>
      <w:r>
        <w:rPr/>
        <w:footnoteRef/>
        <w:tab/>
        <w:t>„</w:t>
      </w:r>
      <w:r>
        <w:rPr/>
        <w:t>Effata!“ Das ist wahrscheinlich eine nicht 100% genau überlieferte aramäische Form (France 2002, 304; Guelich 1989, 395f.).</w:t>
      </w:r>
    </w:p>
  </w:footnote>
  <w:footnote w:id="1652">
    <w:p>
      <w:pPr>
        <w:pStyle w:val="Funote"/>
        <w:rPr/>
      </w:pPr>
      <w:r>
        <w:rPr/>
        <w:footnoteRef/>
        <w:tab/>
        <w:t>Hemmung W. „Fessel“ (so die meisten Übersetzungen), MEN: „Gebundenheit“. Es handelt sich um eine übertragene Bedeutungserweiterung von „Fessel“, die hier die Einschränkung der Sprachfertigkeit bezeichnet (LN 23.156).</w:t>
      </w:r>
    </w:p>
  </w:footnote>
  <w:footnote w:id="1653">
    <w:p>
      <w:pPr>
        <w:pStyle w:val="Funote"/>
        <w:rPr/>
      </w:pPr>
      <w:r>
        <w:rPr/>
        <w:footnoteRef/>
        <w:tab/>
        <w:t xml:space="preserve">konnte richtig sprechen (Imperfekt) Das Verb bezeichnet hier die Fähigkeit, sprechen zu können (BA </w:t>
      </w:r>
      <w:r>
        <w:rPr>
          <w:lang w:val="el-GR"/>
        </w:rPr>
        <w:t>λαλέω</w:t>
      </w:r>
      <w:r>
        <w:rPr/>
        <w:t>, 2a</w:t>
      </w:r>
      <w:r>
        <w:rPr>
          <w:lang w:val="el-GR"/>
        </w:rPr>
        <w:t>α</w:t>
      </w:r>
      <w:r>
        <w:rPr/>
        <w:t>; NSS).</w:t>
      </w:r>
    </w:p>
  </w:footnote>
  <w:footnote w:id="1654">
    <w:p>
      <w:pPr>
        <w:pStyle w:val="Funote"/>
        <w:rPr/>
      </w:pPr>
      <w:r>
        <w:rPr/>
        <w:footnoteRef/>
        <w:tab/>
        <w:t>und sagten Ptz. conj., beigeordnet aufgelöst.</w:t>
      </w:r>
    </w:p>
  </w:footnote>
  <w:footnote w:id="1655">
    <w:p>
      <w:pPr>
        <w:pStyle w:val="Funote"/>
        <w:rPr/>
      </w:pPr>
      <w:r>
        <w:rPr/>
        <w:footnoteRef/>
        <w:tab/>
        <w:t>[Status: Zuverlässig]</w:t>
      </w:r>
    </w:p>
  </w:footnote>
  <w:footnote w:id="1656">
    <w:p>
      <w:pPr>
        <w:pStyle w:val="Funote"/>
        <w:rPr/>
      </w:pPr>
      <w:r>
        <w:rPr/>
        <w:footnoteRef/>
        <w:tab/>
        <w:t>rief er zu sich und Ptz. conj., beigeordnet aufgelöst.</w:t>
      </w:r>
    </w:p>
  </w:footnote>
  <w:footnote w:id="1657">
    <w:p>
      <w:pPr>
        <w:pStyle w:val="Funote"/>
        <w:rPr/>
      </w:pPr>
      <w:r>
        <w:rPr/>
        <w:footnoteRef/>
        <w:tab/>
        <w:t xml:space="preserve">von weit her (von so weit her) W.: »von von fern«; </w:t>
      </w:r>
      <w:r>
        <w:rPr>
          <w:lang w:val="el-GR"/>
        </w:rPr>
        <w:t>ἀπὸ</w:t>
      </w:r>
      <w:r>
        <w:rPr/>
        <w:t xml:space="preserve"> von ist vor </w:t>
      </w:r>
      <w:r>
        <w:rPr>
          <w:lang w:val="el-GR"/>
        </w:rPr>
        <w:t>μακρόθεν</w:t>
      </w:r>
      <w:r>
        <w:rPr/>
        <w:t xml:space="preserve"> von fern grammatisch überflüssig. Solche »Redundanzen« sind typisch für Markus' Stil (vgl. v.a. Neirynck 1988; gut z.B. auch Dschulnigg 1986, S. 46-59) und müssen in vielen Fällen als bedeutungslose Stileigentümlichkeit aufgefasst werden; gelegentlich lassen sie sich aber auch als besonders emphatische Konstruktionen (-&gt; Emphase) erklären (z.B. in Mk 9,2.3.8.21; s. FNn g.l.y.bh). Welche von beiden Deutungen jeweils vorzuziehen ist, ist oft nicht entscheidbar. Auch in unserem Vers lässt sich die Bedeutung der Konstruktion gleichermaßen wahrscheinlich aufzufassen als »{von} von fern« (bedeutungslose Stileigentümlichkeit) oder als »von [so] weit her« (emphatisch). In der LF sollte man sich wegen der Argumentationsstruktur der Vv. 2-3 vielleicht doch eher für die erste Deutung entscheiden: (1) Wenn Jesus die Menschen ohne Essen nach Hause schickt, werden sie vor Hunger unterwegs zusammenbrechen; (2) erschwerend kommt hinzu, dass einige dieser Menschen auch noch von weit her kommen, was dieses Zusammenbrechen gleich noch mal so wahrscheinlich macht. – Im Deutschen würde man eine solche Argumentation wohl eher nicht mit einer emphatischen Konstruktion beschweren.</w:t>
      </w:r>
    </w:p>
  </w:footnote>
  <w:footnote w:id="1658">
    <w:p>
      <w:pPr>
        <w:pStyle w:val="Funote"/>
        <w:rPr/>
      </w:pPr>
      <w:r>
        <w:rPr/>
        <w:footnoteRef/>
        <w:tab/>
        <w:t>Woher LUT, ZÜR übersetzen »Wie«, doch gemeint ist, woher die Jünger das Brot (pars pro toto für Nahrung) nehmen sollen (Pesch 1976, 403; vgl. GNB, NGÜ, EÜ).</w:t>
      </w:r>
    </w:p>
  </w:footnote>
  <w:footnote w:id="1659">
    <w:p>
      <w:pPr>
        <w:pStyle w:val="Funote"/>
        <w:rPr/>
      </w:pPr>
      <w:r>
        <w:rPr/>
        <w:footnoteRef/>
        <w:tab/>
        <w:t>nachdem er ... genommen und ein Dankgebet gesprochen hatte Temporal-modales Ptz. conj. Aor., hier als vorzeitiger temporaler Nebensatz aufgelöst. ein Dankgebet gesprochen W. „gedankt“. Gemeint ist hier jedoch ein Dankgebet.</w:t>
      </w:r>
    </w:p>
  </w:footnote>
  <w:footnote w:id="1660">
    <w:p>
      <w:pPr>
        <w:pStyle w:val="Funote"/>
        <w:rPr/>
      </w:pPr>
      <w:r>
        <w:rPr/>
        <w:footnoteRef/>
        <w:tab/>
        <w:t>Fische (kleine Fische) Hier steht zwar die Diminutivform „Fischlein“, aber es ist unklar, ob Markus damit auch kleine Fische meint. Er benutzt den Diminutiv nämlich gerne – allein in Kap. 7 in V. 25 (Töchterlein) und 27f. (Hündlein)(vgl. Collins 2007, 380). Für kleine Fische entscheiden sich ELB, MEN, NGÜ, GNB.</w:t>
      </w:r>
    </w:p>
  </w:footnote>
  <w:footnote w:id="1661">
    <w:p>
      <w:pPr>
        <w:pStyle w:val="Funote"/>
        <w:rPr/>
      </w:pPr>
      <w:r>
        <w:rPr/>
        <w:footnoteRef/>
        <w:tab/>
        <w:t>die übrig gebliebenen Brocken W. „die Reste der Brocken“ (Gen. part.; NSS)</w:t>
      </w:r>
    </w:p>
  </w:footnote>
  <w:footnote w:id="1662">
    <w:p>
      <w:pPr>
        <w:pStyle w:val="Funote"/>
        <w:rPr/>
      </w:pPr>
      <w:r>
        <w:rPr/>
        <w:footnoteRef/>
        <w:tab/>
        <w:t>stieg er … und Ptz. conj., beigeordnet aufgelöst.</w:t>
      </w:r>
    </w:p>
  </w:footnote>
  <w:footnote w:id="1663">
    <w:p>
      <w:pPr>
        <w:pStyle w:val="Funote"/>
        <w:rPr/>
      </w:pPr>
      <w:r>
        <w:rPr/>
        <w:footnoteRef/>
        <w:tab/>
        <w:t>Dalmanuta Der Ort wird nur hier erwähnt und ist sonst unbekannt. Die Parallelstelle Mt 15,39 spricht stattdessen vom ebenfalls unbekannten Ort Magadan. In der Textüberlieferung wurde daraus in einigen Handschriften „Magdala“. Dalmanuta ist jedoch zweifellos die ursprünglichste Version des Namens. Sowohl bei Dalmanuta als auch bei Magadan könnte es sich gut um alternative Namen der Ortschaft Magdala handeln (Blomberg 1992, 247).</w:t>
      </w:r>
    </w:p>
  </w:footnote>
  <w:footnote w:id="1664">
    <w:p>
      <w:pPr>
        <w:pStyle w:val="Funote"/>
        <w:rPr/>
      </w:pPr>
      <w:r>
        <w:rPr/>
        <w:footnoteRef/>
        <w:tab/>
        <w:t xml:space="preserve">kamen zusammen (heraus) Entweder soll das „herauskommen“ ausdrücken, dass es sich hier um die ortsansässigen Pharisäer handelt, die auf Jesu Ankunft hin ihre Häuser verlassen (France 2002, S. 311). Oder aber </w:t>
      </w:r>
      <w:r>
        <w:rPr>
          <w:lang w:val="el-GR"/>
        </w:rPr>
        <w:t>ἐξέρχομαι</w:t>
      </w:r>
      <w:r>
        <w:rPr/>
        <w:t xml:space="preserve"> wird hier im Sinne von „zusammenkommen, auftauchen“ verwendet (so BDAG; s. schön ALB, CEB: „Da tauchten die Pharisäer auf“); im Fokus stünde dann nicht, dass es sich um die ortsansässigen Pharisäer handelt, sondern dass überhaupt eine Gruppe von Pharisäern sich zusammenfindet, um Jesus einmal mehr zu einem Streitgespräch herauszufordern. Keine der beiden Möglichkeiten ist wahrscheinlicher als die andere; allein wegen dem besseren Deutsch sollte man in der LF vielleicht besser der Deutung von BDAG folgen.</w:t>
      </w:r>
    </w:p>
  </w:footnote>
  <w:footnote w:id="1665">
    <w:p>
      <w:pPr>
        <w:pStyle w:val="Funote"/>
        <w:rPr/>
      </w:pPr>
      <w:r>
        <w:rPr/>
        <w:footnoteRef/>
        <w:tab/>
        <w:t>wobei sie … verlangten Modales Ptz. conj., als Nebensatz aufgelöst. Könnte z.B. auch als separater Hauptsatz übersetzt werden. Zeichen vom Himmel Anders als bei Johannes bezieht Zeichen sich hier nicht auf ein Wunder, sondern irgendeine Art von übernatürlichem Zeichen, das beweisen würde, dass Jesus mit Gottes Unterstützung wirkt. vom Himmel, d.h. von Gott sollte das Zeichen kommen. Die Juden erwarteten solche Zeichen der Echtheit. Auch Mose (u.a. Ex 4,1–9; 29–31; 7,8–22) und Elija (1Kön 18,38) bestätigten ihre Sendung auf diese Weise (France 2002, 311f.; Guelich 1989, 413f.).</w:t>
      </w:r>
    </w:p>
  </w:footnote>
  <w:footnote w:id="1666">
    <w:p>
      <w:pPr>
        <w:pStyle w:val="Funote"/>
        <w:rPr/>
      </w:pPr>
      <w:r>
        <w:rPr/>
        <w:footnoteRef/>
        <w:tab/>
        <w:t>um ihm eine Falle zu stellen Finales (oder modales) Ptz. conj., als Nebensatz aufgelöst. Oder wie MEN: „weil sie ihm eine Falle stellen wollten“. Das Verb heißt „testen, erproben“ im weitesten Sinn. Hier erproben die Pharisäer Jesus so, dass er möglichst geschädigt werden soll (vgl. LN 27.31): Sie stellen ihm eine Falle, indem sie hoffen, dass er sich auf ihre Forderung einlässt, jedoch auf Kommando kein entsprechendes Zeichen hervorrufen kann. Vgl. Mk 10,2; 12,15; Joh 8,6. Jesus wurde zuvor schon in Mk 1,13 vom Satan auf die Probe gestellt, was die Pharisäer wie ihn zu Jesu Gegenspielern macht (vgl. Collins 2007, 384).</w:t>
      </w:r>
    </w:p>
  </w:footnote>
  <w:footnote w:id="1667">
    <w:p>
      <w:pPr>
        <w:pStyle w:val="Funote"/>
        <w:rPr/>
      </w:pPr>
      <w:r>
        <w:rPr/>
        <w:footnoteRef/>
        <w:tab/>
        <w:t>aus dem Innersten bzw. innerlich W. „in seinem Geist“. D.h. heißt gewöhnlich „innerlich“ und könnte bedeuten, dass der Seufzer ein stummer blieb (France 2002, 312; NSS). Für Gundry modifiziert das Stöhnen dagegen die folgende Aussage und ist in Kombination mit „in seinem Geist“ so zu verstehen, dass Jesus die Aussage mit Macht machte (Gundry 2000, 402). Der Kontext spricht jedoch eher für ein hörbares Stöhnen. Ansonsten müsste man diesen innerlichen Seufzer (den ja nur Jesus selbst mitbekommen haben kann) der lebhaften Fantasie des Evangelisten (oder der seiner Quelle) zuschreiben. Aus linguistischer Sicht stellt sich die Frage, warum Markus eine unhörbare Gemütserregung mit einem Wort beschreiben sollte, das sich auf einen hörbaren Laut bezieht. EÜ und NGÜ übersetzen „seufzte tief“, GNB lässt „in seinem Geist“ ganz weg. Viele andere Übersetzungen übersetzen wörtlich.</w:t>
      </w:r>
    </w:p>
  </w:footnote>
  <w:footnote w:id="1668">
    <w:p>
      <w:pPr>
        <w:pStyle w:val="Funote"/>
        <w:rPr/>
      </w:pPr>
      <w:r>
        <w:rPr/>
        <w:footnoteRef/>
        <w:tab/>
        <w:t>stöhnte (seufzte) … auf und Modales Ptz. conj., beigeordnet aufgelöst.</w:t>
      </w:r>
    </w:p>
  </w:footnote>
  <w:footnote w:id="1669">
    <w:p>
      <w:pPr>
        <w:pStyle w:val="Funote"/>
        <w:rPr/>
      </w:pPr>
      <w:r>
        <w:rPr/>
        <w:footnoteRef/>
        <w:tab/>
        <w:t xml:space="preserve">Wie!? (Warum) + Amen (Ja, Wahrlich), ich sage euch + Wenn dieser Generation ein Zeichen gegeben werden wird... (Nie und nimmer wird dieser Generation ein Zeichen gegeben werden) In V. 12b kommen drei Konstruktionen zusammen, die sämtlich zum selben Charakter der Aussage beitragen: (1) </w:t>
      </w:r>
      <w:r>
        <w:rPr>
          <w:lang w:val="el-GR"/>
        </w:rPr>
        <w:t>Τί ἡ γενεὰ αὕτη ζητεῖ σημεῖον</w:t>
      </w:r>
      <w:r>
        <w:rPr/>
        <w:t xml:space="preserve"> ist keine wirkliche, sondern eine rhetorische Frage; das </w:t>
      </w:r>
      <w:r>
        <w:rPr>
          <w:lang w:val="el-GR"/>
        </w:rPr>
        <w:t>Τί</w:t>
      </w:r>
      <w:r>
        <w:rPr/>
        <w:t xml:space="preserve"> sollte daher besser mit Camacho/Mateos 1994 und Black 1967 als exklamatives </w:t>
      </w:r>
      <w:r>
        <w:rPr>
          <w:lang w:val="el-GR"/>
        </w:rPr>
        <w:t>Τί</w:t>
      </w:r>
      <w:r>
        <w:rPr/>
        <w:t xml:space="preserve"> gedeutet werden (also nicht: »Warum verlangt...?«, sondern »Wie!? Diese Generation verlangt...!?«): Die Forderung der Pharisäer wird als völlig absurd zurückgewiesen. (2) Die Formel »Amen, ich sage euch« kennzeichnet das Folgende als mit Vollmacht geäußerte Aussage (-&gt; °Amen°): Die Zurückweisung wird noch mal als definitiv geltend hervorgehoben. (3) »Wenn dieser Generation ein Zeichen gegeben werden wird... !« ist eine abgebrochene Schwurformel, sinngemäß also »Wenn dieser Generation ein Zeichen gegeben wird, [soll mir dies und jenes zustoßen]«. Diese Konstruktion dient als eine besonders starke Verneinung, war v.a im Hebräischen gebräuchlich und hat über die Septuaginta Eingang in das Griechische gefunden. Eine ähnlich unvollständige Schwurformel als Verneinung findet sich z.B. in Ps 94,11 LXX; nach Gerstenberger 2001 und Stevens 1895 auch in Ps 131,2 (s. FN i); eine in Gänze explizierte Schwurformel findet sich z.B. in 2Kön 6,31 (Collins 2007, 385; France 2002, 313). Alle drei Konstruktionen dienen also dazu, die Abschlägigkeit von Jesu Zurückweisung der Zeichenforderung besonders emphatisch (-&gt; Emphase) zu unterstreichen, was auch noch zusammenstimmt mit der Redeeinleitung V. 12 (s. vorige FN) und dem Begriff »diese Generation« (s. nächste FN). Stilistisch sehr viel treffender als die übliche Übersetzung des Verses ist daher etwas wie: »Da fuhr sie Jesus an: 'Was!? Ein Zeichen will dieses Pack sehen!? Nie und nimmer wird diesem Pack ein Zeichen gegeben werden, das sage ich euch!«</w:t>
      </w:r>
    </w:p>
  </w:footnote>
  <w:footnote w:id="1670">
    <w:p>
      <w:pPr>
        <w:pStyle w:val="Funote"/>
        <w:rPr/>
      </w:pPr>
      <w:r>
        <w:rPr/>
        <w:footnoteRef/>
        <w:tab/>
        <w:t>Diese Generation (dieses Pack) ist in Mk beinahe ein Schimpfwort, vgl. deutlich noch Mk 8,38; 9,19 (dazu auch FN bc); ad loc. z.B. van Iersel 1998, S. 262; allgemein EWNT I, S. 294; TWNT I, S. 661 u.ö. Sehr gut daher B/N: »Dieses Pack«.</w:t>
      </w:r>
    </w:p>
  </w:footnote>
  <w:footnote w:id="1671">
    <w:p>
      <w:pPr>
        <w:pStyle w:val="Funote"/>
        <w:rPr/>
      </w:pPr>
      <w:r>
        <w:rPr/>
        <w:footnoteRef/>
        <w:tab/>
        <w:t>er ließ sie [stehen] Temporales Ptz. conj., beigeordnet aufgelöst.</w:t>
      </w:r>
    </w:p>
  </w:footnote>
  <w:footnote w:id="1672">
    <w:p>
      <w:pPr>
        <w:pStyle w:val="Funote"/>
        <w:rPr/>
      </w:pPr>
      <w:r>
        <w:rPr/>
        <w:footnoteRef/>
        <w:tab/>
        <w:t>Sie Die meisten Übersetzungen übersetzen sinngemäß „die Jünger“, nicht „sie“, aber es gibt keinen direkten Anhaltspunkt dafür, dass Jesus davon auszunehmen ist.</w:t>
      </w:r>
    </w:p>
  </w:footnote>
  <w:footnote w:id="1673">
    <w:p>
      <w:pPr>
        <w:pStyle w:val="Funote"/>
        <w:rPr/>
      </w:pPr>
      <w:r>
        <w:rPr/>
        <w:footnoteRef/>
        <w:tab/>
        <w:t>sie hatten vergessen (vergaßen) Der Aorist wird hier wohl mit vorzeitiger Bedeutung benutzt.</w:t>
      </w:r>
    </w:p>
  </w:footnote>
  <w:footnote w:id="1674">
    <w:p>
      <w:pPr>
        <w:pStyle w:val="Funote"/>
        <w:rPr/>
      </w:pPr>
      <w:r>
        <w:rPr/>
        <w:footnoteRef/>
        <w:tab/>
        <w:t>schärfte ihnen ein Das Verb steht im Imperfekt, was wohl impliziert, dass diese Aussage einen etwas längeren Diskurs zusammenfasst (oder eine häufige Aussage Jesu darstellt) (France 2002, 315). {sagend} Pleonastisches Partizip.</w:t>
      </w:r>
    </w:p>
  </w:footnote>
  <w:footnote w:id="1675">
    <w:p>
      <w:pPr>
        <w:pStyle w:val="Funote"/>
        <w:rPr/>
      </w:pPr>
      <w:r>
        <w:rPr/>
        <w:footnoteRef/>
        <w:tab/>
        <w:t>Sauerteig wird in der Bibel immer wieder und in verschiedenen Bildern als Metapher für einen Einfluss gebraucht, der sich wie ansteckend und mit bedrohlicher Unaufhaltsamkeit verbreitet. So wie die Beigabe von Sauerteig den ganzen Teig gären und aufgehen lässt, kann sich eine Glaubenslehre (z.B. Gal 5,9) oder eine Gesinnung (so hier?) unerwartet schnell ausbreiten und wahlweise einen guten oder einen verheerenden Einfluss nehmen. In 1Kor 5,8 ist von bösem Sauerteig die Rede, in Mt 13,33 benutzt ihn Jesus als Bild für das Wachstum von Gottes Reich. Mt 16,12 versteht den Sauerteig als die Lehre der Pharisäer und Sadduzäer, Lk 12,1 als deren Heuchelei. Was Jesus hier meint, ist jedoch nicht ersichtlich. Die Pharisäer haben sich unmittelbar zuvor wieder einmal als Jesu ungläubige Gegenspieler herausgestellt. Herodes wurde bisher nur als Verantwortlicher für Johannes' Tod dargestellt, doch in Mk 9,12-13 verbindet Jesus Johannes' Schicksal mit seinem eigenen. Anhänger von Herodes hatten sich zudem mit den Pharisäern zusammengetan, um Jesu Beseitigung in die Wege zu leiten (3,6) (France 2002, 315f.). Daher spielt Jesus vielleicht einfach auf diese feindselige Gesinnung (ebd. 316) oder ihren Unglauben (Guelich 1989, 423f.) an. Jesus scheint im Folgenden nicht weiter auf diese Aussage einzugehen (France 2002, 316).</w:t>
      </w:r>
    </w:p>
  </w:footnote>
  <w:footnote w:id="1676">
    <w:p>
      <w:pPr>
        <w:pStyle w:val="Funote"/>
        <w:rPr/>
      </w:pPr>
      <w:r>
        <w:rPr/>
        <w:footnoteRef/>
        <w:tab/>
        <w:t xml:space="preserve">diskutierten weiter (begannen zu diskutieren) bzw. machten sich Gedanken „Diskutieren“ (so die wahrscheinlich gemeinte Bedeutung) steht im Imperfekt. Das Wort bedeutet hier entweder, dass die Jünger einfach weiterdiskutierten und Jesu Kommentar überhörten oder im Eifer der Diskussion ignorierten (so Guelich 1989, 424; France 2002, 317). Dass darüber geredet wurde, war dann schon in V. 14 impliziert und könnte Jesu Bemerkungen über den Sauerteig ausgelöst haben. Oder es signalisiert, dass nun eine Diskussion einsetzte, die sich wegen des fehlenden Brotes (V. 14) anbahnte (so Collins 2007, 386). Eine dritte Möglichkeit (nach MEN) versteht das Imperfekt als missverstehende Reaktion: „Da erwogen sie im Gespräch miteinander: »(Das sagt er deshalb) weil wir keine Brote haben.«“ (Es ist möglich, dass MEN dabei einer alternativen Lesart folgt, die „und sagten“ ergänzt.) Die erste Möglichkeit ist häufiger Funktion des Imperfekts als die zweite und ist tendenziell vorzuziehen; die dritte käme wohl auch ohne Imperfekt aus (vgl. France 2002, 317). Die meisten deutschen Übersetzungen verstehen das gr. Wort </w:t>
      </w:r>
      <w:r>
        <w:rPr>
          <w:lang w:val="el-GR"/>
        </w:rPr>
        <w:t>διαλογίζομαι</w:t>
      </w:r>
      <w:r>
        <w:rPr/>
        <w:t xml:space="preserve"> jedoch im Sinn von „sich Gedanken machen“ – wohl weil sie etwas besser zu V. 17 passt. So EÜ: „Sie aber machten sich Gedanken, weil sie kein Brot bei sich hatten.“ Doch welche Funktion hätte in diesem Fall </w:t>
      </w:r>
      <w:r>
        <w:rPr>
          <w:lang w:val="el-GR"/>
        </w:rPr>
        <w:t>πρὸς ἀλλήλους</w:t>
      </w:r>
      <w:r>
        <w:rPr/>
        <w:t xml:space="preserve"> „zu-/miteinander“ (bei EÜ unübersetzt)? NGÜ liest sich schon fast absurd: „Da machten sie sich untereinander Gedanken...“ Das Wort scheint hier sicher die Bedeutung „diskutieren“ zu haben (so die bisher zitierten Kommentare sowie NSS; Pesch 1976, 412f.; LN 33.158; GNB, MEN und englische Übersetzungen).</w:t>
      </w:r>
    </w:p>
  </w:footnote>
  <w:footnote w:id="1677">
    <w:p>
      <w:pPr>
        <w:pStyle w:val="Funote"/>
        <w:rPr/>
      </w:pPr>
      <w:r>
        <w:rPr/>
        <w:footnoteRef/>
        <w:tab/>
        <w:t>der (als er, weil er) Bescheid wusste ([das] bemerkte) Modal-temporales Ptz. conj. (oder attr. Ptz.), hier als Relativsatz aufgelöst.</w:t>
      </w:r>
    </w:p>
  </w:footnote>
  <w:footnote w:id="1678">
    <w:p>
      <w:pPr>
        <w:pStyle w:val="Funote"/>
        <w:rPr/>
      </w:pPr>
      <w:r>
        <w:rPr/>
        <w:footnoteRef/>
        <w:tab/>
        <w:t>diskutiert ihr (macht ihr euch Gedanken) Zur Abwägung zwischen den beiden Alternativen s. die Fußnote im vorigen Vers.</w:t>
      </w:r>
    </w:p>
  </w:footnote>
  <w:footnote w:id="1679">
    <w:p>
      <w:pPr>
        <w:pStyle w:val="Funote"/>
        <w:rPr/>
      </w:pPr>
      <w:r>
        <w:rPr/>
        <w:footnoteRef/>
        <w:tab/>
        <w:t>und … [denn immer] noch nicht W. »Begreift ihr noch nicht und versteht ihr nicht?« - Die doppelte Verneinung mit »noch nicht« und »und nicht« verstärkt im Griechischen die rhetorische Frage. Um deren rhetorische Kraft einzufangen, wurde sie in der Übersetzung sinngemäß mit »denn« und »immer« verstärkt.</w:t>
      </w:r>
    </w:p>
  </w:footnote>
  <w:footnote w:id="1680">
    <w:p>
      <w:pPr>
        <w:pStyle w:val="Funote"/>
        <w:rPr/>
      </w:pPr>
      <w:r>
        <w:rPr/>
        <w:footnoteRef/>
        <w:tab/>
        <w:t>Habt ihr ein (euer) verstocktes (verhärtetes) Herz? Überraschend starker Vorwurf; wohl aus diesem Grund wird die Frage in der Parallelstelle Mt 16,8 auch ausgespart. Anders, als die wörtliche Übersetzung vermuten lassen muss, geht die Frage nicht auf die Hartherzigkeit der Jünger, sondern auf ihren Unverstand: Nach dem semitischen Menschenbild ist das Herz nicht primär Sitz der Gefühle, sondern des Verstandes. Ein Mensch, der »kein Herz« oder ein »verstocktes Herz« hat, ist daher kein Unmensch, sondern ein Dummkopf; vgl. z.B. Krüger 2009, S. 104. Sinngemäß müsste man daher statt »Habt ihr ein verstocktes Herz« eher übersetzen: »Habt ihr Stroh im Kopf?«</w:t>
      </w:r>
    </w:p>
  </w:footnote>
  <w:footnote w:id="1681">
    <w:p>
      <w:pPr>
        <w:pStyle w:val="Funote"/>
        <w:rPr/>
      </w:pPr>
      <w:r>
        <w:rPr/>
        <w:footnoteRef/>
        <w:tab/>
        <w:t>Habt ihr zwar Augen, aber seht nicht? Und habt ihr zwar Ohren, aber hört nicht? Die beiden Ptz. conj. habt ihr sind dabei konzessiv aufgelöst, was wohl dem Sinn von Jer 5,21 entspricht. Vgl. NGÜ: »Ihr habt doch Augen – könnt ihr nicht sehen? Ihr habt doch Ohren – könnt ihr nicht hören?« Oder einfach »Habt ihr Augen und seht nicht? Und habt ihr Ohren und hört nicht?« Es handelt sich um eine recht freie Wiedergabe von Jer 5,21, die aber inhaltlich und im Zusammenhang mit der Kritik aus V. 17 eher an den in Mk 4,12 zitierten Abschnitt aus Jes 6,9-10 erinnert (Watts 2007, 172). Doch passen thematisch alle drei angespielten Abschnitte (ebd. 174).</w:t>
      </w:r>
    </w:p>
  </w:footnote>
  <w:footnote w:id="1682">
    <w:p>
      <w:pPr>
        <w:pStyle w:val="Funote"/>
        <w:rPr/>
      </w:pPr>
      <w:r>
        <w:rPr/>
        <w:footnoteRef/>
        <w:tab/>
        <w:t>Und erinnert ihr euch nicht? (Und denkt daran:) Man kann diesen Satz sowohl als eigenständige Frage wie auch als Einleitung zu V. 19 auffassen. Nach France (2002, 317) handelt es sich eher um eine weitere rhetorische Frage, aber NA28, SBLGNT und viele deutsche Übersetzungen folgen der zweiten Deutung. ZÜR und viele englische Übersetzungen folgen der ersten. Diese Übersetzung hat den Vorteil, dass sie zu kürzeren Sätzen führt und die Parallelität zwischen den beiden Fragen in V. 19 und 20 nicht aufbricht.</w:t>
      </w:r>
    </w:p>
  </w:footnote>
  <w:footnote w:id="1683">
    <w:p>
      <w:pPr>
        <w:pStyle w:val="Funote"/>
        <w:rPr/>
      </w:pPr>
      <w:r>
        <w:rPr/>
        <w:footnoteRef/>
        <w:tab/>
        <w:t>Brote … zerbrochen habe »Brote zerbrechen« steht hier als metonymisches Idiom dafür, dass Jesus sie mit Nahrung versorgt hat (vgl. LN 23.20).</w:t>
      </w:r>
    </w:p>
  </w:footnote>
  <w:footnote w:id="1684">
    <w:p>
      <w:pPr>
        <w:pStyle w:val="Funote"/>
        <w:rPr/>
      </w:pPr>
      <w:r>
        <w:rPr/>
        <w:footnoteRef/>
        <w:tab/>
        <w:t>sagte er (fuhr fort) Das Imperfekt zeigt hier wohl einfach an, dass Jesus weitersprach oder fortfuhr.</w:t>
      </w:r>
    </w:p>
  </w:footnote>
  <w:footnote w:id="1685">
    <w:p>
      <w:pPr>
        <w:pStyle w:val="Funote"/>
        <w:rPr/>
      </w:pPr>
      <w:r>
        <w:rPr/>
        <w:footnoteRef/>
        <w:tab/>
        <w:t>Als, ({Und} ... {und}) W. „und … und“, hier als temporales Satzgefüge verstanden (vgl. Reiser 1983, 119).</w:t>
      </w:r>
    </w:p>
  </w:footnote>
  <w:footnote w:id="1686">
    <w:p>
      <w:pPr>
        <w:pStyle w:val="Funote"/>
        <w:rPr/>
      </w:pPr>
      <w:r>
        <w:rPr/>
        <w:footnoteRef/>
        <w:tab/>
        <w:t>er nahm … und Ptz. conj., beigeordnet aufgelöst.</w:t>
      </w:r>
    </w:p>
  </w:footnote>
  <w:footnote w:id="1687">
    <w:p>
      <w:pPr>
        <w:pStyle w:val="Funote"/>
        <w:rPr/>
      </w:pPr>
      <w:r>
        <w:rPr/>
        <w:footnoteRef/>
        <w:tab/>
        <w:t>gespuckt Zur Funktion von Spucke in Wunderheilungen vgl. FN bf zu Mk 7,33. Ähnlich wie dort wird auch hier der Brauch des Ausspeiens durch das Motiv des Auflegens der Hände erweitert, das eine für Jesus typische „Medikation“ bei Wunderheilungen gewesen zu sein scheint (s. noch Mk 1,41; 5,23).</w:t>
      </w:r>
    </w:p>
  </w:footnote>
  <w:footnote w:id="1688">
    <w:p>
      <w:pPr>
        <w:pStyle w:val="Funote"/>
        <w:rPr/>
      </w:pPr>
      <w:r>
        <w:rPr/>
        <w:footnoteRef/>
        <w:tab/>
        <w:t>nachdem er … gespuckt und … aufgelegt hatte Temp. Ptz. conj. (2x), als Nebensatz aufgelöst.</w:t>
      </w:r>
    </w:p>
  </w:footnote>
  <w:footnote w:id="1689">
    <w:p>
      <w:pPr>
        <w:pStyle w:val="Funote"/>
        <w:rPr/>
      </w:pPr>
      <w:r>
        <w:rPr/>
        <w:footnoteRef/>
        <w:tab/>
        <w:t xml:space="preserve">Siehst du etwas? W. „Ob du etwas siehst?“; die Frage wird gleich einer abhängigen Frage durch </w:t>
      </w:r>
      <w:r>
        <w:rPr>
          <w:lang w:val="el-GR"/>
        </w:rPr>
        <w:t>εἰ</w:t>
      </w:r>
      <w:r>
        <w:rPr/>
        <w:t xml:space="preserve"> „ob“ eingeleitet. Vermutlich ein Semitismus (France 2002, S. 324f; Grosvenor/Zerwick; NSS; Siebenthal 2011, §269b); übersetze wie vorgeschlagen.</w:t>
      </w:r>
    </w:p>
  </w:footnote>
  <w:footnote w:id="1690">
    <w:p>
      <w:pPr>
        <w:pStyle w:val="Funote"/>
        <w:rPr/>
      </w:pPr>
      <w:r>
        <w:rPr/>
        <w:footnoteRef/>
        <w:tab/>
        <w:t>nachdem [der Mann] wieder sehen konnte Ptz. conj. als temporaler Nebensatz aufgelöst. Der Blinde war offenbar nicht von Geburt an blind, wie sich aus dem Verb und seiner Beschreibung der Umgebung ableiten lässt. Die Alternative blickte auf und löst das Ptz. beigeordnet auf. Das Verb kann sowohl „aufblicken“ als auch „wieder sehen können“ bedeuten. Im Zusammenhang mit der Rede von „Blindheit“ (s. noch Mt 11,5; 20,34; Mk 10,51; Lk 7,22; 18,41–43 (3x); Joh 9,11.15.18; Apg 9,12.17f; 22,13) liegt natürlich letztere Bedeutung wesentlich näher (so auch France 2002, S. 325; Collins 2007, S. 394, nach Johnson 1979). Dennoch übersetzen viele Üss. an unserer Stelle mit „er blickte auf“ (vgl. NSS; LN 24.10; s. jedoch die Alternativübersetzung der NGÜ; NET; Guelich 1989, 428. Vgl. MEN: „Jener schlug die Augen auf“). Vielleicht liegt das daran, dass „aufblicken“ ebenfalls sehr gut in den Kontext passt. Wahrscheinlich liefert Markus dem Leser ein Wortspiel, indem er absichtlich beide Bedeutungen zulässt (France 2002, 325). Dass der Mann wieder sehen könnte, scheint jedoch im Vordergrund zu stehen.</w:t>
      </w:r>
    </w:p>
  </w:footnote>
  <w:footnote w:id="1691">
    <w:p>
      <w:pPr>
        <w:pStyle w:val="Funote"/>
        <w:rPr/>
      </w:pPr>
      <w:r>
        <w:rPr/>
        <w:footnoteRef/>
        <w:tab/>
        <w:t xml:space="preserve">{dass} Welche Funktion </w:t>
      </w:r>
      <w:r>
        <w:rPr>
          <w:lang w:val="el-GR"/>
        </w:rPr>
        <w:t>ὅτι</w:t>
      </w:r>
      <w:r>
        <w:rPr/>
        <w:t xml:space="preserve"> »dass« (oder »weil«) hier hat, ist nicht restlos geklärt. Es ist möglich, dass es hier wie das aramäische Relativpronomen </w:t>
      </w:r>
      <w:r>
        <w:rPr>
          <w:rtl w:val="true"/>
          <w:lang w:bidi="he-IL"/>
        </w:rPr>
        <w:t>דּיִ</w:t>
      </w:r>
      <w:r>
        <w:rPr/>
        <w:t xml:space="preserve"> </w:t>
      </w:r>
      <w:r>
        <w:rPr/>
        <w:t xml:space="preserve">verwendet wird (das auch »dass« heißen kann) oder es (falsch) übersetzt. Dann wäre zu übersetzen: »Ich sehe die Leute, die wie Bäume [sind]...« (Guelich 1989, 433; vgl. Siebenthal 2011, §252a). NSS empfiehlt, </w:t>
      </w:r>
      <w:r>
        <w:rPr>
          <w:lang w:val="el-GR"/>
        </w:rPr>
        <w:t>ὅτι</w:t>
      </w:r>
      <w:r>
        <w:rPr/>
        <w:t xml:space="preserve"> am besten als Doppelpunkt (wie ein </w:t>
      </w:r>
      <w:r>
        <w:rPr>
          <w:lang w:val="el-GR"/>
        </w:rPr>
        <w:t>ὅτι</w:t>
      </w:r>
      <w:r>
        <w:rPr/>
        <w:t xml:space="preserve"> recitativum) zu übersetzen.</w:t>
      </w:r>
    </w:p>
  </w:footnote>
  <w:footnote w:id="1692">
    <w:p>
      <w:pPr>
        <w:pStyle w:val="Funote"/>
        <w:rPr/>
      </w:pPr>
      <w:r>
        <w:rPr/>
        <w:footnoteRef/>
        <w:tab/>
        <w:t>Ich sehe die Leute – wie Bäume, ich sehe sie umhergehen Falsch wäre die Übersetzung „ich sehe sie wie Bäume umhergehen“ (LUT, ELB, GNB?). Bäume ist Neutrum Plural, das Partizip umhergehen (ein AcP) Maskulinum Plural. Das Partizip bezieht sich auf die Leute (France 2002, 325). Die Übersetzung versucht das zu berücksichtigen. Sehr schön fängt das NGÜ ein: „Ich sehe Menschen; sie gehen umher, aber sie sehen aus wie Bäume.“</w:t>
      </w:r>
    </w:p>
  </w:footnote>
  <w:footnote w:id="1693">
    <w:p>
      <w:pPr>
        <w:pStyle w:val="Funote"/>
        <w:rPr/>
      </w:pPr>
      <w:r>
        <w:rPr/>
        <w:footnoteRef/>
        <w:tab/>
        <w:t>er konnte nun alles deutlich erkennen Das Verb steht im Unterschied zu den beiden vorigen (Aorist) im Imperfekt, das hier zum Ausdruck bringt, dass der Mann nun (sinngemäß eingefügt) dauerhaft deutlich sehen konnte (ebenfalls ergänzt, um den Sinn richtig zu vermitteln) (vgl. France 2002, 325). MEN legt etwas kreativ aus: „so daß er auch in der Ferne alles scharf sah“</w:t>
      </w:r>
    </w:p>
  </w:footnote>
  <w:footnote w:id="1694">
    <w:p>
      <w:pPr>
        <w:pStyle w:val="Funote"/>
        <w:rPr/>
      </w:pPr>
      <w:r>
        <w:rPr/>
        <w:footnoteRef/>
        <w:tab/>
        <w:t>wobei er ihm auftrug (sagte) Modales Ptz. conj., als Nebensatz aufgelöst. Eine andere Möglichkeit wäre „mit den (folgenden) Worten“.</w:t>
      </w:r>
    </w:p>
  </w:footnote>
  <w:footnote w:id="1695">
    <w:p>
      <w:pPr>
        <w:pStyle w:val="Funote"/>
        <w:rPr/>
      </w:pPr>
      <w:r>
        <w:rPr/>
        <w:footnoteRef/>
        <w:tab/>
        <w:t>»Geh auch nicht ins Dorf!« Das ist offenbar so zu verstehen, dass der Mann nicht direkt in Betsaida (=dem Dorf) lebte. Vgl. GNB: »Geh nicht erst nach Betsaida hinein, sondern geh gleich nach Hause!«</w:t>
      </w:r>
    </w:p>
  </w:footnote>
  <w:footnote w:id="1696">
    <w:p>
      <w:pPr>
        <w:pStyle w:val="Funote"/>
        <w:rPr/>
      </w:pPr>
      <w:r>
        <w:rPr/>
        <w:footnoteRef/>
        <w:tab/>
        <w:t>Die Dörfer von Cäsarea Philippi meint die kleinen Ansiedlungen, die in der Nähe von Cäsarea Philippi liegen und zum Verwaltungsbereich dieser Stadt gehören (Cranfield 1959, S. 267). Gemeint ist also die ländliche Gegend um Cäsarea Philippi, was gut damit zusammen stimmt, dass Jesus offenbar überwiegend nicht in Großstädten, sondern kleineren Dörfern gewirkt hat (vgl. z.B. Theißen/Merz 2011, S. 163f.).</w:t>
      </w:r>
    </w:p>
  </w:footnote>
  <w:footnote w:id="1697">
    <w:p>
      <w:pPr>
        <w:pStyle w:val="Funote"/>
        <w:rPr/>
      </w:pPr>
      <w:r>
        <w:rPr/>
        <w:footnoteRef/>
        <w:tab/>
        <w:t>{und sagte} Pleonastisches Partizip.</w:t>
      </w:r>
    </w:p>
  </w:footnote>
  <w:footnote w:id="1698">
    <w:p>
      <w:pPr>
        <w:pStyle w:val="Funote"/>
        <w:rPr/>
      </w:pPr>
      <w:r>
        <w:rPr/>
        <w:footnoteRef/>
        <w:tab/>
        <w:t>„</w:t>
      </w:r>
      <w:r>
        <w:rPr/>
        <w:t>Für wen halten mich die Leute?“ Oder „Was sagen die Leute (Menschen), wer ich bin?“ W. etwa „Wen sagen/halten die Leute mich zu sein?“ (AcI)</w:t>
      </w:r>
    </w:p>
  </w:footnote>
  <w:footnote w:id="1699">
    <w:p>
      <w:pPr>
        <w:pStyle w:val="Funote"/>
        <w:rPr/>
      </w:pPr>
      <w:r>
        <w:rPr/>
        <w:footnoteRef/>
        <w:tab/>
        <w:t>{sagend} Pleonastisches Partizip.</w:t>
      </w:r>
    </w:p>
  </w:footnote>
  <w:footnote w:id="1700">
    <w:p>
      <w:pPr>
        <w:pStyle w:val="Funote"/>
        <w:rPr/>
      </w:pPr>
      <w:r>
        <w:rPr/>
        <w:footnoteRef/>
        <w:tab/>
        <w:t>Für wen haltet ihr mich? W. etwa „Ihr aber, wen sagt/haltet ihr mich zu sein?“ (AcI. Vgl. die Frage in V. 27)</w:t>
      </w:r>
    </w:p>
  </w:footnote>
  <w:footnote w:id="1701">
    <w:p>
      <w:pPr>
        <w:pStyle w:val="Funote"/>
        <w:rPr/>
      </w:pPr>
      <w:r>
        <w:rPr/>
        <w:footnoteRef/>
        <w:tab/>
        <w:t>{antwortend} Pleonastisches Partizip; übersetze schlicht: „Petrus antwortete:...“</w:t>
      </w:r>
    </w:p>
  </w:footnote>
  <w:footnote w:id="1702">
    <w:p>
      <w:pPr>
        <w:pStyle w:val="Funote"/>
        <w:rPr/>
      </w:pPr>
      <w:r>
        <w:rPr/>
        <w:footnoteRef/>
        <w:tab/>
        <w:t xml:space="preserve">Messias Gr. </w:t>
      </w:r>
      <w:r>
        <w:rPr>
          <w:lang w:val="el-GR"/>
        </w:rPr>
        <w:t>χριστός</w:t>
      </w:r>
      <w:r>
        <w:rPr/>
        <w:t xml:space="preserve"> „der Gesalbte“ oder formelhaft „Christus“. Das griechische Wort ist eine Übersetzung von hebr. </w:t>
      </w:r>
      <w:r>
        <w:rPr>
          <w:rtl w:val="true"/>
          <w:lang w:bidi="he-IL"/>
        </w:rPr>
        <w:t>מָשִׁיחַ</w:t>
      </w:r>
      <w:r>
        <w:rPr/>
        <w:t xml:space="preserve"> </w:t>
      </w:r>
      <w:r>
        <w:rPr/>
        <w:t>maschiach. Der Messias war in den Prophetien des AT ein König nach dem Muster des Königs David, der Israel in eine neue Zeit führen und als gerechter König regieren sollte (z.B. Jer 23,5). Zwischentestamentliche Autoren erwarteten einen militärischen Anführer, der Israel von der Fremdherrschaft der Griechen und später der Römer befreien und zu alter Größe zurückführen würde (vgl. Evans 2001, 15).</w:t>
      </w:r>
    </w:p>
  </w:footnote>
  <w:footnote w:id="1703">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704">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705">
    <w:p>
      <w:pPr>
        <w:pStyle w:val="Funote"/>
        <w:rPr/>
      </w:pPr>
      <w:r>
        <w:rPr/>
        <w:footnoteRef/>
        <w:tab/>
        <w:t xml:space="preserve">müsse, gr. </w:t>
      </w:r>
      <w:r>
        <w:rPr>
          <w:lang w:val="el-GR"/>
        </w:rPr>
        <w:t>δεῖ</w:t>
      </w:r>
      <w:r>
        <w:rPr/>
        <w:t>, wird im NT häufig dazu verwendet, um auszudrücken, dass es sich bei dem, was da sein „muss“, um ein von Gott vorherbestimmtes und daher notwendig eintretendes Geschehnis handelt (vgl. EWNT I, S. 669; ad loc. z.B. Cranfield 1959; Doudna 2002; Lohmeyer 1967); s. z.B. Mk 13,7.10. Das passt sehr gut zusammen mit Vokabel „Menschensohn“ (s. vorletzte FN): Jesus gibt seinen Jüngern hier Einblick in die göttliche Vorhersehung.</w:t>
      </w:r>
    </w:p>
  </w:footnote>
  <w:footnote w:id="1706">
    <w:p>
      <w:pPr>
        <w:pStyle w:val="Funote"/>
        <w:rPr/>
      </w:pPr>
      <w:r>
        <w:rPr/>
        <w:footnoteRef/>
        <w:tab/>
        <w:t>er sagte das ganz offen W. „Diese Aussage machte er mit Offenheit“ (instr. Dat.); gut MEN, ZÜR: „und er sprach das ganz offen aus“, EÜ (vgl. NGÜ): „er redete ganz offen darüber“. Markus bezieht sich hier speziell auf die Lehre aus V. 31 (France 2002, 337).</w:t>
      </w:r>
    </w:p>
  </w:footnote>
  <w:footnote w:id="1707">
    <w:p>
      <w:pPr>
        <w:pStyle w:val="Funote"/>
        <w:rPr/>
      </w:pPr>
      <w:r>
        <w:rPr/>
        <w:footnoteRef/>
        <w:tab/>
        <w:t>begann, missbilligend auf ihn einzureden W. „tadeln, zurechtweisen“. Gemeint ist, dass Petrus Jesus solche düsteren Vorhersagen ausreden und ihn zur Vernunft bringen möchte. GNB: „wollte ihm das ausreden“, MEN: „begann auf ihn einzureden“.</w:t>
      </w:r>
    </w:p>
  </w:footnote>
  <w:footnote w:id="1708">
    <w:p>
      <w:pPr>
        <w:pStyle w:val="Funote"/>
        <w:rPr/>
      </w:pPr>
      <w:r>
        <w:rPr/>
        <w:footnoteRef/>
        <w:tab/>
        <w:t>Der drehte sich um und, indem (und) er seine Jünger ansah (nachdem … angesehen hatte) Beide Verben sind Ptz. conj., hier temporal und modal (bzw. in der Klammer temporal-vorzeitig) aufgelöst. Man könnte auch einfacher formulieren: „Der drehte sich um, {und} sah seine Jünger an [und] wies Petrus zurecht“ oder „drehte sich um und … wies zurecht, wobei er … ansah.“ ansah W. „sah“. Wahrscheinlich meint Markus: Petrus ist nicht der Mann, von dem Jesus sich beiseite nehmen lässt. Gibt es ein Problem mit einer so essenziellen Frage wie der für Jesus unausweichlich von Gott geplanten Zukunft, so betrifft das alle. Besonders, wenn zu erwarten ist, dass die anderen Jünger ähnliche menschliche Vorstellungen vom Messias haben (vgl. die Fußnote bei „Messias“ in V. 29) (France 2002, 338, gegen Collins 2007, 406f., die nicht begründet, warum Jesus seine Antwort nur an Petrus, aber nicht an die anderen Jünger richtet).</w:t>
      </w:r>
    </w:p>
  </w:footnote>
  <w:footnote w:id="1709">
    <w:p>
      <w:pPr>
        <w:pStyle w:val="Funote"/>
        <w:rPr/>
      </w:pPr>
      <w:r>
        <w:rPr/>
        <w:footnoteRef/>
        <w:tab/>
        <w:t>»Geh hinter mich (Geh weg von mir), Satan!« Der Ausruf ist doppeldeutig. Jesus fordert Petrus gleichzeitig auf, im aus den Augen zu gehen, und sich wieder in der Nachfolge bei den Jüngern hinter ihm einzureihen (vgl. W. »hinter mir nachzufolgen« in V. 34!). Der nächste Satz zeigt, was Jesus meint: Petrus (aber auch keiner der anderen Jünger) sollte sich nicht Gottes Plänen in den Weg stellen oder in irgendeiner Form verweigern. Denn damit, auch wenn es aus den besten Absichten geschieht, würde er zum Widersacher Gottes (vgl. Collins 2007, 407).</w:t>
      </w:r>
    </w:p>
  </w:footnote>
  <w:footnote w:id="1710">
    <w:p>
      <w:pPr>
        <w:pStyle w:val="Funote"/>
        <w:rPr/>
      </w:pPr>
      <w:r>
        <w:rPr/>
        <w:footnoteRef/>
        <w:tab/>
        <w:t xml:space="preserve">Satan ist die Umschrift des hebräischen Worts </w:t>
      </w:r>
      <w:r>
        <w:rPr>
          <w:rtl w:val="true"/>
          <w:lang w:bidi="he-IL"/>
        </w:rPr>
        <w:t>שָׂטָן</w:t>
      </w:r>
      <w:r>
        <w:rPr/>
        <w:t>. Nirgendwo sonst wird ein Mensch als Satan bezeichnet. Jesus meint jedoch kaum, dass Petrus besessen ist (Collins 2007, 407). Petrus' Vorstellungen stehen Gottes Plänen so weit entgegen, dass sie von Satan kommen müssen (France 2002, 338). Er könnte Petrus' Einwände als einen weiteren Versuch des Teufels auffassen, ihn in Versuchung zu führen (Collins 2007, 407). Eine andere Möglichkeit ist, dass Jesus das Wort adjektivisch benutzt und Petrus so als einen Widersacher bzw. jemanden, der sich ihm in den Weg stellt, bezeichnet. Schließlich spricht Jesus gleich darauf ja von »menschlichen« Vorstellungen, nicht von denen des Teufels (Evans 2001, 19). Doch signalisiert die scharfe Formulierung unter Beibehaltung des semitischen Begriffs auch im Griechischen, dass Jesus seinen Jünger wirklich als Satan anspricht (France 2002, 338 Fn 61).</w:t>
      </w:r>
    </w:p>
  </w:footnote>
  <w:footnote w:id="1711">
    <w:p>
      <w:pPr>
        <w:pStyle w:val="Funote"/>
        <w:rPr/>
      </w:pPr>
      <w:r>
        <w:rPr/>
        <w:footnoteRef/>
        <w:tab/>
        <w:t>denn Du hast nicht die [Vorstellungen (Interessen)] Gottes im Sinn, sondern die der Menschen. NGÜ: „Denn was du denkst, kommt nicht von Gott, sondern ist menschlich.“ MEN: „Deine Gedanken sind nicht die Gedanken Gottes, sondern sind Menschengedanken.“ ZÜR: „Denn nicht Göttliches, sondern Menschliches hast du im Sinn.“</w:t>
      </w:r>
    </w:p>
  </w:footnote>
  <w:footnote w:id="1712">
    <w:p>
      <w:pPr>
        <w:pStyle w:val="Funote"/>
        <w:rPr/>
      </w:pPr>
      <w:r>
        <w:rPr/>
        <w:footnoteRef/>
        <w:tab/>
        <w:t>rief zu sich … und Temporales Ptz. conj., beigeordnet aufgelöst.</w:t>
      </w:r>
    </w:p>
  </w:footnote>
  <w:footnote w:id="1713">
    <w:p>
      <w:pPr>
        <w:pStyle w:val="Funote"/>
        <w:rPr/>
      </w:pPr>
      <w:r>
        <w:rPr/>
        <w:footnoteRef/>
        <w:tab/>
        <w:t>mir nachfolgen W. »hinter mir gehen« (vgl. Mk 1,17; 2,14). Manche Übersetzungen: »Wer mein Jünger sein will...« (EÜ, NGÜ) Genau das hat Jesus hier im Blick (France 2002, 339; Pryke 1978, S. 41).</w:t>
      </w:r>
    </w:p>
  </w:footnote>
  <w:footnote w:id="1714">
    <w:p>
      <w:pPr>
        <w:pStyle w:val="Funote"/>
        <w:rPr/>
      </w:pPr>
      <w:r>
        <w:rPr/>
        <w:footnoteRef/>
        <w:tab/>
        <w:t>dann muss (soll) … verleugnen … auf sich nehmen … nachfolgen Die drei Verben stehen in der dritten Person des Imperativs, den man am besten mit Hilfsverb (»soll«, »muss« oder »möge«) oder einem Konjunktiv umschreibt. Hier beschreibt Jesus die Anforderungen, die er an seine Nachfolger stellt. In diesem Kontext ist »muss« am passendsten (vgl. Collins 2007, 408).</w:t>
      </w:r>
    </w:p>
  </w:footnote>
  <w:footnote w:id="1715">
    <w:p>
      <w:pPr>
        <w:pStyle w:val="Funote"/>
        <w:rPr/>
      </w:pPr>
      <w:r>
        <w:rPr/>
        <w:footnoteRef/>
        <w:tab/>
        <w:t xml:space="preserve">sein Kreuz tragen (auf sich nehmen, aufheben, mitnehmen) Das Verb </w:t>
      </w:r>
      <w:r>
        <w:rPr>
          <w:lang w:val="el-GR"/>
        </w:rPr>
        <w:t>αἴρω</w:t>
      </w:r>
      <w:r>
        <w:rPr/>
        <w:t xml:space="preserve"> heißt bei Gegenständen »aufheben«, aber auch »(mit sich) tragen« oder »mitführen« (BA 1a/2). Die klassische Übersetzung seit Luther ist »sein Kreuz auf sich nehmen«, gemeint ist aber wohl eher der bildliche Ausdruck »sein Kreuz mit sich herumtragen« (vgl. BA 2). Konkret geht es dabei um den Querbalken des Kreuzes, den man zu seiner eigenen Hinrichtung tragen musste (Collins 2007, 408). Kreuzigung war auch in Palästina eine übliche Form der Todesstrafe. Das Bild der Verurteilten, die den Balken durch die Stadt trugen, war den Leuten geläufig (Evans 2001, 25). Diese Wendung war möglicherweise als Sprichwort bekannt. Lukas macht deutlich, dass dies übertragen gemeint ist, indem er »täglich« ergänzt (Lk 9,23). Doch Jesus hat hier gerade seinen Tod vorhergesagt. Mit diesen Worten macht er also deutlich, dass die Gefahr für seine Nachfolger, sein Schicksal zu teilen, sehr real ist (Collins 2007, 408; France 2002, 339f.). Der Leser erhält den Eindruck, dass Jesus genau weiß, was auf ihn zukommt (Evans 2001, 25). Dieses Schicksal bewusst in Kauf zu nehmen und Jesus trotz allem nachzufolgen, das gehört für Jesus sicherlich auch dazu, sich selbst zu verleugnen (France 2002, 340).</w:t>
      </w:r>
    </w:p>
  </w:footnote>
  <w:footnote w:id="1716">
    <w:p>
      <w:pPr>
        <w:pStyle w:val="Funote"/>
        <w:rPr/>
      </w:pPr>
      <w:r>
        <w:rPr/>
        <w:footnoteRef/>
        <w:tab/>
        <w:t>die gesamte Welt zu gewinnen Das heißt im übertragenen Sinn, (im diesseitigen Leben) den größtmöglichen Erfolg zu erzielen (France 2002, 341).</w:t>
      </w:r>
    </w:p>
  </w:footnote>
  <w:footnote w:id="1717">
    <w:p>
      <w:pPr>
        <w:pStyle w:val="Funote"/>
        <w:rPr/>
      </w:pPr>
      <w:r>
        <w:rPr/>
        <w:footnoteRef/>
        <w:tab/>
        <w:t xml:space="preserve">sein Leben (Seele) zu verlieren Einige Übersetzungen geben das Prädikat nicht mit verlieren, sondern mit »Schaden nehmen (an)« wieder. LUT: »nähme an seiner Seele Schaden«, NGÜ: »wenn er selbst dabei unheilbar Schaden nimmt«, ähnlich ZÜR, wohl nach BA </w:t>
      </w:r>
      <w:r>
        <w:rPr>
          <w:lang w:val="el-GR"/>
        </w:rPr>
        <w:t>ζημιόω</w:t>
      </w:r>
      <w:r>
        <w:rPr/>
        <w:t>. LN 57.69 listet die Passivform dagegen in einem separaten Eintrag als »Verlust erleiden, verlieren, einbüßen«. Als Gegensatz zu »(etw.) gewinnen« ist »(etw.) verlieren« allerdings die angemessenere Übersetzung (vgl. France 2002, 341). Wenn Jesus sich so stark ausdrückt, sollte die Übersetzung das nicht abschwächen.</w:t>
      </w:r>
    </w:p>
  </w:footnote>
  <w:footnote w:id="1718">
    <w:p>
      <w:pPr>
        <w:pStyle w:val="Funote"/>
        <w:rPr/>
      </w:pPr>
      <w:r>
        <w:rPr/>
        <w:footnoteRef/>
        <w:tab/>
        <w:t>Generation (Pack) - zu diesem Ausdruck s. FN o zu V. 12.</w:t>
      </w:r>
    </w:p>
  </w:footnote>
  <w:footnote w:id="1719">
    <w:p>
      <w:pPr>
        <w:pStyle w:val="Funote"/>
        <w:rPr/>
      </w:pPr>
      <w:r>
        <w:rPr/>
        <w:footnoteRef/>
        <w:tab/>
        <w:t>Jeder, der sich … über mich und meine Worte schämt usw. Für heutige Leser ist NGÜ recht passend: »Wer ... nicht zu mir und meinen Worten steht«. Jesus benutzt jetzt das Bild von Scham und Ehre, die in den meisten Kulturen weitaus wichtiger sind als im Westen. Wer sich hier über Jesus schämt, der kann auch bei Jesu Rückkehr keine Ehrung erwarten. Das Hier und Jetzt wird als »untreu« - bzw. w. »ehebrecherisch« - und »sündig« charakterisiert. Der erste ist ein Begriff, der schon im AT Israels (im übertragenen Sinn eheliche) Untreue gegenüber Gott und seinem Bund bezeichnet hat. »Sündig« verstärkt den Eindruck noch, dass diese Generation sich von Gott abgewandt hat und auch seinen Abgesandten Jesus verschmäht. Die neue Zeit, die mit dem Kommen des Menschensohns (Dan 7,13-14; Sach 14,5) - d.h. Jesu Rückkehr - anbricht, ist für Jesus die entscheidende (vgl. France 2002, 341ff.; Collins 2007, 410f.).</w:t>
      </w:r>
    </w:p>
  </w:footnote>
  <w:footnote w:id="1720">
    <w:p>
      <w:pPr>
        <w:pStyle w:val="Funote"/>
        <w:rPr/>
      </w:pPr>
      <w:r>
        <w:rPr/>
        <w:footnoteRef/>
        <w:tab/>
        <w:t>[Status: Zuverlässig]</w:t>
      </w:r>
    </w:p>
  </w:footnote>
  <w:footnote w:id="1721">
    <w:p>
      <w:pPr>
        <w:pStyle w:val="Funote"/>
        <w:rPr/>
      </w:pPr>
      <w:r>
        <w:rPr/>
        <w:footnoteRef/>
        <w:tab/>
        <w:t xml:space="preserve">weiter sagte er - W. Und er sagte. Das </w:t>
      </w:r>
      <w:r>
        <w:rPr>
          <w:lang w:val="el-GR"/>
        </w:rPr>
        <w:t>καὶ</w:t>
      </w:r>
      <w:r>
        <w:rPr/>
        <w:t xml:space="preserve"> schließt direkt an den vorangehenden Abschnitt an; das Impf. drückt die Fortsetzung der Rede aus; „sechs Tage später“ in V. 2 markiert einen Einschnitt zw. Vv. 1.2. V. 1 wird daher auch von nahezu allen Exegeten noch dem Abschnitt 8,34-38 zugeordnet; auch einige alte Manuskripte begannen das neue Kapitel erst bei V. 2. Zur Zuordnung vgl. bes. gut van Iersel 1998, S. 291f. Weiter soll diesen Zusammenhang zum Ausdruck bringen. So auch R-S; ähnlich CSB, NCV. Gut auch ALB, CEB, CJB, GN, GNT, MEN, NeÜ, NGÜ, NL, NLT, WNT: „Und er fuhr fort“ / „Und er fügte hinzu“.</w:t>
      </w:r>
    </w:p>
  </w:footnote>
  <w:footnote w:id="1722">
    <w:p>
      <w:pPr>
        <w:pStyle w:val="Funote"/>
        <w:rPr/>
      </w:pPr>
      <w:r>
        <w:rPr/>
        <w:footnoteRef/>
        <w:tab/>
        <w:t xml:space="preserve">Amen, ich sage euch - nicht-responsorisches °Amen°: Jesus spricht als einer, der bevollmächtigt ist, Aussagen über das »Kommen des Reiches Gottes« zu machen und auch über das nötige Wissen verfügt. Zusammen mit der Konstruktion </w:t>
      </w:r>
      <w:r>
        <w:rPr>
          <w:lang w:val="el-GR"/>
        </w:rPr>
        <w:t>οὐ μὴ</w:t>
      </w:r>
      <w:r>
        <w:rPr/>
        <w:t xml:space="preserve"> + Aorist Konjunktiv - der stärkstmöglichen Verneinung zukünftiger Geschehnisse im Griechischen (Wallace, S. 468) - in </w:t>
      </w:r>
      <w:r>
        <w:rPr>
          <w:lang w:val="el-GR"/>
        </w:rPr>
        <w:t>οὐ μὴ γεύσωνται</w:t>
      </w:r>
      <w:r>
        <w:rPr/>
        <w:t xml:space="preserve"> sie werden garantiert nicht schmecken wird so das folgende als absolut sichere Aussage markiert.</w:t>
      </w:r>
    </w:p>
  </w:footnote>
  <w:footnote w:id="1723">
    <w:p>
      <w:pPr>
        <w:pStyle w:val="Funote"/>
        <w:rPr/>
      </w:pPr>
      <w:r>
        <w:rPr/>
        <w:footnoteRef/>
        <w:tab/>
        <w:t>den Tod nicht schmecken - jüdisches Idiom; vgl. B/S I, S. 751f. Die Bedeutung ist wohl etwa »sterblich sein und sich dieser seiner Sterblichkeit schmerzlich bewusst sein«; vgl. BDAG 195; NET ad loc.. BB, Camacho/Mateos 1994, CEB, GNT, GW, HfA, NCV, NGÜ, NIRV, NL, NLT, Pesch 1977, S. 66 einfach: »nicht sterben« - das ist wohl die einfachste Lösung.</w:t>
      </w:r>
    </w:p>
  </w:footnote>
  <w:footnote w:id="1724">
    <w:p>
      <w:pPr>
        <w:pStyle w:val="Funote"/>
        <w:rPr/>
      </w:pPr>
      <w:r>
        <w:rPr/>
        <w:footnoteRef/>
        <w:tab/>
        <w:t>zu Reich Gottes vgl. Terminologie/Reich Gottes.</w:t>
      </w:r>
    </w:p>
  </w:footnote>
  <w:footnote w:id="1725">
    <w:p>
      <w:pPr>
        <w:pStyle w:val="Funote"/>
        <w:rPr/>
      </w:pPr>
      <w:r>
        <w:rPr/>
        <w:footnoteRef/>
        <w:tab/>
        <w:t xml:space="preserve">gekommen ist - W. bis sie gesehen haben das Reich Gottes gekommen in Macht. Das Perfekt </w:t>
      </w:r>
      <w:r>
        <w:rPr>
          <w:lang w:val="el-GR"/>
        </w:rPr>
        <w:t>ἐληλυθυῖαν</w:t>
      </w:r>
      <w:r>
        <w:rPr/>
        <w:t xml:space="preserve"> gekommen drückt hier aus, dass die Genannten das schon jetzt nahe Reich Gottes vollständig realisiert sehen werden, bevor sie sterben (vgl. Collins 2007, 413).</w:t>
      </w:r>
    </w:p>
  </w:footnote>
  <w:footnote w:id="1726">
    <w:p>
      <w:pPr>
        <w:pStyle w:val="Funote"/>
        <w:rPr/>
      </w:pPr>
      <w:r>
        <w:rPr/>
        <w:footnoteRef/>
        <w:tab/>
        <w:t>nahm mit und führte sie - Typisch markinische Redundanz (daher auch Lk 9,28: „Er nahm Petrus, Jakobus und Johannes mit sich und stieg auf den Berg.“); hier aber zweckmäßig eingesetzt: Zusammen mit dem folgenden, ebenfalls gedoppelten für sich, allein wird so das häufige Motiv der Privatoffenbarung an ausgewählte Jünger besonders betont. Sehr gut WIL: „er führte sie - nur sie allein - auf einen hohen Berg.“</w:t>
      </w:r>
    </w:p>
  </w:footnote>
  <w:footnote w:id="1727">
    <w:p>
      <w:pPr>
        <w:pStyle w:val="Funote"/>
        <w:rPr/>
      </w:pPr>
      <w:r>
        <w:rPr/>
        <w:footnoteRef/>
        <w:tab/>
        <w:t>s. letzte FN</w:t>
      </w:r>
    </w:p>
  </w:footnote>
  <w:footnote w:id="1728">
    <w:p>
      <w:pPr>
        <w:pStyle w:val="Funote"/>
        <w:rPr/>
      </w:pPr>
      <w:r>
        <w:rPr/>
        <w:footnoteRef/>
        <w:tab/>
        <w:t>vor ihnen - viele Üss. stilistisch gut: „vor ihren Augen“, aber Mk verwendet wohl bewusst „ihnen“: Die Geschehnisse der Perikope Mk 9,2-8 sind kein Selbstzweck, sondern für die Jünger bestimmt: Vor ihnen wird Jesus verwandelt; ihnen erscheinen Elija mit Mose, und ihnen („aus der Wolke“) deutet die „Stimme“ aus, was sie da eben gesehen haben.</w:t>
      </w:r>
    </w:p>
  </w:footnote>
  <w:footnote w:id="1729">
    <w:p>
      <w:pPr>
        <w:pStyle w:val="Funote"/>
        <w:rPr/>
      </w:pPr>
      <w:r>
        <w:rPr/>
        <w:footnoteRef/>
        <w:tab/>
        <w:t>wurde verwandelt (verwandelte sich) - Entweder Passivum divinum wurde verwandelt, also sinngemäß „wurde von Gott verwandelt“ (so z.B. Dschulnigg 2007, S. 245; Kmiecik 1997, S. 134; Pesch 1977, S. 72; Wördemann 2008, S. 44) oder reflexives Passiv verwandelte sich (so z.B. Haenchen 1966, S. 308; Kleist 1937, S. 214). Die erste Variante ist wahrscheinlicher: In Mk 9,2-8 wurde vermutlich die Textsorte „Epiphanie“ (=Erscheinung Gottes) mit der hellenistischen Textsorte „Metamorphose“ (=Verwandlung) verschmolzen (vgl. gut Wördemann 2008, S. 37f), um die Epiphanie als Christophanie darstellen zu können: Christus offenbart sich auf dem Berg in seiner göttlichen Herrlichkeit. In der hellenistischen Textsorte Metamorphose ist es aber üblich(er), dass die Verwandelten von Göttern verwandelt werden. Auch ist es ja in V. 7 Gott, der den Jüngern die Geschehnisse ausdeutet.</w:t>
      </w:r>
    </w:p>
  </w:footnote>
  <w:footnote w:id="1730">
    <w:p>
      <w:pPr>
        <w:pStyle w:val="Funote"/>
        <w:rPr/>
      </w:pPr>
      <w:r>
        <w:rPr/>
        <w:footnoteRef/>
        <w:tab/>
        <w:t>V. 3: wurden strahlten, V. 4: sprachen waren im Gespräch, V. 6: waren in Furcht geraten fürchteten sich, V. 7: Und eine Wolke entstand und überschattete sie - nicht: „wurden strahlend“ oder „begannen zu strahlend“, „waren im Gespräch“, „war in Furcht geraten“ und „es entstand eine Wolke und überschattete sie“: periphrastisches Tempus (vgl. Pryke 1978, S. 36). Hier höchst passend, da diese Konstruktion wohl expressiver ist als ein gewöhnlicher Aorist.</w:t>
      </w:r>
    </w:p>
  </w:footnote>
  <w:footnote w:id="1731">
    <w:p>
      <w:pPr>
        <w:pStyle w:val="Funote"/>
        <w:rPr/>
      </w:pPr>
      <w:r>
        <w:rPr/>
        <w:footnoteRef/>
        <w:tab/>
        <w:t>strahlten so sehr weiß - W. strahlten, sehr weiß: Wieder: typisch markinische Redundanz (so auch Marcus 2009); auch hier wieder zweckmäßig verwendet zur Steigerung „Strahlend-heit“ und „Weiß-heit“. Im Deutschen zum Glück leicht übertragbar durch adverbiale Wiedergabe von „sehr weiß“: „Sie strahlten blendend weiß / erstrahlten in blendendem Weiß“. Übersetze: „und seine Kleider erstrahlen in einem solch blendendem Weiß, dass auf der ganzen Erde kein einziger Tuchfärber sie derart weiß hätte machen können.“ Weiße Kleider und Lichtherrlichkeit sind im neuen Testament und auch häufig in der altjüdischen und frühchristlichen Literatur Kennzeichen himmlischer Wesen (vgl. gut Gnilka 1979, S. 33; Lo 2012, S. 175). Das Motiv ist ähnlich aber auch im außerjüdischen und außerchristlichen Bereich verbreitet; vgl. Frenschkowski 1997, S. 185.</w:t>
      </w:r>
    </w:p>
  </w:footnote>
  <w:footnote w:id="1732">
    <w:p>
      <w:pPr>
        <w:pStyle w:val="Funote"/>
        <w:rPr/>
      </w:pPr>
      <w:r>
        <w:rPr/>
        <w:footnoteRef/>
        <w:tab/>
        <w:t>zu Walker gut Dschulnigg 2007, S. 245: „Walker oder Tuchscherer krempelten Wolle, kratzten Tücher auf und reinigten schmutzige Gewänder. Der Vergleich verdeutlicht, dass die Kleider Jesu in himmlischem Glanz versetzt werden.“</w:t>
      </w:r>
    </w:p>
  </w:footnote>
  <w:footnote w:id="1733">
    <w:p>
      <w:pPr>
        <w:pStyle w:val="Funote"/>
        <w:rPr/>
      </w:pPr>
      <w:r>
        <w:rPr/>
        <w:footnoteRef/>
        <w:tab/>
        <w:t>auf der [ganzen] Erde - eigentlich unnötig; natürlich geht es um irdische Walker. Der Sinn ist emphatisch (Cranfield 1959, S. 290), daher [ganzen].</w:t>
      </w:r>
    </w:p>
  </w:footnote>
  <w:footnote w:id="1734">
    <w:p>
      <w:pPr>
        <w:pStyle w:val="Funote"/>
        <w:rPr/>
      </w:pPr>
      <w:r>
        <w:rPr/>
        <w:footnoteRef/>
        <w:tab/>
        <w:t>derart (</w:t>
      </w:r>
      <w:r>
        <w:rPr>
          <w:lang w:val="el-GR"/>
        </w:rPr>
        <w:t>οὕτως</w:t>
      </w:r>
      <w:r>
        <w:rPr/>
        <w:t xml:space="preserve">) - redundant nach </w:t>
      </w:r>
      <w:r>
        <w:rPr>
          <w:lang w:val="el-GR"/>
        </w:rPr>
        <w:t>οἷα</w:t>
      </w:r>
      <w:r>
        <w:rPr/>
        <w:t xml:space="preserve"> so (Kleist 1937, S. 214). Kein Semitismus (gegen Grosvenor/Zerwick ad loc.); auch hier wieder zweckmäßige Redundanz zur Unterstreichung der „so unglaublichen Weißheit“.</w:t>
      </w:r>
    </w:p>
  </w:footnote>
  <w:footnote w:id="1735">
    <w:p>
      <w:pPr>
        <w:pStyle w:val="Funote"/>
        <w:rPr/>
      </w:pPr>
      <w:r>
        <w:rPr/>
        <w:footnoteRef/>
        <w:tab/>
        <w:t xml:space="preserve">Elija zusammen mit Mose - Der Ausdruck wird in der Exegese heftig diskutiert, weil doch Mose der wichtigere von beiden und daher die Reihenfolge von „Elija mit Mose“ merkwürdig sei (Kmiecik 1997, S. 138 glaubt sogar, dass die „falsche“ Reihenfolge der Nennung signalisieren soll, dass die Jünger nichts von dem verstehen, was sie sehen). In diesem Zhg. hat Heil 1999 den Vorschlag gemacht, dass durch die Konstruktion „X zusammen mit Y“ nicht X, sondern Y als das wichtigere Glied von beiden markiert würde. Folgte man dem, müsste man im Deutschen besser übersetzen: „Mose und Elija“. Allerdings sehe ich das Problem nicht. Man weiß schon lange, dass Mk sich stark am Elija-Elischa-Zyklus bedient hat, um sein Evangelium zu komponieren (vgl. z.B. van Iersel 1998, S. 64f): Elija ist schon im Mk-Ev. ein „Typos“ Christi; dass er daher auch als eine der beiden Figuren - selbst als die erstgenannte - in der Verklärungserzählung auftauchen sollte, scheint mir ganz natürlich. Ich sehe nicht, was gegen „Elija mit Mose“ spräche. Hier ist übrigens Mose ebenso wie Elija Typos Christi: Mose war deutlich das Vorbild für die Komposition der Perikope Mk 9,2-8; vgl. Ex 24; 34 (bes. auch die Interpretation dieser Stellen in Philo, VitMos II 66-76, bes. 69f.; dazu auch Wypadlo 2013, S. 393ff). Vermutlich ist dieses doppelte Typos-Verhältnis auch der Grund, warum es gerade Elija und Mose sind, die bei der Verklärung erscheinen. Das Auftreten von Elija und Mose macht aus V. 4 eine „Synkrisis“ (=Vergleich einer Person mit gleichrangigen historischen Größen und Vorläufern). Auch dies ist eine hellenistische Textsorte; auch sie ist hier integraler Bestandteil der Christophanie, die die Importanz Jesu - der sich gerade als Sohn Gottes offenbart - durch Vergleich mit Elija und Moses noch zusätzlich unterstreicht. Gut Berger 1984, S. 1175: „In den Evangelien halte ich den Teil der sogenannten 'Verklärung' (Mk 9) für eine </w:t>
      </w:r>
      <w:r>
        <w:rPr>
          <w:lang w:val="el-GR"/>
        </w:rPr>
        <w:t>σύνκρισις</w:t>
      </w:r>
      <w:r>
        <w:rPr/>
        <w:t>, in dem sich Jesus mit Elia und Mose unterhält, die erscheinen (Mk 9,4). Jesus wird damit als einer gekennzeichnet, der in diese Größenordnung von Menschen gehört: Er ist ihr Genosse, weil sie mit ihm reden. Was sonst durch Typologie erreicht wird (vgl. die Darstellung Jesu nach Art von Elia und Elisa), geschieht hier mit Hilfe einer Erscheinung.“</w:t>
      </w:r>
    </w:p>
  </w:footnote>
  <w:footnote w:id="1736">
    <w:p>
      <w:pPr>
        <w:pStyle w:val="Funote"/>
        <w:rPr/>
      </w:pPr>
      <w:r>
        <w:rPr/>
        <w:footnoteRef/>
        <w:tab/>
        <w:t xml:space="preserve">V. 5.19: antwortete und, V. 6: wie er reagieren (was er antworten) - Biblizismus: </w:t>
      </w:r>
      <w:r>
        <w:rPr>
          <w:lang w:val="el-GR"/>
        </w:rPr>
        <w:t>ἀποκρίνομαι</w:t>
      </w:r>
      <w:r>
        <w:rPr/>
        <w:t xml:space="preserve"> antworten bedeutet in der Bibel häufiger nicht nur „erwiedern auf ein Angesprochen-sein“, sondern auch „reagieren auf einen Umstand“; vgl. Kleist 1937, S. 163; Wördemann 2008, S. 46. Denn Sinn treffen Camacho/Mateos 1994, CEB mit reagieren; im Deutschen aber besser schlicht: Vv. 5.19: „Da sprach Petrus/Jesus“; V. 5: „wie er reagieren sollte“.</w:t>
      </w:r>
    </w:p>
  </w:footnote>
  <w:footnote w:id="1737">
    <w:p>
      <w:pPr>
        <w:pStyle w:val="Funote"/>
        <w:rPr/>
      </w:pPr>
      <w:r>
        <w:rPr/>
        <w:footnoteRef/>
        <w:tab/>
        <w:t>Meister (Rabbi) - »Rabbi« wurde in nachbiblischer Zeit v.a. als Ehrentitel für Torah-Lehrer verwendet. Zur Verfassungszeit des NT hatte sich der Begriff aber vermutlich noch nicht als dieser terminus technicus etabliert und es war bloß eine allgemeine Ehrenbezeichnung; Marcus 2009 schlägt daher vor: »Sir«. »Meister« nach ALB, BBE, HfA, H-R, HER, KAM, KAR, KJV, PAT, RSV, Taylor 1979, TMB, TYN, WBT, WYC</w:t>
      </w:r>
    </w:p>
  </w:footnote>
  <w:footnote w:id="1738">
    <w:p>
      <w:pPr>
        <w:pStyle w:val="Funote"/>
        <w:rPr/>
      </w:pPr>
      <w:r>
        <w:rPr/>
        <w:footnoteRef/>
        <w:tab/>
        <w:t xml:space="preserve">Und lass uns (so lass uns denn) - konsekutives </w:t>
      </w:r>
      <w:r>
        <w:rPr>
          <w:lang w:val="el-GR"/>
        </w:rPr>
        <w:t>καὶ</w:t>
      </w:r>
      <w:r>
        <w:rPr/>
        <w:t>; »So lass uns denn...« gut nach Reiser 1983, S. 117.</w:t>
      </w:r>
    </w:p>
  </w:footnote>
  <w:footnote w:id="1739">
    <w:p>
      <w:pPr>
        <w:pStyle w:val="Funote"/>
        <w:rPr/>
      </w:pPr>
      <w:r>
        <w:rPr/>
        <w:footnoteRef/>
        <w:tab/>
        <w:t>Von vielen Exegeten wird V. 5 theologisiert: Entweder heißt es dann, Petrus wolle unangemessenerweise den himmlischen Zustand dauerhaft festhalten (sozusagen: indem er die himmlischen Wesen an irdische Hütten bindet), oder er glaube, die Endzeit, in der die himmlischen Wesen mit den Erwählten zusammen wohnen werden (vgl. z.B. äthHen 39,1.4.7f*), sei nun da. V. 6 macht aber klar, dass alles andere als theologische Reflexion hinter Petrus Ausruf in V. 5 steckt: Sein Vorschlag wird von Mk als völliger Nonsens abqualifiziert, den er nur geäußert habe, weil er vor Angst nicht wusste, was er redete. Vv. 5f verdichten gemeinsam den Topos der „Epiphanie-Furcht, de[s] Gottesschrecken[s]“ (Pesch 1977, S. 76). Den Sinn trifft VOLX: „Petrus war völlig high. Er meinte nur: ... / Er war aber nicht klar in der Birne und hatte wohl einen Adrenalinkick, weil er so eine Angst hatte.“ * Weil äthHen nicht leicht zugänglich ist, will ich obige Stelle noch eben wörtlich wiedergeben: &lt;poem&gt;„In diesen Tagen werden auserwählte und heilige Kinder vom hohen Himmel herabsteigen und ihr Stamm wird sich mit den Menschenkindern vereinigen. [...] Hier sah ich ein anderes Gesicht: Die Wohnungen der Gerechten und die Ruhestätten der Heiligen. [...] Ich sah seine [=des Auserwählten] Wohnstätte unter den Fittichen des Herrn der Geister. Alle Gerechten und Auserwählten glänzen vor ihm wie Feuerschein; ihr Mund ist voll von Segensworten; ihre Lippen preisen den Namen des Herrn der Geister und Gerechtigkeit hört nicht mehr vor ihm auf. Hier wünschte ich zu wohnen und meine Seele trug nach jener Wohnstätte Verlangen. [...]“ (Üs.: Rießler)&lt;/poem&gt;</w:t>
      </w:r>
    </w:p>
  </w:footnote>
  <w:footnote w:id="1740">
    <w:p>
      <w:pPr>
        <w:pStyle w:val="Funote"/>
        <w:rPr/>
      </w:pPr>
      <w:r>
        <w:rPr/>
        <w:footnoteRef/>
        <w:tab/>
        <w:t>hüllte ein (verbarg, überschattete) - s. nächste Fußnote</w:t>
      </w:r>
    </w:p>
  </w:footnote>
  <w:footnote w:id="1741">
    <w:p>
      <w:pPr>
        <w:pStyle w:val="Funote"/>
        <w:rPr/>
      </w:pPr>
      <w:r>
        <w:rPr/>
        <w:footnoteRef/>
        <w:tab/>
        <w:t xml:space="preserve">sie - Das „sie“ scheint sich hier auf die Jünger zu beziehen, da diese die letztmöglichen Referenten sind. („So sehr fürchteten sie sich. Und eine Wolke hüllte sie ein...“). So deshalb z.B. Ernst 1963, S. 258, Pesch 1977, S. 76; Kmiecik 1997, S. 139. Pronomina wie </w:t>
      </w:r>
      <w:r>
        <w:rPr>
          <w:lang w:val="el-GR"/>
        </w:rPr>
        <w:t>αὐτός</w:t>
      </w:r>
      <w:r>
        <w:rPr/>
        <w:t xml:space="preserve"> müssen sich im Griechischen aber nicht notwendigerweise auf den letztmöglichen Referenten beziehen, sondern können auch auf die salientesten (-&gt;Salienz) Referenten verweisen (vgl. z.B. Dana/Mantey § 136; Wallace, S. 325f.; Zerwick § 214) - und die sind hier ohne Zweifel Jesus, Mose und Elija. Dass im folgenden Teilvers eine Stimme aus der Wolke spricht, impliziert, dass die Jünger sich außerhalb der Wolke befinden, und also bezieht das sie sich höchstwahrscheinlich auf Jesus, Mose und Elija. So z.B. auch Gnilka 1979; Marcus 2009. Richtig Cranfield 1959, S. 292: „Oepke hat wahrscheinlich recht damit, wenn er denkt, dass die Bedeutung von </w:t>
      </w:r>
      <w:r>
        <w:rPr>
          <w:lang w:val="el-GR"/>
        </w:rPr>
        <w:t>ἐπισκιάζω</w:t>
      </w:r>
      <w:r>
        <w:rPr/>
        <w:t xml:space="preserve"> hier nicht »überschatten«, sondern »einhüllen«, »verbergen« ist [so auch Marcus 2009] und dass </w:t>
      </w:r>
      <w:r>
        <w:rPr>
          <w:lang w:val="el-GR"/>
        </w:rPr>
        <w:t>αὐτοῖς</w:t>
      </w:r>
      <w:r>
        <w:rPr/>
        <w:t xml:space="preserve"> sich auf Jesus, Moses und Elija bezieht, die Jünger dagegen darin nicht inbegriffen sind.“ Das Einhüllen der Wolke entzieht das himmlische Erlebnis den Augen der Jünger, und als sie sich wieder verzieht, sind sie „plötzlich“ (V. 9) wieder allein mit Jesus.</w:t>
      </w:r>
    </w:p>
  </w:footnote>
  <w:footnote w:id="1742">
    <w:p>
      <w:pPr>
        <w:pStyle w:val="Funote"/>
        <w:rPr/>
      </w:pPr>
      <w:r>
        <w:rPr/>
        <w:footnoteRef/>
        <w:tab/>
        <w:t xml:space="preserve">geliebter - </w:t>
      </w:r>
      <w:r>
        <w:rPr>
          <w:lang w:val="el-GR"/>
        </w:rPr>
        <w:t>ἀγαπητός</w:t>
      </w:r>
      <w:r>
        <w:rPr/>
        <w:t xml:space="preserve"> meint hier wie z.B. auch Gen 22,2.16 LXX und Mk 1,11 wohl nicht (allein) »geliebt«, sondern »einzig«; vgl. z.B. Kleist 1937, S. 184; Kmiecik 1997, S. 139; Turner 1926b; Wördemann 2008, S. 47. Seine Bedeutung ist aber dennoch »geliebt«, gut daher Camacho/Mateos 1994: »Dieser ist mein Sohn, der Geliebte« (ähnlich Dschulnigg 2007, GREB, KAR, NIV, NRS, Pesch 1977, Stier, TNIV, WNT, YLT); GN: »Dies ist mein Sohn, ihm gilt meine Liebe« (ähnlich CEB, CJB, GW, NCV, Taylor 1979, S. 462, WIL); BB: »Das ist mein Sohn, ihn hab ich lieb« (ähnlich NIRV).</w:t>
      </w:r>
    </w:p>
  </w:footnote>
  <w:footnote w:id="1743">
    <w:p>
      <w:pPr>
        <w:pStyle w:val="Funote"/>
        <w:rPr/>
      </w:pPr>
      <w:r>
        <w:rPr/>
        <w:footnoteRef/>
        <w:tab/>
        <w:t>[darum] - »[darum]« gut nach Reiser 1983, S. 145.</w:t>
      </w:r>
    </w:p>
  </w:footnote>
  <w:footnote w:id="1744">
    <w:p>
      <w:pPr>
        <w:pStyle w:val="Funote"/>
        <w:rPr/>
      </w:pPr>
      <w:r>
        <w:rPr/>
        <w:footnoteRef/>
        <w:tab/>
        <w:t xml:space="preserve">niemanden nicht - typisch markinische doppelte Verneinung; vgl. Marcus 2009. Hier wieder gepaart mit weiterer Redundanz: </w:t>
      </w:r>
      <w:r>
        <w:rPr>
          <w:lang w:val="el-GR"/>
        </w:rPr>
        <w:t>μόνον</w:t>
      </w:r>
      <w:r>
        <w:rPr/>
        <w:t xml:space="preserve"> allein in „außer Jesus allein“ ist überflüssig. Es wird so betont, dass das plötzliche Verschwinden von Elija und Moses genau so wunderbar ist wie ihr Erscheinen.</w:t>
      </w:r>
    </w:p>
  </w:footnote>
  <w:footnote w:id="1745">
    <w:p>
      <w:pPr>
        <w:pStyle w:val="Funote"/>
        <w:rPr/>
      </w:pPr>
      <w:r>
        <w:rPr/>
        <w:footnoteRef/>
        <w:tab/>
        <w:t>bei sich - warum „bei sich“? Recht wahrscheinlich gehört dies zum in FN i beschriebenen Muster und unterstreicht noch einmal die Perikope abschließend, dass all das in Vv. 2-8 Geschehene ihnen, den Jüngern, gegolten hat. Es klingt aber etwas merkwürdig und wird daher auch von vielen kommunikativen Üss. ausgespart (z.B. BB, B/N, HfA, KAM). Vielleicht sollte man in der LF daher nach einem anderen Weg suchen, dieses Muster auszudrücken; gut vielleicht GN, GNT, NGÜ, NL, NLT: „...sahen sie niemanden mehr. Nur Jesus war noch bei ihnen“.</w:t>
      </w:r>
    </w:p>
  </w:footnote>
  <w:footnote w:id="1746">
    <w:p>
      <w:pPr>
        <w:pStyle w:val="Funote"/>
        <w:rPr/>
      </w:pPr>
      <w:r>
        <w:rPr/>
        <w:footnoteRef/>
        <w:tab/>
        <w:t xml:space="preserve">V. 9: vom (aus dem) - </w:t>
      </w:r>
      <w:r>
        <w:rPr>
          <w:lang w:val="el-GR"/>
        </w:rPr>
        <w:t>ἐκ</w:t>
      </w:r>
      <w:r>
        <w:rPr/>
        <w:t xml:space="preserve"> verwendet wie </w:t>
      </w:r>
      <w:r>
        <w:rPr>
          <w:lang w:val="el-GR"/>
        </w:rPr>
        <w:t>ἀπό</w:t>
      </w:r>
      <w:r>
        <w:rPr/>
        <w:t>; vielleicht Semitismus - s. Turner 1929a, S. 282f. Daher auch Textvarianten.</w:t>
      </w:r>
    </w:p>
  </w:footnote>
  <w:footnote w:id="1747">
    <w:p>
      <w:pPr>
        <w:pStyle w:val="Funote"/>
        <w:rPr/>
      </w:pPr>
      <w:r>
        <w:rPr/>
        <w:footnoteRef/>
        <w:tab/>
        <w:t xml:space="preserve">V. 9: dass,; V. 12.18.30: dass (damit) - </w:t>
      </w:r>
      <w:r>
        <w:rPr>
          <w:lang w:val="el-GR"/>
        </w:rPr>
        <w:t>ἵνα</w:t>
      </w:r>
      <w:r>
        <w:rPr/>
        <w:t xml:space="preserve"> zur Einleitung von Objektsätzen (klassisch eigtl. nur zur Einleitung von Final- und Konsekutivsätzen). Entweder Latinismus (verwendet wie lat. ut (so Turner 1929b, S. 356f; van Iersel 1998, S. 34f.)) oder Semitismus (verwendet wie hebr. </w:t>
      </w:r>
      <w:r>
        <w:rPr>
          <w:rtl w:val="true"/>
          <w:lang w:bidi="he-IL"/>
        </w:rPr>
        <w:t>כִּי</w:t>
      </w:r>
      <w:r>
        <w:rPr/>
        <w:t>). Typisch für Mk; insgesamt 31x im Ev.</w:t>
      </w:r>
    </w:p>
  </w:footnote>
  <w:footnote w:id="1748">
    <w:p>
      <w:pPr>
        <w:pStyle w:val="Funote"/>
        <w:rPr/>
      </w:pPr>
      <w:r>
        <w:rPr/>
        <w:footnoteRef/>
        <w:tab/>
        <w:t>erst (außer) - Exzeptivsatz temporal verwendet, wohl Semitismus; vgl. Beyer 1968, S. 132-34; Marcus 2009</w:t>
      </w:r>
    </w:p>
  </w:footnote>
  <w:footnote w:id="1749">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750">
    <w:p>
      <w:pPr>
        <w:pStyle w:val="Funote"/>
        <w:rPr/>
      </w:pPr>
      <w:r>
        <w:rPr/>
        <w:footnoteRef/>
        <w:tab/>
        <w:t>von den Toten - gemeint ist nicht das „Reich der Toten“, sondern die toten Menschen; vgl. BDAG 668; ad loc. Marcus 2009. Vor allen anderen Toten und als (vorerst) einziger unter den Toten wird der Menschensohn auferstehen.</w:t>
      </w:r>
    </w:p>
  </w:footnote>
  <w:footnote w:id="1751">
    <w:p>
      <w:pPr>
        <w:pStyle w:val="Funote"/>
        <w:rPr/>
      </w:pPr>
      <w:r>
        <w:rPr/>
        <w:footnoteRef/>
        <w:tab/>
        <w:t xml:space="preserve">behielten das Wort bei sich (bei sich), diskutierten (miteinander) - </w:t>
      </w:r>
      <w:r>
        <w:rPr>
          <w:lang w:val="el-GR"/>
        </w:rPr>
        <w:t>πρὸς ἑαυτοὺς</w:t>
      </w:r>
      <w:r>
        <w:rPr/>
        <w:t xml:space="preserve"> bei sich/miteinander lässt sich entweder ziehen zu </w:t>
      </w:r>
      <w:r>
        <w:rPr>
          <w:lang w:val="el-GR"/>
        </w:rPr>
        <w:t>τὸν λόγον ἐκράτησαν</w:t>
      </w:r>
      <w:r>
        <w:rPr/>
        <w:t xml:space="preserve">sie hielten das Wort oder zu </w:t>
      </w:r>
      <w:r>
        <w:rPr>
          <w:lang w:val="el-GR"/>
        </w:rPr>
        <w:t>συζητοῦντες</w:t>
      </w:r>
      <w:r>
        <w:rPr/>
        <w:t xml:space="preserve"> sie diskutierten; abhängig davon lässt der Satz sich auf zwei Weisen auflösen: (1) „Sie behielten das Wort bei sich [i.e., folgten Jesu Schweigegebot], diskutierten aber darüber“ - so z.B. Camacho/Mateos 1994, S. 172; Cranfield 1959, S. 297; Kleist 1937, S. 214 - oder (2) „Sie hielten das Wort [i.e. sie merkten es sich (so gut B/N)] und diskutierten miteinander“, so die meisten Üss. Rein syntaktisch gesehen sind beide Auflösungen gleich gut möglich, aber im aktuellen Kontext (s. V.9) macht Auflösung (1) mehr Sinn.</w:t>
      </w:r>
    </w:p>
  </w:footnote>
  <w:footnote w:id="1752">
    <w:p>
      <w:pPr>
        <w:pStyle w:val="Funote"/>
        <w:rPr/>
      </w:pPr>
      <w:r>
        <w:rPr/>
        <w:footnoteRef/>
        <w:tab/>
        <w:t>„</w:t>
      </w:r>
      <w:r>
        <w:rPr/>
        <w:t>von den Toten Auferstehen“ - rätselhaft ist den Jüngern vermutlich nicht das Konzept „vom Tod auferstehen“ - das war in der nachexilischen Zeit in Israel sogar recht verbreitet -, sondern exakt das „als erster und vorerst einziger der Toten auferstehen“, vgl. FN ag; so gut Marcus 2009 ad loc..</w:t>
      </w:r>
    </w:p>
  </w:footnote>
  <w:footnote w:id="1753">
    <w:p>
      <w:pPr>
        <w:pStyle w:val="Funote"/>
        <w:rPr/>
      </w:pPr>
      <w:r>
        <w:rPr/>
        <w:footnoteRef/>
        <w:tab/>
        <w:t xml:space="preserve">Warum sagen [dann] die Schriftgelehrten (fragten sie ihn, warum die Schriftgelehrten sagten) - im klassischen Griechisch leitet </w:t>
      </w:r>
      <w:r>
        <w:rPr>
          <w:lang w:val="el-GR"/>
        </w:rPr>
        <w:t>Ὅτι</w:t>
      </w:r>
      <w:r>
        <w:rPr/>
        <w:t xml:space="preserve"> dass meist indirekte Fragen ein. Bes. im Mk-Ev. wird es aber dann auch gern als »reine« Interrogativpartikel verwendet; vgl. BDR §300.2; Turner 1925d, S. 59f.</w:t>
      </w:r>
    </w:p>
  </w:footnote>
  <w:footnote w:id="1754">
    <w:p>
      <w:pPr>
        <w:pStyle w:val="Funote"/>
        <w:rPr/>
      </w:pPr>
      <w:r>
        <w:rPr/>
        <w:footnoteRef/>
        <w:tab/>
        <w:t xml:space="preserve">Schwieriger Vers. Der Zhg. von V. 12bc mit mit 12a ist nicht völlig klar. V. 12a wird eingeleitet von </w:t>
      </w:r>
      <w:r>
        <w:rPr>
          <w:lang w:val="el-GR"/>
        </w:rPr>
        <w:t>μέν</w:t>
      </w:r>
      <w:r>
        <w:rPr/>
        <w:t xml:space="preserve">, das meist vorkommt im Zhg. mit </w:t>
      </w:r>
      <w:r>
        <w:rPr>
          <w:lang w:val="el-GR"/>
        </w:rPr>
        <w:t>δὲ</w:t>
      </w:r>
      <w:r>
        <w:rPr/>
        <w:t xml:space="preserve">, dann: Zwar... aber. Fehlt dies </w:t>
      </w:r>
      <w:r>
        <w:rPr>
          <w:lang w:val="el-GR"/>
        </w:rPr>
        <w:t>δὲ</w:t>
      </w:r>
      <w:r>
        <w:rPr/>
        <w:t xml:space="preserve">, heißt </w:t>
      </w:r>
      <w:r>
        <w:rPr>
          <w:lang w:val="el-GR"/>
        </w:rPr>
        <w:t>μέν</w:t>
      </w:r>
      <w:r>
        <w:rPr/>
        <w:t xml:space="preserve"> meist tatsächlich, in der Tat.... Hier folgt kein </w:t>
      </w:r>
      <w:r>
        <w:rPr>
          <w:lang w:val="el-GR"/>
        </w:rPr>
        <w:t>δὲ</w:t>
      </w:r>
      <w:r>
        <w:rPr/>
        <w:t xml:space="preserve">, sondern </w:t>
      </w:r>
      <w:r>
        <w:rPr>
          <w:lang w:val="el-GR"/>
        </w:rPr>
        <w:t>καὶ πῶς</w:t>
      </w:r>
      <w:r>
        <w:rPr/>
        <w:t xml:space="preserve"> und wie...?, und warum...?; einige (z.B. Cranfield 1959, S. 298; Gundry 1993, S. 464; NSS) denken aber, dass dies </w:t>
      </w:r>
      <w:r>
        <w:rPr>
          <w:lang w:val="el-GR"/>
        </w:rPr>
        <w:t>καὶ πῶς</w:t>
      </w:r>
      <w:r>
        <w:rPr/>
        <w:t xml:space="preserve"> hier als Ersatz für </w:t>
      </w:r>
      <w:r>
        <w:rPr>
          <w:lang w:val="el-GR"/>
        </w:rPr>
        <w:t>δὲ</w:t>
      </w:r>
      <w:r>
        <w:rPr/>
        <w:t xml:space="preserve"> verwendet wird. Möglich ist also jede der folgenden Kombinationen: * (1) »[Zwar/in der Tat] kommt zuerst Elija, um alles wieder herzustellen[. Und wieso/, aber es] steht über den Menschensohn geschrieben, dass er leiden und verachtet werden müsse [?/.]« Problem bei diesen Varianten: Alle implizieren, dass irgendein Gegensatz besteht zwischen der Tatsache, dass zuerst - d.h., vor dem Ende - Elija wiederkommen müsse und der Tatsache, dass über den Menschensohn geschrieben stehe, dass er leiden und verachtet werden müsse. Ein solcher Gegensatz ist aber nicht erkennbar. Gnilka 1979 und Marcus 2009 verstehen 12a als Frage: * (2) »Kommt Elija zuerst, um alles wiederherzustellen? Wieso steht dann über den Menschensohn geschrieben...« (Gnilka) * (3) »Ist das wirklich so, dass Elija, wenn er zuerst wiederkommt, alles wiederherstellt?« (Marcus) Für drei weitere (verzweifelte) Lösungen vgl. Oke 1953; für eine alte textkritische (und textkritisch nicht haltbare) Linder 1862, S. 558f.. (2) ist unwahrscheinlich, weil in V. 13 die Wiederkunft Elija's ja sogar als bereits geschehen ausgesagt wird. Bei (3) bin ich nicht einmal sicher, ob diese Deutung von </w:t>
      </w:r>
      <w:r>
        <w:rPr>
          <w:lang w:val="el-GR"/>
        </w:rPr>
        <w:t>μέν</w:t>
      </w:r>
      <w:r>
        <w:rPr/>
        <w:t xml:space="preserve"> überhaupt grammatisch möglich ist, aber selbst wenn, macht sie keinen Sinn: Die Jünger haben nicht danach gefragt, warum die Schriftgelehrten sagen, dass Elija alles wiederherstellt, sondern warum sie sagen, dass er zuerst kommen muss; Jesu Rückfrage wäre so also unsinnig (»Warum sagen die Schriftgelehrten, dass Elija zuerst kommen muss?« - »Ist das wirklich so, dass Elija alles wiederherstellt?«). Bleiben also wieder die Varianten in (1) und das Problem des nicht erkennbaren Widerspruchs. Vermutlich muss man die Verse so verstehen, dass dieser von uns nicht wahrnehmbare Widerspruch zwischen den Geschehnissen an Elija und denen am Menschensohn nur in der Wahrnehmung der Jünger bestand: Die Jünger haben Jesu Prophezeiung so aufgefasst, als würde sie bedeuten, dass der Menschensohn und nicht Elija vor dem Ende wiederkommen werde. Und Jesus antwortet darauf sinngemäß: »Nein nein, die Schriftgelehrten haben schon recht damit, wenn sie sagen, dass vor dem Ende der Welt Elija wiederkommen müsse. Aber gleichzeitig steht ja in der Schrift, dass der Menschensohn - ebenfalls noch vor dem Ende! - leiden und verachtet werden müsse. Das muss einfach beides geschehen. Und jetzt sage ich euch noch etwas: Was die Wiederkunft Elija's angeht: Der war schon da [- und nun steht nur noch das Leiden und Verachtet-Werden des Menschensohns aus].«</w:t>
      </w:r>
    </w:p>
  </w:footnote>
  <w:footnote w:id="1755">
    <w:p>
      <w:pPr>
        <w:pStyle w:val="Funote"/>
        <w:rPr/>
      </w:pPr>
      <w:r>
        <w:rPr/>
        <w:footnoteRef/>
        <w:tab/>
        <w:t xml:space="preserve">kommt + stellt wieder her - Wenn wir Vv. 12f richtig gedeutet haben (vgl. FN ai, FN al), werden die Verbformen in V. 12 klug verwendet: </w:t>
      </w:r>
      <w:r>
        <w:rPr>
          <w:lang w:val="el-GR"/>
        </w:rPr>
        <w:t>ἐλθὼν</w:t>
      </w:r>
      <w:r>
        <w:rPr/>
        <w:t xml:space="preserve"> kommt ist Partizip Aorist, </w:t>
      </w:r>
      <w:r>
        <w:rPr>
          <w:lang w:val="el-GR"/>
        </w:rPr>
        <w:t>ἀποκαθιστάνει</w:t>
      </w:r>
      <w:r>
        <w:rPr/>
        <w:t xml:space="preserve"> stellt wieder her ist Indikativ Präsens. Partizip Aorist hat meist vorzeitige Bedeutung und wird so zeitlich relativ vor das Indikativ Präsens er stellt wieder her eingeordnet. Und Indikativ Präsens kann (1) gnomische Bedeutung haben; Jesus würde dann etwas über die überzeitliche Wahrheit dessen, was geschrieben steht, aussagen, ohne auf den exakten Zeitpunkt zu achten(»In der Tat: Das mit dem zuerst-Kommen und dem folgenden alles-Wiederherstellen Elija's stimmt«), es kann aber (2) auch effektive Bedeutung haben und so aussagen, dass es bereits geschehen ist und nun die Effekte dieses eingetreten-Seins in Kraft sind, also »er ist gekommen, hat alles wiederhergestellt und nun ist alles wiederhergestellt.« In V. 12 sind - wieder: wenn wir Vv. 12f richtig gedeutet haben - beide Bedeutungen aktiv: (1) macht V. 12 zu einer sinnvollen Antwort auf die Anfrage der Jünger in V. 11, (2) deckt sich mit der folgenden Richtigstellung in V. 13.</w:t>
      </w:r>
    </w:p>
  </w:footnote>
  <w:footnote w:id="1756">
    <w:p>
      <w:pPr>
        <w:pStyle w:val="Funote"/>
        <w:rPr/>
      </w:pPr>
      <w:r>
        <w:rPr/>
        <w:footnoteRef/>
        <w:tab/>
        <w:t>stellt alles wieder her - Wieso stellt Elija »alles wieder her?« Elija war nach altjüdischem Glauben zwar der Vorläufer des Messias (wahrscheinlich jedenfalls - Faierstein 1981 und Fitzmyer 1985 haben gegen diesen exegetischen Konsens angeschrieben), aber davon, dass er »alles wiederherstellt« war nie die Rede. Zudem ist der wiedergekommene Elija im Mk-Ev. Johannes der Täufer (s. FNn zu Mk 1), und es ist nicht einzusehen, wie Johannes »alles wiederhergestellt« haben sollte. van Iersel 1998 und Black 2012 denken an Mk 1,4, wo steht, dass ganz Judäa und ganz Jerusalem sich bei Johannes taufen gelassen habe. Das scheint mir etwas weit hergeholt, aber es ist dennoch die bei Weitem sinnvollste Erklärung, die ich gefunden habe.</w:t>
      </w:r>
    </w:p>
  </w:footnote>
  <w:footnote w:id="1757">
    <w:p>
      <w:pPr>
        <w:pStyle w:val="Funote"/>
        <w:rPr/>
      </w:pPr>
      <w:r>
        <w:rPr/>
        <w:footnoteRef/>
        <w:tab/>
        <w:t xml:space="preserve">Aber ich sage euch (Ja, mehr noch:) - »ich sage euch« fungiert im NT genauso wie nicht-responsorisches °Amen°: Das Folgende wird als definitiv wahr markiert. V. 13 schließt an V. 12 mit </w:t>
      </w:r>
      <w:r>
        <w:rPr>
          <w:lang w:val="el-GR"/>
        </w:rPr>
        <w:t>ἀλλά</w:t>
      </w:r>
      <w:r>
        <w:rPr/>
        <w:t xml:space="preserve"> an, das meist adversative Bedeutung hat (aber, stattdessen, nichtsdestotrotz,...). Wenn unsere Deutung von Vv. 12f (vgl. FN ai, FN al) richtig ist, wird mit V. 13 V. 12 aber nicht kontrastiert, sondern spezifiziert (vgl. auch Brannan 2008, S. 14f.): Die Position der Schriftgelehrten wird in V. 12 prinzipiell angenommen, in V. 13 aber durch die definitive Wahrheit genauer ausgeführt: Nicht nur muss Elija kommen - er ist sogar bereits gekommen. Vgl. auch WIL: »Elia ist schon gekommen.« Daher statt aber ich sage euch besser: Ja, mehr noch (so gut auch CJB: »There's more to it:...«). Das </w:t>
      </w:r>
      <w:r>
        <w:rPr>
          <w:lang w:val="el-GR"/>
        </w:rPr>
        <w:t>καὶ</w:t>
      </w:r>
      <w:r>
        <w:rPr/>
        <w:t xml:space="preserve"> und, auch in V. 13 markiert noch zusätzlich, dass die beiden Verse keinen Kontrast bilden, sondern dass V. 12 mit V. 13 überstiegen wird, daher besser sogar. Nach Joüon wird von einigen Exegeten das </w:t>
      </w:r>
      <w:r>
        <w:rPr>
          <w:lang w:val="el-GR"/>
        </w:rPr>
        <w:t>ἀλλά</w:t>
      </w:r>
      <w:r>
        <w:rPr/>
        <w:t xml:space="preserve"> auch mit »Eh bien!...«, »Well!...«, »Wohlan!...« übersetzt (z.B. Grosvenor/Zerwick; Kleist 1937; Pesch 1977); auch PAT, KAR: »Nun denn,...«. Ich bin nicht sicher, welche Diskursfunktion das haben soll (Joüon war mir noch nicht zugänglich), aber vermutlich soll auch dies markieren, dass im folgenden Satz V. 12 nicht kontrastiert, sondern weitergeführt wird.</w:t>
      </w:r>
    </w:p>
  </w:footnote>
  <w:footnote w:id="1758">
    <w:p>
      <w:pPr>
        <w:pStyle w:val="Funote"/>
        <w:rPr/>
      </w:pPr>
      <w:r>
        <w:rPr/>
        <w:footnoteRef/>
        <w:tab/>
        <w:t>auch (sogar) - s. FN an</w:t>
      </w:r>
    </w:p>
  </w:footnote>
  <w:footnote w:id="1759">
    <w:p>
      <w:pPr>
        <w:pStyle w:val="Funote"/>
        <w:rPr/>
      </w:pPr>
      <w:r>
        <w:rPr/>
        <w:footnoteRef/>
        <w:tab/>
        <w:t xml:space="preserve">erschrak sie (staunte sie) - </w:t>
      </w:r>
      <w:r>
        <w:rPr>
          <w:lang w:val="el-GR"/>
        </w:rPr>
        <w:t>ἐκθαμβέομαι</w:t>
      </w:r>
      <w:r>
        <w:rPr/>
        <w:t xml:space="preserve"> im NT nur in Mk. (hier; Mk 14,33; 16,5.16). In Mk 9,15 differieren Lexika und Üss deutlich. In dt. Üss meist „wurde ganz aufgeregt“ (aber wohl nur, weil dies die bedeutungsoffenste Üs. ist); danach „erschrak sie“; auch „war überrascht“ (H-R; so auch die meisten englischen Üss); „waren außer sich vor Freude“ (B/N, ähnlich ALB, MEN); „sie erschauderten“ (Pesch 1977; Stier); „erfaßte alle ein großes Erstaunen“ (KAR); „überkam die gesamte Volksmenge heilige Scheu“ (KNO). Es handelt sich hier um ein „vorgezogenes Admirationsmotiv“ (so z.B. Dschulnigg 2007, S. 253; Pesch 1977, S. 87; Theißen 1990, S. 80): Für gewöhnlich am Ende von Wundergeschichten (am Anfang nur hier und Mk 1,22) reagieren die Zuschauer angemessen auf dieses Wunder; es handelt sich also wohl um eine Mischung aus Bewunderung, Erstaunen und tatsächlich „heiliger Scheu“ (KNO). Gut daher van Iersel 1998, Marcus 2009, NLT, NRS: „were overcome with awe“; sehr gut WNT: „astonished and awe-struck“. Ich würde empfehlen: „Kaum hatte die ganze Menge ihn erblickt, lief sie ehrfürchtig staunend zu ihm hin und begrüßte ihn freudig.“</w:t>
      </w:r>
    </w:p>
  </w:footnote>
  <w:footnote w:id="1760">
    <w:p>
      <w:pPr>
        <w:pStyle w:val="Funote"/>
        <w:rPr/>
      </w:pPr>
      <w:r>
        <w:rPr/>
        <w:footnoteRef/>
        <w:tab/>
        <w:t xml:space="preserve">begrüßte ihn [freudig] - [freudig] nach EWNT I, S. 416: </w:t>
      </w:r>
      <w:r>
        <w:rPr>
          <w:lang w:val="el-GR"/>
        </w:rPr>
        <w:t>ἀσπάζομαι</w:t>
      </w:r>
      <w:r>
        <w:rPr/>
        <w:t xml:space="preserve"> „als Ausdruck der Zuneigung, der freudigen Aufnahme“.</w:t>
      </w:r>
    </w:p>
  </w:footnote>
  <w:footnote w:id="1761">
    <w:p>
      <w:pPr>
        <w:pStyle w:val="Funote"/>
        <w:rPr/>
      </w:pPr>
      <w:r>
        <w:rPr/>
        <w:footnoteRef/>
        <w:tab/>
        <w:t xml:space="preserve">sie + ihr + mit ihnen - Das </w:t>
      </w:r>
      <w:r>
        <w:rPr>
          <w:lang w:val="el-GR"/>
        </w:rPr>
        <w:t>αὐτούς</w:t>
      </w:r>
      <w:r>
        <w:rPr/>
        <w:t xml:space="preserve"> sie wirkt, als würde es sich auf die Volksmenge beziehen: Sie ist der letztmögliche Referent und es ist auch einer aus der Volksmenge, der antwortet. So klar ist die Sache aber nicht (vgl. wieder FN x): Die „sie“ werden gefragt, warum „sie“ mit „ihnen“ diskutieren. Weil - so der übliche Argumentationsgang - von den drei Parteien Jünger, Volksmenge und Schriftgelehrte die Volksmenge die einzige Partei ist, die in V. 14 nicht als diskutierend dargestellt wird, muss sich das sie entweder auf die Jünger (z.B. Gnilka 1979) oder auf die Schriftgelehrten (z.B. Lührmann 1987) beziehen. Ich glaube, das ist falsch gesehen - V. 14 schildert nicht drei Parteien, sondern zwei: 14c schildert das Setting - da sind (a) die Jünger und (b) die Volksmenge -, 14d das Geschehen: Schriftgelehrte und Jünger diskutieren miteinander. Die Schriftgelehrten sind also in 14c in die Volksmenge inkludiert, und also ist es auch kein Problem, wenn Jesus seine Frage an die Volksmenge richtet. Sinngemäß also: „Jesus fragte in die Menge: Worüber diskutiert ihr mit meinen Jüngern?“</w:t>
      </w:r>
    </w:p>
  </w:footnote>
  <w:footnote w:id="1762">
    <w:p>
      <w:pPr>
        <w:pStyle w:val="Funote"/>
        <w:rPr/>
      </w:pPr>
      <w:r>
        <w:rPr/>
        <w:footnoteRef/>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Das ist kein Semitismus; diese Verwendung findet sich z.B. auch bei Aristoteles; vgl. Pape, S. 738.</w:t>
      </w:r>
    </w:p>
  </w:footnote>
  <w:footnote w:id="1763">
    <w:p>
      <w:pPr>
        <w:pStyle w:val="Funote"/>
        <w:rPr/>
      </w:pPr>
      <w:r>
        <w:rPr/>
        <w:footnoteRef/>
        <w:tab/>
        <w:t xml:space="preserve">aus (aus heraus) - vgl. FN ac: </w:t>
      </w:r>
      <w:r>
        <w:rPr>
          <w:lang w:val="el-GR"/>
        </w:rPr>
        <w:t>ἐκ</w:t>
      </w:r>
      <w:r>
        <w:rPr/>
        <w:t xml:space="preserve"> verwendet wie </w:t>
      </w:r>
      <w:r>
        <w:rPr>
          <w:lang w:val="el-GR"/>
        </w:rPr>
        <w:t>ἀπό</w:t>
      </w:r>
      <w:r>
        <w:rPr/>
        <w:t>; vielleicht Semitismus - s. Turner 1929a, S. 282f.</w:t>
      </w:r>
    </w:p>
  </w:footnote>
  <w:footnote w:id="1764">
    <w:p>
      <w:pPr>
        <w:pStyle w:val="Funote"/>
        <w:rPr/>
      </w:pPr>
      <w:r>
        <w:rPr/>
        <w:footnoteRef/>
        <w:tab/>
        <w:t>habe zu dir gebracht (wollte zu dir bringen) offensichtlich hat er ihn ja nicht zu Jesus gebracht - denn der war nicht da. Es war nur seine Intention, ihn zu Jesus zu bringen; vgl. Cranfield 1959, S. 301 - daher besser modal zu übersetzen: »Ich wollte meinen Sohn zu dir bringen«.</w:t>
      </w:r>
    </w:p>
  </w:footnote>
  <w:footnote w:id="1765">
    <w:p>
      <w:pPr>
        <w:pStyle w:val="Funote"/>
        <w:rPr/>
      </w:pPr>
      <w:r>
        <w:rPr/>
        <w:footnoteRef/>
        <w:tab/>
        <w:t>weil - adv. Ptc., kausal aufgelöst.</w:t>
      </w:r>
    </w:p>
  </w:footnote>
  <w:footnote w:id="1766">
    <w:p>
      <w:pPr>
        <w:pStyle w:val="Funote"/>
        <w:rPr/>
      </w:pPr>
      <w:r>
        <w:rPr/>
        <w:footnoteRef/>
        <w:tab/>
        <w:t>einen stummen Geist (einen Geist, der ihn stumm macht) - welches von beidem gemeint ist, ist nicht ganz klar. Natürlich heißt es wörtlich »stummer Geist«, aber es ist auffällig, dass der Geist gerade im Zhg. mit der Schilderung der Krankheitssymptome als »stumm« bezeichnet wird, und selbst wenn es wirklich auf den Geist zu beziehen ist, könnte das ja auch gerade deshalb auf den Geist zu beziehen sein, weil er den Jungen stumm macht. Was zum Krankheitsbild passt; eine steife Zunge gehört zum Krankheitsbild der Epilepsie. Deshalb »ein Geist, der ihn stumm macht« z.B. bei BB, BBE, Camacho/Mateos 1994, CEB, CJB, CSB, ESV, GN, GNT, GW, HfA, KAM, LEB, NAS, NCV, NeÜ, NIRV, NIV, NL, NLT, NRS, TNIV. Ohne das ausschließen zu wollen, würde ich dennoch »stummer Geist« empfehlen - allein schon, weil in V. 25 »Du Geist, der stumm und taub macht« unglücklich klingen würde.</w:t>
      </w:r>
    </w:p>
  </w:footnote>
  <w:footnote w:id="1767">
    <w:p>
      <w:pPr>
        <w:pStyle w:val="Funote"/>
        <w:rPr/>
      </w:pPr>
      <w:r>
        <w:rPr/>
        <w:footnoteRef/>
        <w:tab/>
        <w:t>wo auch immer [er ist, wenn] - das »wo auch immer« bezieht sich nicht auf den Körperteil, an dem der Geist den Jungen jeweils packt (so z.B. B/N: »Wo immer er ihn an seinem Leib zu packen kriegt«) - obwohl bei Epileptikern bei sogenannten »fokalen Anfällen« in der Tat nur einzelne Körperteile betroffen sein können -, sondern auf den Ort, an dem der Junge sich jeweils bei einem seiner epileptischen Anfälle befindet (so z.B. Marcus 2009: »Wo immer er ist, wenn es ihn packt«; ähnlich GW, GNT, MSG, NAS, NIV, NLT, NRS, TNIV, TYN: »Wann immer der Geist ihn packt«)</w:t>
      </w:r>
    </w:p>
  </w:footnote>
  <w:footnote w:id="1768">
    <w:p>
      <w:pPr>
        <w:pStyle w:val="Funote"/>
        <w:rPr/>
      </w:pPr>
      <w:r>
        <w:rPr/>
        <w:footnoteRef/>
        <w:tab/>
        <w:t xml:space="preserve">anfällt (packt) - meist »packt«. </w:t>
      </w:r>
      <w:r>
        <w:rPr>
          <w:lang w:val="el-GR"/>
        </w:rPr>
        <w:t>καταλαμβάνω</w:t>
      </w:r>
      <w:r>
        <w:rPr/>
        <w:t xml:space="preserve"> kommt von der selben Wurzel wie </w:t>
      </w:r>
      <w:r>
        <w:rPr>
          <w:lang w:val="el-GR"/>
        </w:rPr>
        <w:t>ἐπιλαμβάνομαι</w:t>
      </w:r>
      <w:r>
        <w:rPr/>
        <w:t>, das gleichzeitig terminus technicus für Besessenheit und für den epileptischen Anfall ist (und sogar das Etymon des deutschen »Epilepsie« ist). In »anfallen« kommt dieser Zhg. auch im Deutschen zum Ausdruck.</w:t>
      </w:r>
    </w:p>
  </w:footnote>
  <w:footnote w:id="1769">
    <w:p>
      <w:pPr>
        <w:pStyle w:val="Funote"/>
        <w:rPr/>
      </w:pPr>
      <w:r>
        <w:rPr/>
        <w:footnoteRef/>
        <w:tab/>
        <w:t xml:space="preserve">zerrt er ihn hin und her (wirft er ihn zu Boden) - W.: reißt er ihn. Nicht: »Wirft er ihn zu Boden«; </w:t>
      </w:r>
      <w:r>
        <w:rPr>
          <w:lang w:val="el-GR"/>
        </w:rPr>
        <w:t>ῥήσσω</w:t>
      </w:r>
      <w:r>
        <w:rPr/>
        <w:t xml:space="preserve"> hin und her zerren (EWNT III, S. 508) steht hier für die epileptischen Konvulsionen des Knaben.</w:t>
      </w:r>
    </w:p>
  </w:footnote>
  <w:footnote w:id="1770">
    <w:p>
      <w:pPr>
        <w:pStyle w:val="Funote"/>
        <w:rPr/>
      </w:pPr>
      <w:r>
        <w:rPr/>
        <w:footnoteRef/>
        <w:tab/>
        <w:t>er hat Schaum vor dem Mund (er schäumt) + er knirscht mit den Zähnen + er wird [ganz] starr stehen für diverse Symptome der Epilepsie; in den Klammern steht die wörtliche Übersetzung. Mit dem »Schäumen« ist schaumiger Speichelfluss gemeint, mit dem Zähneknirschen das Verkrampfen der Gesichtsmuskulatur, das so stark sein kann, dass Epileptiker sich dabei sogar selbst den Kiefer brechen können. Starr werden gut nach Louw/Nida 23.172.; gemeint ist der Ganzkörperkrampf. Treffender: »Er hat Schaum vor dem Mund, sein Gesicht verzerrt sich und er krampft am ganzen Körper«.</w:t>
      </w:r>
    </w:p>
  </w:footnote>
  <w:footnote w:id="1771">
    <w:p>
      <w:pPr>
        <w:pStyle w:val="Funote"/>
        <w:rPr/>
      </w:pPr>
      <w:r>
        <w:rPr/>
        <w:footnoteRef/>
        <w:tab/>
        <w:t xml:space="preserve">und (aber) - »und« zur Verknüpfung von Gegensätzen. So z.B. auch in Platon, Lach 183 - kein Semitismus. Hier deshalb gesetzt, weil die </w:t>
      </w:r>
      <w:r>
        <w:rPr>
          <w:lang w:val="el-GR"/>
        </w:rPr>
        <w:t>καὶ</w:t>
      </w:r>
      <w:r>
        <w:rPr/>
        <w:t>-Häufung die lebendige, dramatische Rede nachbilden sollen (»</w:t>
      </w:r>
      <w:r>
        <w:rPr>
          <w:lang w:val="el-GR"/>
        </w:rPr>
        <w:t>καὶ</w:t>
      </w:r>
      <w:r>
        <w:rPr/>
        <w:t xml:space="preserve"> wo auch immer [er ist, wenn] er ihn anfällt, zerrt er ihn hin und her </w:t>
      </w:r>
      <w:r>
        <w:rPr>
          <w:lang w:val="el-GR"/>
        </w:rPr>
        <w:t>καὶ</w:t>
      </w:r>
      <w:r>
        <w:rPr/>
        <w:t xml:space="preserve"> ihm tritt Schaum vor den Mund </w:t>
      </w:r>
      <w:r>
        <w:rPr>
          <w:lang w:val="el-GR"/>
        </w:rPr>
        <w:t>καὶ</w:t>
      </w:r>
      <w:r>
        <w:rPr/>
        <w:t xml:space="preserve"> sein Kiefer verkrampft sich </w:t>
      </w:r>
      <w:r>
        <w:rPr>
          <w:lang w:val="el-GR"/>
        </w:rPr>
        <w:t>καὶ</w:t>
      </w:r>
      <w:r>
        <w:rPr/>
        <w:t xml:space="preserve"> er wird ganz starr. </w:t>
      </w:r>
      <w:r>
        <w:rPr>
          <w:lang w:val="el-GR"/>
        </w:rPr>
        <w:t>καὶ</w:t>
      </w:r>
      <w:r>
        <w:rPr/>
        <w:t xml:space="preserve"> ich sagte zu deinen Jüngern, dass sie ihn vertreiben sollen </w:t>
      </w:r>
      <w:r>
        <w:rPr>
          <w:lang w:val="el-GR"/>
        </w:rPr>
        <w:t>καὶ</w:t>
      </w:r>
      <w:r>
        <w:rPr/>
        <w:t xml:space="preserve"> sie konnten es nicht.«); vgl. Reiser 1983, S. 103.114.</w:t>
      </w:r>
    </w:p>
  </w:footnote>
  <w:footnote w:id="1772">
    <w:p>
      <w:pPr>
        <w:pStyle w:val="Funote"/>
        <w:rPr/>
      </w:pPr>
      <w:r>
        <w:rPr/>
        <w:footnoteRef/>
        <w:tab/>
        <w:t xml:space="preserve">sie konnten es nicht (sie waren zu schwach dafür) - besser nicht »sie konnten es nicht« - </w:t>
      </w:r>
      <w:r>
        <w:rPr>
          <w:lang w:val="el-GR"/>
        </w:rPr>
        <w:t>ἰσχύω</w:t>
      </w:r>
      <w:r>
        <w:rPr/>
        <w:t xml:space="preserve"> hat die Grundbedeutung stark sein, wird im ntl häufiger als nicht theologisch verwendet und steht öfter z.B. für die Kraft/Macht, die einem Christus/der Glaube/das Gebet verleiht (vgl. EWNT II, S. 512f). Das ist auch hier im Blick; vgl. V. 29. Gut daher EÜ; GW, Marcus 2009, R-S, WNT: »sie hatten nicht die Kraft/Macht dazu«.</w:t>
      </w:r>
    </w:p>
  </w:footnote>
  <w:footnote w:id="1773">
    <w:p>
      <w:pPr>
        <w:pStyle w:val="Funote"/>
        <w:rPr/>
      </w:pPr>
      <w:r>
        <w:rPr/>
        <w:footnoteRef/>
        <w:tab/>
        <w:t xml:space="preserve">sagte er ihnen (fuhr er sie an) + Oh, [du] ungläubiges Geschlecht (Pack)! - überraschend starkes Scheltwort. Das „Geschlecht“ ist in Mk fast ausnahmslos negativ konnotiert und damit beinahe ein Schimpfwort; „ungläubig“ ebenso, da diese Ungläubigkeit geradezu ein moralischer Mangel ist (vgl. die Erweiterung von V. 19 in Mt 17,17; Lk 9,41: „ungläubiges und verkehrtes Geschlecht!“; auch EWNT I, S. 294). Diese Schärfe wird durch die Hinzufügung der Interjektion „Oh!...“ sogar noch zusätzlich verstärkt (vgl. Zerwick §35: „Tatsächlich wird </w:t>
      </w:r>
      <w:r>
        <w:rPr>
          <w:lang w:val="el-GR"/>
        </w:rPr>
        <w:t>ὦ</w:t>
      </w:r>
      <w:r>
        <w:rPr/>
        <w:t xml:space="preserve"> im neuen Testament - außer in Apg - nur in Kontexten verwendet, die eine starke Emotion des Sprechers nahelegen.“). Dieses starke Scheltwort richtet sich hier deutlich (mindestens: auch) an die Jünger, deshalb gab es in der Exegese einige Versuche, das Wort in seiner Referenz „umzubiegen“. Z.B. ist für Pesch 197, S. 90 diese überraschende Schärfe „das sicherste Indiz dafür, daß in der Erzählung ursprünglich vom exorzistischen Unvermögen der Schriftgelehrten und nicht der Jünger Jesu die Rede war.“ - aber dafür gibt es keine Indizien. So schockierend das auch sein mag: Im Text, wie er uns vorliegt, beschimpft Jesus seine Jünger als „ungläubiges Pack“ (so sehr gut B/N). Wegen der Schärfe auch besser fuhr sie an als sagte zu ihnen.</w:t>
      </w:r>
    </w:p>
  </w:footnote>
  <w:footnote w:id="1774">
    <w:p>
      <w:pPr>
        <w:pStyle w:val="Funote"/>
        <w:rPr/>
      </w:pPr>
      <w:r>
        <w:rPr/>
        <w:footnoteRef/>
        <w:tab/>
        <w:t>werde (muss) - sicher modales Futur</w:t>
      </w:r>
    </w:p>
  </w:footnote>
  <w:footnote w:id="1775">
    <w:p>
      <w:pPr>
        <w:pStyle w:val="Funote"/>
        <w:rPr/>
      </w:pPr>
      <w:r>
        <w:rPr/>
        <w:footnoteRef/>
        <w:tab/>
        <w:t xml:space="preserve">Und als der Geist ihn sah, sofort (Kaum hatte der Geist in gesehen - da) - Das Adverb </w:t>
      </w:r>
      <w:r>
        <w:rPr>
          <w:lang w:val="el-GR"/>
        </w:rPr>
        <w:t>εὐθύς</w:t>
      </w:r>
      <w:r>
        <w:rPr/>
        <w:t xml:space="preserve"> sofort in „zerrte er ihn sofort in Krämpfen hin und her“ hat im Griechischen die Funktion, Spannung zu erzeugen (vgl. Pryke 1987, S. 87). Daher treffender die in der Klammer angegebene Übersetzung.</w:t>
      </w:r>
    </w:p>
  </w:footnote>
  <w:footnote w:id="1776">
    <w:p>
      <w:pPr>
        <w:pStyle w:val="Funote"/>
        <w:rPr/>
      </w:pPr>
      <w:r>
        <w:rPr/>
        <w:footnoteRef/>
        <w:tab/>
        <w:t xml:space="preserve">schüttelte er ihn in [heftigen] Krämpfen ist unsere Wiedergabe des einen Wortes </w:t>
      </w:r>
      <w:r>
        <w:rPr>
          <w:lang w:val="el-GR"/>
        </w:rPr>
        <w:t>συνεσπάραξεν</w:t>
      </w:r>
      <w:r>
        <w:rPr/>
        <w:t xml:space="preserve">; „in Krämpfen schütteln“ gut nach EWNT III, S. 748. </w:t>
      </w:r>
      <w:r>
        <w:rPr>
          <w:lang w:val="el-GR"/>
        </w:rPr>
        <w:t>συσπαράσσω</w:t>
      </w:r>
      <w:r>
        <w:rPr/>
        <w:t xml:space="preserve"> steht ebenso wie das obige </w:t>
      </w:r>
      <w:r>
        <w:rPr>
          <w:lang w:val="el-GR"/>
        </w:rPr>
        <w:t>ῥήσσω</w:t>
      </w:r>
      <w:r>
        <w:rPr/>
        <w:t xml:space="preserve"> (V. 18) für die epileptischen Konvulsionen des Knaben (Lukas kombiniert die beiden Worte in Lk 9,42); es ist eine Steigerungsform des gleichbedeutenden </w:t>
      </w:r>
      <w:r>
        <w:rPr>
          <w:lang w:val="el-GR"/>
        </w:rPr>
        <w:t>σπαράσσω</w:t>
      </w:r>
      <w:r>
        <w:rPr/>
        <w:t xml:space="preserve"> (V. 26): Angesichts Jesu bäumt der Geist sich auf und ruft einen besonders heftigen Anfall hervor.</w:t>
      </w:r>
    </w:p>
  </w:footnote>
  <w:footnote w:id="1777">
    <w:p>
      <w:pPr>
        <w:pStyle w:val="Funote"/>
        <w:rPr/>
      </w:pPr>
      <w:r>
        <w:rPr/>
        <w:footnoteRef/>
        <w:tab/>
        <w:t xml:space="preserve">und auf die Erde gefallen wälzte er sich schäumend (so dass der Knabe sich mit Schaum vor dem Mund auf der Erde wälzte) - Der Satz drückt die Folgen der heftigen Konvulsionen aus; besser daher konsekutives </w:t>
      </w:r>
      <w:r>
        <w:rPr>
          <w:lang w:val="el-GR"/>
        </w:rPr>
        <w:t>καί</w:t>
      </w:r>
      <w:r>
        <w:rPr/>
        <w:t>: so dass. „Auf die Erde gefallen“ ist Partizip Aorist und drückt so das dem „Wälzen“ zeitlich relativ Vorangehende aus; schöner effektiv zu übersetzen: auf der Erde (liegend).</w:t>
      </w:r>
    </w:p>
  </w:footnote>
  <w:footnote w:id="1778">
    <w:p>
      <w:pPr>
        <w:pStyle w:val="Funote"/>
        <w:rPr/>
      </w:pPr>
      <w:r>
        <w:rPr/>
        <w:footnoteRef/>
        <w:tab/>
        <w:t xml:space="preserve">[Schon] von [frühester] Kindheit an; w. von von Kindheit an (kein Schreibfehler): </w:t>
      </w:r>
      <w:r>
        <w:rPr>
          <w:lang w:val="el-GR"/>
        </w:rPr>
        <w:t>παιδιόθεν</w:t>
      </w:r>
      <w:r>
        <w:rPr/>
        <w:t xml:space="preserve"> meint schon selbst von Kindheit an; </w:t>
      </w:r>
      <w:r>
        <w:rPr>
          <w:lang w:val="el-GR"/>
        </w:rPr>
        <w:t>ἐκ</w:t>
      </w:r>
      <w:r>
        <w:rPr/>
        <w:t xml:space="preserve"> seit ist damit redundant; vgl. Grosvenor/Zerwick; Marcus 2009. Diese typisch markinische Redundanz hat Mk in diesem Kapitel bisher immer zu Zwecken der Emphase angewendet (s. FNn g.l.y) - wie ja pleonastische Konstruktionen ganz allgemein häufig auf den »Wunsch des Sprechenden, sich kräftiger auszudrücken« (Hillen 1989, S. 4) zurückführbar sind; daher auch hier besser »schon von frühester Kindheit an« (ähnlich WNT). Das passt zum Text: Wundererzählungen heben häufig die Dauer der Krankheit hervor, da besonders »veraltete Fälle von vornherein als unheilbar galten« (Pesch 1977, S. 91) und so das Wunder in seiner Wunderbarkeit noch zusätzlich unterstrichen wird; so ad loc. auch Marcus 2009; vgl. die Parallelstellen. Es passt auch zum folgenden Vers, der durch die Hervorhebung der Gefährlichkeit der Krankheit das selbe leistet.</w:t>
      </w:r>
    </w:p>
  </w:footnote>
  <w:footnote w:id="1779">
    <w:p>
      <w:pPr>
        <w:pStyle w:val="Funote"/>
        <w:rPr/>
      </w:pPr>
      <w:r>
        <w:rPr/>
        <w:footnoteRef/>
        <w:tab/>
        <w:t xml:space="preserve">sogar (und) + sogar (sowohl) - sicher emphatisches </w:t>
      </w:r>
      <w:r>
        <w:rPr>
          <w:lang w:val="el-GR"/>
        </w:rPr>
        <w:t>καὶ</w:t>
      </w:r>
      <w:r>
        <w:rPr/>
        <w:t>; hierzu gut Dana/Mantey §221.3; zur Funktion im Text siehe bl</w:t>
      </w:r>
    </w:p>
  </w:footnote>
  <w:footnote w:id="1780">
    <w:p>
      <w:pPr>
        <w:pStyle w:val="Funote"/>
        <w:rPr/>
      </w:pPr>
      <w:r>
        <w:rPr/>
        <w:footnoteRef/>
        <w:tab/>
        <w:t xml:space="preserve">Ich flehe dich an (aber) - kohortatives </w:t>
      </w:r>
      <w:r>
        <w:rPr>
          <w:lang w:val="el-GR"/>
        </w:rPr>
        <w:t>ἀλλά</w:t>
      </w:r>
      <w:r>
        <w:rPr/>
        <w:t xml:space="preserve"> (Pesch 1977, S. 92). BDAG und EWNT empfehlen bei dieser Verwendung (»Bei Aufforderungen [...] zur Verstärkung«, EWNT I, S. 147) die Übersetzung mit »nun denn« oder »wohl an«, aber ich sehe nicht, wie das eine Aufforderung verstärken sollte. Besser frei: »Ich flehe dich an!«</w:t>
      </w:r>
    </w:p>
  </w:footnote>
  <w:footnote w:id="1781">
    <w:p>
      <w:pPr>
        <w:pStyle w:val="Funote"/>
        <w:rPr/>
      </w:pPr>
      <w:r>
        <w:rPr/>
        <w:footnoteRef/>
        <w:tab/>
        <w:t xml:space="preserve">wenn du etwas vermagst (wenn etwas in deiner Macht steht) kontrastiert hier Jesus mit den Jüngern, die »zu schwach« waren, um den Knaben zu heilen. Jesus wird es in V. 23 umdeuten: »Wer glaubt, vermag alles!« Er greift dort des Vaters </w:t>
      </w:r>
      <w:r>
        <w:rPr>
          <w:lang w:val="el-GR"/>
        </w:rPr>
        <w:t>εἴ τι δύνῃ</w:t>
      </w:r>
      <w:r>
        <w:rPr/>
        <w:t xml:space="preserve"> »wenn du etwas vermagst« auf und übersteigert das »etwas« zu »alles«. Nicht weniger ist hier ausgesagt, als dies: »Die Glaubenden partizipieren an Gottes Allmacht, dem allein das </w:t>
      </w:r>
      <w:r>
        <w:rPr>
          <w:lang w:val="el-GR"/>
        </w:rPr>
        <w:t>πάντα δυνατὰ</w:t>
      </w:r>
      <w:r>
        <w:rPr/>
        <w:t xml:space="preserve"> (alles [vermag]) eigentlich zusteht (Mk 10,27; 14,36).« (Dschulnigg 2007, S. 253). Man könnte V. 23 beinahe übersetzen mit »Wer glaubt, ist allmächtig«; vgl. Theißen 1990, S. 140: »</w:t>
      </w:r>
      <w:r>
        <w:rPr>
          <w:lang w:val="el-GR"/>
        </w:rPr>
        <w:t>πάντα δυνατὰ</w:t>
      </w:r>
      <w:r>
        <w:rPr/>
        <w:t xml:space="preserve"> ist göttliches Attribut im strengsten Sinn«. Vielleicht sollte man daher wirklich zu den vorgeschlagenen Alternativübersetzungen greifen; ich bin aber nicht ganz sicher, ob das nicht doch etwas zu weit geht.</w:t>
      </w:r>
    </w:p>
  </w:footnote>
  <w:footnote w:id="1782">
    <w:p>
      <w:pPr>
        <w:pStyle w:val="Funote"/>
        <w:rPr/>
      </w:pPr>
      <w:r>
        <w:rPr/>
        <w:footnoteRef/>
        <w:tab/>
        <w:t xml:space="preserve">hilf uns und hab Mitleid mit uns (erbarme dich unser)! - W. hilf uns, dich unser erbarmend. Dass Jesus sich der beiden erbarmt, ist natürlich die Bedingung dafür, dass er ihnen auch hilft; und es ist durch Partizip Aorist auch so markiert (dich [zuvor] unser erbarmend); vgl. Grosvenor/Zerwick. Dennoch steht es hier in der Reihenfolge helfen -&gt; erbarmen. Vielleicht soll diese durcheinandergeratene Reihenfolge die Verzweiflung des Vaters unterstreichen; immerhin ist dies sicher auch die Funktion der </w:t>
      </w:r>
      <w:r>
        <w:rPr>
          <w:lang w:val="el-GR"/>
        </w:rPr>
        <w:t>καὶ</w:t>
      </w:r>
      <w:r>
        <w:rPr/>
        <w:t>-Häufung in der Rede des Vaters (wie bereits in V. 18, s. FN ba): »</w:t>
      </w:r>
      <w:r>
        <w:rPr>
          <w:lang w:val="el-GR"/>
        </w:rPr>
        <w:t>καὶ</w:t>
      </w:r>
      <w:r>
        <w:rPr/>
        <w:t xml:space="preserve"> mehrfach </w:t>
      </w:r>
      <w:r>
        <w:rPr>
          <w:lang w:val="el-GR"/>
        </w:rPr>
        <w:t>καὶ</w:t>
      </w:r>
      <w:r>
        <w:rPr/>
        <w:t xml:space="preserve"> hat er ihn ins Feuer geworfen </w:t>
      </w:r>
      <w:r>
        <w:rPr>
          <w:lang w:val="el-GR"/>
        </w:rPr>
        <w:t>καὶ</w:t>
      </w:r>
      <w:r>
        <w:rPr/>
        <w:t xml:space="preserve"> ins Wasser, um ihn zu töten.«</w:t>
      </w:r>
    </w:p>
  </w:footnote>
  <w:footnote w:id="1783">
    <w:p>
      <w:pPr>
        <w:pStyle w:val="Funote"/>
        <w:rPr/>
      </w:pPr>
      <w:r>
        <w:rPr/>
        <w:footnoteRef/>
        <w:tab/>
        <w:t xml:space="preserve">Das „wenn du vermagst“ - </w:t>
      </w:r>
      <w:r>
        <w:rPr>
          <w:lang w:val="el-GR"/>
        </w:rPr>
        <w:t>Τὸ</w:t>
      </w:r>
      <w:r>
        <w:rPr/>
        <w:t xml:space="preserve"> das macht aus der Phrase „wenn du vermagst“ ein Nomen (Cranfield 1959, S. 302); auf diese Weise wird es als ein Zitat markiert (Grosvenor/Zerwick). Gut B/N: „Was das &gt;Wenn du kannst...&lt; betrifft“; noch besser BB: „Was heißt hier: 'Wenn du kannst'?“</w:t>
      </w:r>
    </w:p>
  </w:footnote>
  <w:footnote w:id="1784">
    <w:p>
      <w:pPr>
        <w:pStyle w:val="Funote"/>
        <w:rPr/>
      </w:pPr>
      <w:r>
        <w:rPr/>
        <w:footnoteRef/>
        <w:tab/>
        <w:t>vermag Alles (ist allmächtig) - s. FN bk.</w:t>
      </w:r>
    </w:p>
  </w:footnote>
  <w:footnote w:id="1785">
    <w:p>
      <w:pPr>
        <w:pStyle w:val="Funote"/>
        <w:rPr/>
      </w:pPr>
      <w:r>
        <w:rPr/>
        <w:footnoteRef/>
        <w:tab/>
        <w:t xml:space="preserve">Sofort (Da) - </w:t>
      </w:r>
      <w:r>
        <w:rPr>
          <w:lang w:val="el-GR"/>
        </w:rPr>
        <w:t>εὐθύς</w:t>
      </w:r>
      <w:r>
        <w:rPr/>
        <w:t xml:space="preserve"> sofort meint oft auch einfach „dann“, „danach“ (vgl. Taylor 1979, S. 172; daher ad loc.: „Entonces el padre del muchacho gritó“). Hier ist das </w:t>
      </w:r>
      <w:r>
        <w:rPr>
          <w:lang w:val="el-GR"/>
        </w:rPr>
        <w:t>εὐθύς</w:t>
      </w:r>
      <w:r>
        <w:rPr/>
        <w:t xml:space="preserve"> als sofort aber sinnvoll; es unterstreicht das dramatische Hervorbrechen des verzweifelten Schreis (B/N: „Kaum hatte Jesus das gesagt, da schrie...“). Wirkungstreuer aber daher eine Üs. mit „Da schrie/schluchzte...“; so z.B. BB, EÜ, GN, KAR, NGÜ, NeÜ, Schenke 2005.</w:t>
      </w:r>
    </w:p>
  </w:footnote>
  <w:footnote w:id="1786">
    <w:p>
      <w:pPr>
        <w:pStyle w:val="Funote"/>
        <w:rPr/>
      </w:pPr>
      <w:r>
        <w:rPr/>
        <w:footnoteRef/>
        <w:tab/>
        <w:t>schrie (schluchzte) - W. Sofort sagte der Vater des Jungen schreiend. Viele Manuskripte ergänzen: „unter Tränen schreiend“. Das ist zweifellos ein späterer Zusatz, dient hier aber wohl nicht nur der „Steigerung der Dramatik“ (z.B. Pesch 1977, S. 85), sondern ist eine Erläuterung des „schreiend“ - die Erweiterung des „sagte“ durch „schreiend“ dient dem Ausdruck der Verzweiflung des Vaters (Partizip Aorist hier nicht vorzeitig, sondern pleonastisch: Ausdruck der selben Handlung durch zwei Worte; vgl. Zerwick §262; Grosvenor/Zerwick ad loc.); die Ergänzung „unter Tränen“ macht das nur noch expliziter. Einige Üss. haben es daher sogar dennoch beibehalten, z.B. HNV, TMB, WEB. Sehr gut daher KAR: „Da schluchzte der Vater des Knaben laut auf:...“</w:t>
      </w:r>
    </w:p>
  </w:footnote>
  <w:footnote w:id="1787">
    <w:p>
      <w:pPr>
        <w:pStyle w:val="Funote"/>
        <w:rPr/>
      </w:pPr>
      <w:r>
        <w:rPr/>
        <w:footnoteRef/>
        <w:tab/>
        <w:t xml:space="preserve">zusammenlief (herandrängte) - </w:t>
      </w:r>
      <w:r>
        <w:rPr>
          <w:lang w:val="el-GR"/>
        </w:rPr>
        <w:t>ἐπισυντρέχω</w:t>
      </w:r>
      <w:r>
        <w:rPr/>
        <w:t xml:space="preserve"> ist ein Hapax Legomenon im gesamten Griechisch; Wortbildung: </w:t>
      </w:r>
      <w:r>
        <w:rPr>
          <w:lang w:val="el-GR"/>
        </w:rPr>
        <w:t>τρέχω</w:t>
      </w:r>
      <w:r>
        <w:rPr/>
        <w:t xml:space="preserve"> laufen -&gt; </w:t>
      </w:r>
      <w:r>
        <w:rPr>
          <w:lang w:val="el-GR"/>
        </w:rPr>
        <w:t>συν-τρέχω</w:t>
      </w:r>
      <w:r>
        <w:rPr/>
        <w:t xml:space="preserve"> zusammen-laufen -&gt; </w:t>
      </w:r>
      <w:r>
        <w:rPr>
          <w:lang w:val="el-GR"/>
        </w:rPr>
        <w:t>ἐπι-συντρέχω</w:t>
      </w:r>
      <w:r>
        <w:rPr/>
        <w:t xml:space="preserve"> heran-zusammenlaufen; gut Louw/Nida 15.134: „eilig an einen Ort zusammenlaufen“. Redundante Wortbildung („an einen Ort“ ist in „zusammenlaufen“ bereits enthalten); besser daher gesteigert: „herandrängen“.</w:t>
      </w:r>
    </w:p>
  </w:footnote>
  <w:footnote w:id="1788">
    <w:p>
      <w:pPr>
        <w:pStyle w:val="Funote"/>
        <w:rPr/>
      </w:pPr>
      <w:r>
        <w:rPr/>
        <w:footnoteRef/>
        <w:tab/>
        <w:t>Als Jesus sah, dass eine Menschenmenge zusammenlief - Der Satz wirkt merkwürdig - als wäre Jesus ein „Showoff“. Jesus handelt aber nicht, weil sein Publikum nun groß genug ist, sondern es handelt sich hier um ein Geheimhaltungsmotiv: Jesus möchte im Gegenteil ein möglichst kleines Publikum (so Cranfield 1959, S. 303; Dschulnigg 2007, S. 255; Pesch 1977, S. 93). Vielleicht steht aber auch dies im Hintergrund: In der Antike (und noch bis ins 19. Jh.) war der Glaube verbreitet, Epilepsie sei hochansteckend. Das ist wohl auch der Grund dafür, dass der Junge in V. 14-19 nicht anwesend ist und dass die Menschenmenge nach dem Herbeibringen des Jungen erst von Neuem zusammenlaufen muss. Vielleicht beeilt sich Jesus also angesichts der zusammenlaufenden Menge deshalb so mit dem Exorzismus, um die Ansteckungsgefahr zu minimieren.</w:t>
      </w:r>
    </w:p>
  </w:footnote>
  <w:footnote w:id="1789">
    <w:p>
      <w:pPr>
        <w:pStyle w:val="Funote"/>
        <w:rPr/>
      </w:pPr>
      <w:r>
        <w:rPr/>
        <w:footnoteRef/>
        <w:tab/>
        <w:t>Du stummer und tauber Geist - W. der stumme und taube Geist; Nominativ für Vokativ (Grosvenor/Zerwick). Kein Semitismus; vgl. Doudna 1961, S. 78.</w:t>
      </w:r>
    </w:p>
  </w:footnote>
  <w:footnote w:id="1790">
    <w:p>
      <w:pPr>
        <w:pStyle w:val="Funote"/>
        <w:rPr/>
      </w:pPr>
      <w:r>
        <w:rPr/>
        <w:footnoteRef/>
        <w:tab/>
        <w:t>schreiend und [den Jungen] in heftigen Krämpfen schüttelnd - W. „schreiend und heftig schüttelnd“. Vielleicht dienen die beiden Partizipien hier als Vollverbersatz; so zumindest Pryke 1978, S. 119f.123; daher BB, B/N, GN, Gnilka 1979, HER, HfA, KAM, LUT, MEN, NeÜ, NGÜ, NL, R-S, SLT , TAF: „Und er schrie, schüttelte ihn heftig hin und her und fuhr aus“. Hier auch dadurch erklärlich, dass durch den Einsatz von Partizipien ein Gleichklang entsteht: kraxas kai sparaxas. Aber vermutlich ist die Stelle so zu erklären: Beim Exorzismus ist der Moment der Ausfahrt des Dämons einer der gefährlichsten, da der Dämon dem Besessenen hier noch ein letztes Mal großen Schaden zufügen kann. Vgl. Theißen 1990, S. 96: „Der Exorzismus ist so oft das Gegenteil einer Heilung: eine Gefährdung, die eine folgende Heilung notwendig macht (Mk 9,27).“ Das ist es wohl, dass die Modifikation des „er fuhr aus“ durch „schreiend und heftig schüttelnd“ hier ausdrücken soll. Vielleicht sollte man daher besser frei übersetzen: „Da schüttelten den Jungen so heftige Krämpfe wie nie zuvor und mit einem schrecklichen Schrei fuhr der Geist aus.“</w:t>
      </w:r>
    </w:p>
  </w:footnote>
  <w:footnote w:id="1791">
    <w:p>
      <w:pPr>
        <w:pStyle w:val="Funote"/>
        <w:rPr/>
      </w:pPr>
      <w:r>
        <w:rPr/>
        <w:footnoteRef/>
        <w:tab/>
        <w:t xml:space="preserve">wurde (war) - Nicht: „er wurde wie tot“; </w:t>
      </w:r>
      <w:r>
        <w:rPr>
          <w:lang w:val="el-GR"/>
        </w:rPr>
        <w:t>γίνομαι</w:t>
      </w:r>
      <w:r>
        <w:rPr/>
        <w:t xml:space="preserve"> als Ersatz von </w:t>
      </w:r>
      <w:r>
        <w:rPr>
          <w:lang w:val="el-GR"/>
        </w:rPr>
        <w:t>εἶναι</w:t>
      </w:r>
      <w:r>
        <w:rPr/>
        <w:t xml:space="preserve"> - vgl. Louw/Nida 13.3: „to possess certain characteristics, with the implication of their having been acquired“. Übersetze: „... fuhr der Geist aus. Und der Junge lag da wie tot.“</w:t>
      </w:r>
    </w:p>
  </w:footnote>
  <w:footnote w:id="1792">
    <w:p>
      <w:pPr>
        <w:pStyle w:val="Funote"/>
        <w:rPr/>
      </w:pPr>
      <w:r>
        <w:rPr/>
        <w:footnoteRef/>
        <w:tab/>
        <w:t xml:space="preserve">daher (sodass) - resultatives </w:t>
      </w:r>
      <w:r>
        <w:rPr>
          <w:lang w:val="el-GR"/>
        </w:rPr>
        <w:t>ὥστε</w:t>
      </w:r>
      <w:r>
        <w:rPr/>
        <w:t xml:space="preserve"> (Pryke 1978, S. 115) -&gt; „sodass“</w:t>
      </w:r>
    </w:p>
  </w:footnote>
  <w:footnote w:id="1793">
    <w:p>
      <w:pPr>
        <w:pStyle w:val="Funote"/>
        <w:rPr/>
      </w:pPr>
      <w:r>
        <w:rPr/>
        <w:footnoteRef/>
        <w:tab/>
        <w:t>die Meisten (die Menge) - „die Meisten“ i.S.v. „die Menge“; vgl. Pape 671, Bed. 3</w:t>
      </w:r>
    </w:p>
  </w:footnote>
  <w:footnote w:id="1794">
    <w:p>
      <w:pPr>
        <w:pStyle w:val="Funote"/>
        <w:rPr/>
      </w:pPr>
      <w:r>
        <w:rPr/>
        <w:footnoteRef/>
        <w:tab/>
        <w:t>hieß ihn aufstehen nach Louw/Nida 17.10 („to cause to stand up“); in Anbetracht des Folgesatzes sinnvoller als „weckte ihn auf“ oder gar „erweckte ihn“. Das häufige „richtete ihn auf“ oder „zog ihn hoch“ ist gut; wäre aber eine Doppelung mit dem Folgesatz.</w:t>
      </w:r>
    </w:p>
  </w:footnote>
  <w:footnote w:id="1795">
    <w:p>
      <w:pPr>
        <w:pStyle w:val="Funote"/>
        <w:rPr/>
      </w:pPr>
      <w:r>
        <w:rPr/>
        <w:footnoteRef/>
        <w:tab/>
        <w:t>für sich - versprachlicht hier das Motiv der Sonderbelehrung (siehe Parallelstellen); besser: „Und nachdem er ins Haus gegangen war und sie unter sich waren, fragten ihn seine Jünger“.</w:t>
      </w:r>
    </w:p>
  </w:footnote>
  <w:footnote w:id="1796">
    <w:p>
      <w:pPr>
        <w:pStyle w:val="Funote"/>
        <w:rPr/>
      </w:pPr>
      <w:r>
        <w:rPr/>
        <w:footnoteRef/>
        <w:tab/>
        <w:t xml:space="preserve">Dass (warum) - </w:t>
      </w:r>
      <w:r>
        <w:rPr>
          <w:lang w:val="el-GR"/>
        </w:rPr>
        <w:t>ὅτι</w:t>
      </w:r>
      <w:r>
        <w:rPr/>
        <w:t xml:space="preserve"> zur Einleitung von Warum-Fragen; vgl. Turner 1925d, S. 58. So auch fast alle Üss.</w:t>
      </w:r>
    </w:p>
  </w:footnote>
  <w:footnote w:id="1797">
    <w:p>
      <w:pPr>
        <w:pStyle w:val="Funote"/>
        <w:rPr/>
      </w:pPr>
      <w:r>
        <w:rPr/>
        <w:footnoteRef/>
        <w:tab/>
        <w:t xml:space="preserve">ausfahren (ausgetrieben werden) - </w:t>
      </w:r>
      <w:r>
        <w:rPr>
          <w:lang w:val="el-GR"/>
        </w:rPr>
        <w:t>ἐξέρχομαι</w:t>
      </w:r>
      <w:r>
        <w:rPr/>
        <w:t xml:space="preserve"> ausfahren verwendet als Äquivalent des Passivs </w:t>
      </w:r>
      <w:r>
        <w:rPr>
          <w:lang w:val="el-GR"/>
        </w:rPr>
        <w:t>ἐκβάλλω</w:t>
      </w:r>
      <w:r>
        <w:rPr/>
        <w:t xml:space="preserve"> austreiben; vgl. Symth §1752; ad loc. Cranfield 1959, S. 304; Kleist 1937, S. 214. So auch die meisten Üss.</w:t>
      </w:r>
    </w:p>
  </w:footnote>
  <w:footnote w:id="1798">
    <w:p>
      <w:pPr>
        <w:pStyle w:val="Funote"/>
        <w:rPr/>
      </w:pPr>
      <w:r>
        <w:rPr/>
        <w:footnoteRef/>
        <w:tab/>
        <w:t>aus (gingen sie fort und) - W. „Von dort fortgegangen seiend“</w:t>
      </w:r>
    </w:p>
  </w:footnote>
  <w:footnote w:id="1799">
    <w:p>
      <w:pPr>
        <w:pStyle w:val="Funote"/>
        <w:rPr/>
      </w:pPr>
      <w:r>
        <w:rPr/>
        <w:footnoteRef/>
        <w:tab/>
        <w:t>lehrte (wollte belehren) - W. „lehren“, aber dies Lehren ist die Intention, die hinter dem nicht-Wollen v. V. 30 steht, daher im Dt. besser „denn er wollte seine Jünger belehren. Er sagte ihnen:...“ Schön KAR: „Denn er dachte seine Jünger zu unterweisen. / So sprach er zu ihnen:...“.</w:t>
      </w:r>
    </w:p>
  </w:footnote>
  <w:footnote w:id="1800">
    <w:p>
      <w:pPr>
        <w:pStyle w:val="Funote"/>
        <w:rPr/>
      </w:pPr>
      <w:r>
        <w:rPr/>
        <w:footnoteRef/>
        <w:tab/>
        <w:t>in die Hände der Menschen - Biblizismus, »in die Hand von X« entspricht »an X«, »in die Gewalt von X«.</w:t>
      </w:r>
    </w:p>
  </w:footnote>
  <w:footnote w:id="1801">
    <w:p>
      <w:pPr>
        <w:pStyle w:val="Funote"/>
        <w:rPr/>
      </w:pPr>
      <w:r>
        <w:rPr/>
        <w:footnoteRef/>
        <w:tab/>
        <w:t>ist ausgeliefert (wird ausgeliefert werden) - futurisches Präsens, um zu betonen, dass das hier Prophezeite sicher feststeht (vgl. Smyth §1879; ad loc. Cranfield 1959; Kleist 1937; Marcus 2009). Zudem passivum divinum; sinngemäß also »wird [von Gott] in die Hände der Menschen ausgeliefert werden«; vgl. Dschulnigg 2007; Pesch 1977; Schenke 2005.</w:t>
      </w:r>
    </w:p>
  </w:footnote>
  <w:footnote w:id="1802">
    <w:p>
      <w:pPr>
        <w:pStyle w:val="Funote"/>
        <w:rPr/>
      </w:pPr>
      <w:r>
        <w:rPr/>
        <w:footnoteRef/>
        <w:tab/>
        <w:t>nachdem (obwohl) - beide Deutungen des Partizips sind möglich; »nachdem« z.B. Gnilka 1979; Marcus 2009; Schenke 2005; »obwohl« Camacho/Mateos 1994; Kleist 1937. Beides trifft die gern gewählte Übersetzung »drei Tage nach seinem Tod wird er auferstehen«</w:t>
      </w:r>
    </w:p>
  </w:footnote>
  <w:footnote w:id="1803">
    <w:p>
      <w:pPr>
        <w:pStyle w:val="Funote"/>
        <w:rPr/>
      </w:pPr>
      <w:r>
        <w:rPr/>
        <w:footnoteRef/>
        <w:tab/>
        <w:t xml:space="preserve">und - vielleicht besser: Deutung als </w:t>
      </w:r>
      <w:r>
        <w:rPr>
          <w:lang w:val="el-GR"/>
        </w:rPr>
        <w:t>καὶ</w:t>
      </w:r>
      <w:r>
        <w:rPr/>
        <w:t xml:space="preserve"> zur Markierung schwacher Gegensätzlichkeit (so auch Reiser 1983, S. 115); dann: „Sie verstanden diesen Ausspruch nicht, fürchteten sich aber,...“</w:t>
      </w:r>
    </w:p>
  </w:footnote>
  <w:footnote w:id="1804">
    <w:p>
      <w:pPr>
        <w:pStyle w:val="Funote"/>
        <w:rPr/>
      </w:pPr>
      <w:r>
        <w:rPr/>
        <w:footnoteRef/>
        <w:tab/>
        <w:t xml:space="preserve">war - nicht: „ankam“; </w:t>
      </w:r>
      <w:r>
        <w:rPr>
          <w:lang w:val="el-GR"/>
        </w:rPr>
        <w:t>γίνομαι</w:t>
      </w:r>
      <w:r>
        <w:rPr/>
        <w:t xml:space="preserve"> als Ersatz von </w:t>
      </w:r>
      <w:r>
        <w:rPr>
          <w:lang w:val="el-GR"/>
        </w:rPr>
        <w:t>εἶναι</w:t>
      </w:r>
      <w:r>
        <w:rPr/>
        <w:t xml:space="preserve"> - vgl. Louw/Nida 85.6: „to be in a place, with the possible implecation of having come to be in such a place“. Auch hier dient die Erwähnung des nicht näher spezifischen Hauses nur der Verdichtung des Motivs der Privatoffenbarung an die Jünger (wie oft in Mk).</w:t>
      </w:r>
    </w:p>
  </w:footnote>
  <w:footnote w:id="1805">
    <w:p>
      <w:pPr>
        <w:pStyle w:val="Funote"/>
        <w:rPr/>
      </w:pPr>
      <w:r>
        <w:rPr/>
        <w:footnoteRef/>
        <w:tab/>
        <w:t>der Größte (größer) - Komparativ als Superlativ; vgl. Cranfield 1959, S. 307.</w:t>
      </w:r>
    </w:p>
  </w:footnote>
  <w:footnote w:id="1806">
    <w:p>
      <w:pPr>
        <w:pStyle w:val="Funote"/>
        <w:rPr/>
      </w:pPr>
      <w:r>
        <w:rPr/>
        <w:footnoteRef/>
        <w:tab/>
        <w:t xml:space="preserve">rief (wandte sich an) die Zwölf und sagte zu ihnen - Offensichtlich sind die Zwölf bereits bei ihm; eine Übersetzung mit „rufen“ macht daher keinen Sinn. </w:t>
      </w:r>
      <w:r>
        <w:rPr>
          <w:lang w:val="el-GR"/>
        </w:rPr>
        <w:t>ἐφώνησεν</w:t>
      </w:r>
      <w:r>
        <w:rPr/>
        <w:t xml:space="preserve"> meint hier „sich wenden an“; s. Pape 1322; Thayer; ad loc. auch Cranfield 1959, S. 307f. Daher: „Da setzte er sich und wandte sich an die Zwölf und sagte:...“</w:t>
      </w:r>
    </w:p>
  </w:footnote>
  <w:footnote w:id="1807">
    <w:p>
      <w:pPr>
        <w:pStyle w:val="Funote"/>
        <w:rPr/>
      </w:pPr>
      <w:r>
        <w:rPr/>
        <w:footnoteRef/>
        <w:tab/>
        <w:t>wird (soll) - modales Futur; vgl. Smyth 1910a; Zerwick §94; ad loc. auch Grosvenor/Zerwick; Kleist 1937; Marcus 2009. So fast alle Üss. Theoretisch wäre die futurische Übersetzung aber genau so möglich; »Wenn jemand der Erste sein will, wird er der Letzte von Allen und der Diener von Allen sein« hieße dann etwa »Wer hoch hinaus will, wird tief fallen«. Zur modalen Deutung vgl. die Parallelstellen, zur futurischen Spr 29,23; Mt 23,11f; Lk 14,11; 18,14</w:t>
      </w:r>
    </w:p>
  </w:footnote>
  <w:footnote w:id="1808">
    <w:p>
      <w:pPr>
        <w:pStyle w:val="Funote"/>
        <w:rPr/>
      </w:pPr>
      <w:r>
        <w:rPr/>
        <w:footnoteRef/>
        <w:tab/>
        <w:t>Er nahm ein Kind, stelltes es in ihre Mitte, nahm es in die Arme - Was macht Jesus hier mit dem Kind? Wörtlich übersetzt klingt der Text so, als stünde im Haus irgendwo ein Kind herum. Das „nimmt“ Jesus, „stellt es“ in der Mitte der Jünger wieder „ab“' nur, um es direkt darauf wieder zu sich heranzuziehen, um es „in die Arme zu schließen“. „Das arme Kind“, möchte man beinahe sagen - fast schon eine kleine Achterbahnfahrt, die es da mitmacht. Vermutlich darf man dies nahm und umarmte aber nicht (nur) wörtlich verstehen, sondern es ist dies eine „Handlungsmetapher“: Jemanden „nehmen und umarmen“ sind symbolische Handlungen, mit der (quasi-)verwandschaftliche Verhältnisse bestätigt oder sogar geschaffen werden (z.B. als Adoptionsvorgang); vgl. Derrett 1983; Grassi 1992; Marcus 2009. Zu „nehmen“ vgl. z.B. Ex 2,9 (auch: LXX); zu „umarmen“ Gen 29,13; 33,4. Diese Adoptionssymbolik ist wohl auch hier im Blick; s. den nächsten Vers.</w:t>
      </w:r>
    </w:p>
  </w:footnote>
  <w:footnote w:id="1809">
    <w:p>
      <w:pPr>
        <w:pStyle w:val="Funote"/>
        <w:rPr/>
      </w:pPr>
      <w:r>
        <w:rPr/>
        <w:footnoteRef/>
        <w:tab/>
        <w:t>in meinem Namen (mir zuliebe, um meinetwillen) - vgl. dazu Heitmüller 1903, S. 50, der Beispiele für dieses Idiom in Demosthenes, Isaeus, Josephus, Lukian, Demosthenes und Dio Cassius bringt und kommentiert mit: »An diesen Stellen giebt unsere Formel den Titel, die Kategorie, den Grund bzw. Vorwand an, unter dem, mit Bezug auf den dies oder das geschieht.« Viel besser als die wörtliche Übersetzung daher B/N, NGÜ, NL: »um meinetwillen«; HfA, KAM: »Mir zuliebe«. Vgl. auch Grosvenor/Zerwick: »for my sake, out of devotion to me«.</w:t>
      </w:r>
    </w:p>
  </w:footnote>
  <w:footnote w:id="1810">
    <w:p>
      <w:pPr>
        <w:pStyle w:val="Funote"/>
        <w:rPr/>
      </w:pPr>
      <w:r>
        <w:rPr/>
        <w:footnoteRef/>
        <w:tab/>
        <w:t>nicht mich, sondern (vielmehr) den - vgl. dazu Zerwick §445; ad loc. Grosvenor/Zerwick: »nicht A, sondern B« ist nach Zerwick ein Idiom, das die Betonung auf B legt: »viel mehr B als A«. Ich denke aber, dass dieses Idiom hier nicht zur Anwendung kommt; es ist hier ja keine Frage von »X mehr als Y«, sondern »X statt Y« oder genauer »X gleichzeitig mit Y«. Den Sinn trifft eher: »Wer ein solches Kind aufnimmt, nimmt damit gleichzeitig mich auf, und wer mich aufnimmt, nimmt damit gleichzeitig Gott auf.« - aber in der wörtlichen Übersetzung im Fließtext ist das wohl erkennbar genug.</w:t>
      </w:r>
    </w:p>
  </w:footnote>
  <w:footnote w:id="1811">
    <w:p>
      <w:pPr>
        <w:pStyle w:val="Funote"/>
        <w:rPr/>
      </w:pPr>
      <w:r>
        <w:rPr/>
        <w:footnoteRef/>
        <w:tab/>
        <w:t xml:space="preserve">mit deinem Namen (und dabei deinen Namen verwendete) - Hier sicher instrumentales </w:t>
      </w:r>
      <w:r>
        <w:rPr>
          <w:lang w:val="el-GR"/>
        </w:rPr>
        <w:t>ἐν</w:t>
      </w:r>
      <w:r>
        <w:rPr/>
        <w:t>; die Alternativübersetzung soll das deutlicher machen. Im antiken Israel war es üblich, den Namen von Göttern, Dämonen und Personen, denen eine enge Bindung zu Gott nachgesagt wurde, für Exorzismen zu verwenden. Besonders häufig wurde der Name Salomo gewählt, aber auch von Jesu Namen ist uns mehrfach überliefert, dass er in Exorzismen benutzt wurde (vgl. z.B. Apg 4,7-11.30). Daraus folgte nicht, dass diese Exorzisten auch Anhänger Jesu waren; vgl. z.B. Mt 7,22; Apg 19,13-17; auch in einigen heidnischen magischen Texten findet sich Jesu Name derart verwendet, s. PGM 3.420; 4.1233; 4.3020; 12.192; vgl. Marcus 2009 ad loc.. Dass der fremde Exorzist kein Jesusjünger ist, wird schon aus diesem Vers klar; dass er ihm ggü. nicht einmal wohlwollend eingestellt sein musste, V. 39; vgl. ebd.</w:t>
      </w:r>
    </w:p>
  </w:footnote>
  <w:footnote w:id="1812">
    <w:p>
      <w:pPr>
        <w:pStyle w:val="Funote"/>
        <w:rPr/>
      </w:pPr>
      <w:r>
        <w:rPr/>
        <w:footnoteRef/>
        <w:tab/>
        <w:t>Wir hinderten ihn daran (haben versucht, ihn daran zu hindern; wollten ihn daran hindern) - hier sicher konatives Imperfekt, sonst machte Jesu Aufforderung in V. 39 nicht viel Sinn - der Schaden wäre schon angerichtet. Zum konativen Imperfekt vgl. BDR §326, Dana §177; ad loc. Cranfield 1959, S. 310, Grosvenor/Zerwick, Taylor 1979, S. 485; ähnlich Kleist 1937, S. 215; so auch viele Üss.</w:t>
      </w:r>
    </w:p>
  </w:footnote>
  <w:footnote w:id="1813">
    <w:p>
      <w:pPr>
        <w:pStyle w:val="Funote"/>
        <w:rPr/>
      </w:pPr>
      <w:r>
        <w:rPr/>
        <w:footnoteRef/>
        <w:tab/>
        <w:t xml:space="preserve">weil er uns nicht folgt (nicht zu uns gehört) - sicher wollen die Jünger dem Exorzisten das nicht verbietet, weil er kein Anhänger der Jünger ist. </w:t>
      </w:r>
      <w:r>
        <w:rPr>
          <w:lang w:val="el-GR"/>
        </w:rPr>
        <w:t>ἀκολουθέω</w:t>
      </w:r>
      <w:r>
        <w:rPr/>
        <w:t xml:space="preserve"> meint hier - wie schon Mk 8,34 (s. dort FN ba) - »zugehörig sein«; vgl. Pryke 1978, S. 41. Vielleicht hier gewählt wegen dem Gleichklang von wir wollten ihn daran hindern und [zu uns] gehört: ekolüomen - äkoluthei.</w:t>
      </w:r>
    </w:p>
  </w:footnote>
  <w:footnote w:id="1814">
    <w:p>
      <w:pPr>
        <w:pStyle w:val="Funote"/>
        <w:rPr/>
      </w:pPr>
      <w:r>
        <w:rPr/>
        <w:footnoteRef/>
        <w:tab/>
        <w:t xml:space="preserve">mit meinem Namen - </w:t>
      </w:r>
      <w:r>
        <w:rPr>
          <w:lang w:val="el-GR"/>
        </w:rPr>
        <w:t>ἐπὶ τῷ ὀνόματί</w:t>
      </w:r>
      <w:r>
        <w:rPr/>
        <w:t xml:space="preserve"> verwendet wie oben </w:t>
      </w:r>
      <w:r>
        <w:rPr>
          <w:lang w:val="el-GR"/>
        </w:rPr>
        <w:t>ἐν τῷ ὀνόματί</w:t>
      </w:r>
      <w:r>
        <w:rPr/>
        <w:t xml:space="preserve"> (s. FN cp); vgl. BDAG: »der Machttaten vollbringt, indem er meinen Namen nennt«. So auch viele Üss.</w:t>
      </w:r>
    </w:p>
  </w:footnote>
  <w:footnote w:id="1815">
    <w:p>
      <w:pPr>
        <w:pStyle w:val="Funote"/>
        <w:rPr/>
      </w:pPr>
      <w:r>
        <w:rPr/>
        <w:footnoteRef/>
        <w:tab/>
        <w:t>schnell - Abwandlung eines jüdischen Sprichwortes; vgl. B/S I, S. 19; Dschulnigg 2007, S. 262; Pesch 197, S. 109. Eine Variante dieses Sprichworts lautet etwa: »Wem man Übles getan, dem tut man nicht so schnell Gutes; und wem man Gutes getan, dem tut man nicht so schnell Übles«. Hier entspricht ihm ungefähr das dänische Sprichwort »Man kann nicht gleichzeitig pusten und Mehl im Mund haben«: Wem die positive Nennung des Namens Jesu nutzt, wird ihn so bald nicht negativ verwenden. Übersetze vielleicht: »Hindert ihn nicht daran - wer mit meinem Namen Wunder tut, wird ihn nicht gleichzeitig schmähen.« Wenn der Sentenzen-charakter dieses abgewandelten Sprichworts in der LF noch besser herauskommen könnte, wäre das aber noch besser.</w:t>
      </w:r>
    </w:p>
  </w:footnote>
  <w:footnote w:id="1816">
    <w:p>
      <w:pPr>
        <w:pStyle w:val="Funote"/>
        <w:rPr/>
      </w:pPr>
      <w:r>
        <w:rPr/>
        <w:footnoteRef/>
        <w:tab/>
        <w:t xml:space="preserve">schlecht von mir zu sprechen vermag (von mir sprechen kann) - </w:t>
      </w:r>
      <w:r>
        <w:rPr>
          <w:lang w:val="el-GR"/>
        </w:rPr>
        <w:t>δύναμαι</w:t>
      </w:r>
      <w:r>
        <w:rPr/>
        <w:t xml:space="preserve"> vermögen verwendet als Hilfsverb, besser einfach »verfluchen kann«. Vgl. Turner 1927a, S. 355.</w:t>
      </w:r>
    </w:p>
  </w:footnote>
  <w:footnote w:id="1817">
    <w:p>
      <w:pPr>
        <w:pStyle w:val="Funote"/>
        <w:rPr/>
      </w:pPr>
      <w:r>
        <w:rPr/>
        <w:footnoteRef/>
        <w:tab/>
        <w:t>Wer nicht gegen uns ist, ist für uns - auch dies ist ein Sprichwort; s. Cicero, Lig 11 (vgl. Cranfield 1959, S. 310).</w:t>
      </w:r>
    </w:p>
  </w:footnote>
  <w:footnote w:id="1818">
    <w:p>
      <w:pPr>
        <w:pStyle w:val="Funote"/>
        <w:rPr/>
      </w:pPr>
      <w:r>
        <w:rPr/>
        <w:footnoteRef/>
        <w:tab/>
        <w:t>Zur Strukturellen Zuordnung von Vv. 41f siehe Kommentar.</w:t>
      </w:r>
    </w:p>
  </w:footnote>
  <w:footnote w:id="1819">
    <w:p>
      <w:pPr>
        <w:pStyle w:val="Funote"/>
        <w:rPr/>
      </w:pPr>
      <w:r>
        <w:rPr/>
        <w:footnoteRef/>
        <w:tab/>
        <w:t xml:space="preserve">Denn - </w:t>
      </w:r>
      <w:r>
        <w:rPr>
          <w:lang w:val="el-GR"/>
        </w:rPr>
        <w:t>γάρ</w:t>
      </w:r>
      <w:r>
        <w:rPr/>
        <w:t xml:space="preserve"> denn muss nicht immer eine Begründung für vorangehende Textteile einleiten, sondern kann auch einfach einen neuen Textabschnitt markieren (vgl. z.B. Smyth §2808; Kleist 1932, S. 164f.; ad loc. Kleist 1937, S. 215). Von dieser zweiten Verwendung ist schon länger der Spezialfall bekannt, dass Mk </w:t>
      </w:r>
      <w:r>
        <w:rPr>
          <w:lang w:val="el-GR"/>
        </w:rPr>
        <w:t>γάρ</w:t>
      </w:r>
      <w:r>
        <w:rPr/>
        <w:t xml:space="preserve"> gelegentlich auch nur verwendet, um in einer Spruchsammlung einzelne Sprüche voneinander abzugrenzen (also exakt das, was wir in Mk 9 vermutlich vor uns haben, s. den Kommentar); vgl. Pryke 1978, S. 128.</w:t>
      </w:r>
    </w:p>
  </w:footnote>
  <w:footnote w:id="1820">
    <w:p>
      <w:pPr>
        <w:pStyle w:val="Funote"/>
        <w:rPr/>
      </w:pPr>
      <w:r>
        <w:rPr/>
        <w:footnoteRef/>
        <w:tab/>
        <w:t>[auch nur] - »einen Becher Wasser zu trinken geben« ist das geringste Werk der Gastfreundschaft (Pesch 1977, S. 110); es wird hier für die sprichwörtlich kleinstmögliche gute Tat verwendet - daher »[auch nur]«.</w:t>
      </w:r>
    </w:p>
  </w:footnote>
  <w:footnote w:id="1821">
    <w:p>
      <w:pPr>
        <w:pStyle w:val="Funote"/>
        <w:rPr/>
      </w:pPr>
      <w:r>
        <w:rPr/>
        <w:footnoteRef/>
        <w:tab/>
        <w:t xml:space="preserve">einen Becher Wasser zu trinken gibt - im Griechischen figura etymologica: </w:t>
      </w:r>
      <w:r>
        <w:rPr>
          <w:lang w:val="el-GR"/>
        </w:rPr>
        <w:t>ποτίσῃ ποτήριον</w:t>
      </w:r>
      <w:r>
        <w:rPr/>
        <w:t xml:space="preserve"> [Wer euch] tränkt mit einem Trunk (»Trunk« aber w. »Becher«).</w:t>
      </w:r>
    </w:p>
  </w:footnote>
  <w:footnote w:id="1822">
    <w:p>
      <w:pPr>
        <w:pStyle w:val="Funote"/>
        <w:rPr/>
      </w:pPr>
      <w:r>
        <w:rPr/>
        <w:footnoteRef/>
        <w:tab/>
        <w:t>weil (im Namen, dass) - W. »im Namen, dass«, aber gr. Idiom für »weil«; vgl. BDAG, Heitmüller 1903, S. 48.50; ad loc. Cranfield 1959, S. 312; Grosvenor/Zerwick; Taylor 1979, S. 486. So auch viele Üss. Allerdings seltenes Idiom; daher die Varianten.</w:t>
      </w:r>
    </w:p>
  </w:footnote>
  <w:footnote w:id="1823">
    <w:p>
      <w:pPr>
        <w:pStyle w:val="Funote"/>
        <w:rPr/>
      </w:pPr>
      <w:r>
        <w:rPr/>
        <w:footnoteRef/>
        <w:tab/>
        <w:t xml:space="preserve">Amen, ich sage euch - nicht-responsives °Amen°. Zusammen mit der Konstruktion </w:t>
      </w:r>
      <w:r>
        <w:rPr>
          <w:lang w:val="el-GR"/>
        </w:rPr>
        <w:t>οὐ μὴ</w:t>
      </w:r>
      <w:r>
        <w:rPr/>
        <w:t xml:space="preserve"> + Partizip Aorist - der stärkstmöglichen Verneinung zukünftiger Geschehnisse im Griechischen (Wallace, S. 468) - in »wird nicht verlieren« markiert dies den hierigen Spruch als autoritativ ausgesprochene, absolut gültige Heilszusage.</w:t>
      </w:r>
    </w:p>
  </w:footnote>
  <w:footnote w:id="1824">
    <w:p>
      <w:pPr>
        <w:pStyle w:val="Funote"/>
        <w:rPr/>
      </w:pPr>
      <w:r>
        <w:rPr/>
        <w:footnoteRef/>
        <w:tab/>
        <w:t xml:space="preserve">wird seinen Lohn nicht verlieren (wird ihn bekommen) - </w:t>
      </w:r>
      <w:r>
        <w:rPr>
          <w:lang w:val="el-GR"/>
        </w:rPr>
        <w:t>ἀπόλλυμι</w:t>
      </w:r>
      <w:r>
        <w:rPr/>
        <w:t xml:space="preserve"> meint nicht nur »verlieren«, sondern auch »nicht bekommen« (vgl. Louw/Nida 57.67). Das ist hier - in einer Heilszusage - sinnvoller, denn »der wird seinen Lohn nicht verlieren« würde implizieren, dass er den Lohn bereits erhalten hat. »Nicht nicht-bekommen« ist damit eine Art doppelte Verneinung, die stärker ist als eine bloße Bejahung und so zusammenwirkt mit dem »Amen, ich sage euch« und der Konstruktion </w:t>
      </w:r>
      <w:r>
        <w:rPr>
          <w:lang w:val="el-GR"/>
        </w:rPr>
        <w:t>οὐ μὴ</w:t>
      </w:r>
      <w:r>
        <w:rPr/>
        <w:t xml:space="preserve"> + Partizip Aorist (s. letzte Fußnote).</w:t>
      </w:r>
    </w:p>
  </w:footnote>
  <w:footnote w:id="1825">
    <w:p>
      <w:pPr>
        <w:pStyle w:val="Funote"/>
        <w:rPr/>
      </w:pPr>
      <w:r>
        <w:rPr/>
        <w:footnoteRef/>
        <w:tab/>
        <w:t>aber (und) - »und« zur Verknüpfung von Gegensätzen.</w:t>
      </w:r>
    </w:p>
  </w:footnote>
  <w:footnote w:id="1826">
    <w:p>
      <w:pPr>
        <w:pStyle w:val="Funote"/>
        <w:rPr/>
      </w:pPr>
      <w:r>
        <w:rPr/>
        <w:footnoteRef/>
        <w:tab/>
        <w:t xml:space="preserve">einen dieser Kleinen (einen der Geringen) - Auf wen »diese Kleinen« verweist, ist in der Exegese umstritten. Einige denken, dass es sich bei »diesen Kleinen« um eine Ehrenbezeichnung Jesu für die Jünger handle (s. z.B. Jeremias 1971, S. 113 zu dieser Stelle; Mt 10,42; 18,10.14; 25,40.45). Das ist mindestens schwierig. Mt 18,10.14 verweist es zweifellos auf Kinder; vgl. Mt 18,5f (also die Parallelstelle von Mk 9,42). Und Mt 25,40.45 ist nicht von »einem dieser Kleinen« die Rede, sondern von »einem meiner kleinsten Brüder« und die Referenz wird weiter dadurch aufgeklärt, dass diese als hungernde, dürstende, obdachlose, nackte, kranke und gefangene Menschen näher bestimmt werden - man kann diese Stelle also nicht ohne Weiteres mit Mk 9,42 par. parallelisieren. Bleiben Mt 10,42 und Mk 9,42. Auch an unserer Stelle deckt sich </w:t>
      </w:r>
      <w:r>
        <w:rPr>
          <w:lang w:val="el-GR"/>
        </w:rPr>
        <w:t>ἕνα τῶν μικρῶν</w:t>
      </w:r>
      <w:r>
        <w:rPr/>
        <w:t xml:space="preserve"> einer dieser Kleinen nicht mit </w:t>
      </w:r>
      <w:r>
        <w:rPr>
          <w:lang w:val="el-GR"/>
        </w:rPr>
        <w:t>ὑμᾶς</w:t>
      </w:r>
      <w:r>
        <w:rPr/>
        <w:t xml:space="preserve"> euch (3. Pers. vs. 2. Pers., außerdem werden die beiden Gruppen »diese Kleinen« und »ihr« hier ja offensichtlich miteinander kontrastiert). Zudem kann das Demonstrativpronomen »dies« in »dieser Kleinen« nur meinen »solche Kinder wie das, von dem ich in Vv. 33-37 geredet habe« - wenn man es nicht (wie z.B. Pesch 1977, S. 92) als (bedeutungsloses) redundantes Pronomen deutet (ein Aramäismus; vgl. Dalman 1905, S. 113f; Torrey 1933, S. 290 zu Mt 5,19 - mit dieser Verwendung dürfte man vielleicht auch die Textvarianten erklären können, in denen das Demonstrativpronomen fehlt). Man wird daher hier besser davon ausgehen müssen, dass »diese Kleinen« wieder die Kinder meint (so z.B. auch Collins 2007, S. 450, Evans 2001, S. 70; Gundry 1993, S. 512.524, van Iersel 1998, S. 312f; gut auch Loader 2012, S. 121f.), was noch wahrscheinlicher wird, wenn man (wie viele) davon ausgeht, dass entweder Vv. 41f oder nur Vv. 42 ursprünglich direkt an V. 37 angeschlossen haben.</w:t>
      </w:r>
    </w:p>
  </w:footnote>
  <w:footnote w:id="1827">
    <w:p>
      <w:pPr>
        <w:pStyle w:val="Funote"/>
        <w:rPr/>
      </w:pPr>
      <w:r>
        <w:rPr/>
        <w:footnoteRef/>
        <w:tab/>
        <w:t xml:space="preserve">ärgert (vom Glauben abbringt) - </w:t>
      </w:r>
      <w:r>
        <w:rPr>
          <w:lang w:val="el-GR"/>
        </w:rPr>
        <w:t>σκανδαλίζω</w:t>
      </w:r>
      <w:r>
        <w:rPr/>
        <w:t xml:space="preserve"> kann sowohl »vom Glauben abbringen« meinen als auch »ärgern« (außerdem »zur Sünde verführen«, aber das ist hier sehr wahrscheinlich nicht im Blick). Liest man - wie wir, vgl. wieder den Kommentar - Vv.41-42 als zusammenhängend und berücksichtigt die parallele Struktur der beiden Verse, erkennt man, dass </w:t>
      </w:r>
      <w:r>
        <w:rPr>
          <w:lang w:val="el-GR"/>
        </w:rPr>
        <w:t>ὃς ἂν σκανδαλίσῃ</w:t>
      </w:r>
      <w:r>
        <w:rPr/>
        <w:t xml:space="preserve"> Wer [auch nur einen dieser Kleinen] ärgert/vom Glauben abbringt parallel ist zu </w:t>
      </w:r>
      <w:r>
        <w:rPr>
          <w:lang w:val="el-GR"/>
        </w:rPr>
        <w:t>ὃς ἂν ποτίσῃ ὑμᾶς ποτήριον ὕδατος</w:t>
      </w:r>
      <w:r>
        <w:rPr/>
        <w:t xml:space="preserve"> Wer euch auch nur einen Becher Wasser zu trinken gibt. </w:t>
      </w:r>
      <w:r>
        <w:rPr>
          <w:lang w:val="el-GR"/>
        </w:rPr>
        <w:t>σκανδαλίζω</w:t>
      </w:r>
      <w:r>
        <w:rPr/>
        <w:t xml:space="preserve"> wird also mit der »sprichwörtlich kleinstmöglichen guten Tat« parallelisiert. Entweder, man geht davon aus, dass dies nichts bedeutet, lässt sich deshalb in der Deutung von </w:t>
      </w:r>
      <w:r>
        <w:rPr>
          <w:lang w:val="el-GR"/>
        </w:rPr>
        <w:t>σκανδαλίζω</w:t>
      </w:r>
      <w:r>
        <w:rPr/>
        <w:t xml:space="preserve"> leiten von dem »die Kleinen, die glauben« und übersetzt daher »vom Glauben abbringt«. So z.B. BB, GN, HfA, KAM, LUT, NL. Oder aber man hält Vv. 41f für eine Art »verdrehtes argumentum a maiore ad minus«: Kinder werden in der Antike allgemein - und auch im NT - eher mit Niedrigkeit und Schwachheit konnotiert (vgl. z.B. Aasgaard 2006; Grassi 1992). Erst recht solche, die »aufgenommen« werden müssen, also Waisenkinder: Sie gehören zu den schwächsten Gliedern der Gesellschaft und stehen so sozial weit unter den Jüngern. In den Vv. 33-37 nimmt aber Jesus eine seiner häufigen »Umwertungen der Werte« vor: Wer von den Jüngern der Erste sein will, soll der Diener aller sein - selbst »solchen Kindern« sollen sie dienen (Vv. 36f). In Vv. 41f wird diese Umwertung wieder aufgegriffen: Wer den Jüngern eine kleine Wohltat erweist, wird seinen Lohn erhalten (V. 41). Wer aber ein solches Kind »ärgert« - d.h., ihm eine kleine Übeltat erweist - für den wäre es besser..., und es folgt die Beschreibung einer der grausamstmöglichen Strafen der Antike (s.u.). Heißt: Handlungen an christusgläubigen Kindern wiegen schwerer als an den christusgläubigen Jüngern: Wenn schon denen, die an den Jüngern handeln, vergolten wird - um wieviel mehr wird dann erst denen vergolten werden, die an Kindern handeln (ähnlich analysiert Stein 2008, S. 447). Dieses argumentum a maiore ad minus funktioniert gerade deshalb - ist gerade deshalb so überraschend und radikal - weil in der opinio communis die Verhältnisse eigentlich umgekehrt sind. Lässt man sich von dieser Deutung leiten, sollte man übersetzen mit »ärgern«; so z.B. BEN, ELB, FREE, Gnilka 1979, H-R, KNO, Marcus 2009, MEISTER, MEN, MNT, PAT, TAF, TEXT. Seit Deming 1990 glauben außerdem einige, dass sich das </w:t>
      </w:r>
      <w:r>
        <w:rPr>
          <w:lang w:val="el-GR"/>
        </w:rPr>
        <w:t>σκανδαλίζω</w:t>
      </w:r>
      <w:r>
        <w:rPr/>
        <w:t xml:space="preserve"> auf sexuelle Vergehen gegenüber Kindern bezieht, und es ist dies vermutlich auch möglich, wenn man V. 42 isoliert liest - im aktuellen Kontext macht es aber nicht viel Sinn. Ich persönlich würde durchaus Deutung 2 den Vorzug geben und habe sie daher auch als Primärübersetzung angegeben, weil sie den Text kohärenter sein lässt; davon abgesehen spricht aber nicht viel gegen Deutung 1.</w:t>
      </w:r>
    </w:p>
  </w:footnote>
  <w:footnote w:id="1828">
    <w:p>
      <w:pPr>
        <w:pStyle w:val="Funote"/>
        <w:rPr/>
      </w:pPr>
      <w:r>
        <w:rPr/>
        <w:footnoteRef/>
        <w:tab/>
        <w:t>ist (wäre) - modales Indikativ; vgl. Kleist 1937, S. 216. So fast alle Üss.</w:t>
      </w:r>
    </w:p>
  </w:footnote>
  <w:footnote w:id="1829">
    <w:p>
      <w:pPr>
        <w:pStyle w:val="Funote"/>
        <w:rPr/>
      </w:pPr>
      <w:r>
        <w:rPr/>
        <w:footnoteRef/>
        <w:tab/>
        <w:t>gut (besser) - sicher Positiv als Komparativ; vgl. Zerwick §145. So auch alle Üss. Kein Semitismus; vgl. z.B. Herodot IX.26.7; auch BDR §245.</w:t>
      </w:r>
    </w:p>
  </w:footnote>
  <w:footnote w:id="1830">
    <w:p>
      <w:pPr>
        <w:pStyle w:val="Funote"/>
        <w:rPr/>
      </w:pPr>
      <w:r>
        <w:rPr/>
        <w:footnoteRef/>
        <w:tab/>
        <w:t>wenn ein Eselsmühlstein um seinen Hals gehängt und er ins Meer geworfen würde - Die Hinrichtungsart, die hier beschrieben wird, nennt sich »Katapontismus«; sie ist in der Antike v.a. deshalb gefürchtet, weil sie dem Toten die Bestattung verwehren sollte (vgl. Pauly X,2, Sp. 2480-2482; ad loc. gut Pesch 1977, S. 114). Derrett 1985 denkt hier an ein Wortspiel: Nicht nur die durch Katapontismos hingerichteten wurden im Alten Israel nicht begraben, sondern auch Esel (vgl. z.B. TDOT IV, S. 469 - daher in Jer 22,19 auch die Rede vom »Eselsbegräbnis« i.S.v. »gar kein Begräbnis«). Wenn also jemand gerade mit einem Eselsmühlstein um den Hals ins Meer geworfen wird, unterstreicht das noch mal den »Eselsbegräbnis-charakter« des Katapontismos. Dem folgend hält es auch Henderson 2001, S. 49 für eine weitere - diesmal aber missglückte - Abwandlung einer jüdischen Redensart.</w:t>
      </w:r>
    </w:p>
  </w:footnote>
  <w:footnote w:id="1831">
    <w:p>
      <w:pPr>
        <w:pStyle w:val="Funote"/>
        <w:rPr/>
      </w:pPr>
      <w:r>
        <w:rPr/>
        <w:footnoteRef/>
        <w:tab/>
        <w:t xml:space="preserve">zur Sünde verführen will (zur Sünde verführt, ärgert, vom Glauben abbringt) - auch die Deutung von Vv. 43.45.47 hängt davon ab, wie man Vv. 42 zuordnet. Geht man davon aus, dass die Verse mit V. 42 zusammengehören, ist wahrscheinlich, dass </w:t>
      </w:r>
      <w:r>
        <w:rPr>
          <w:lang w:val="el-GR"/>
        </w:rPr>
        <w:t>σκανδαλίζω</w:t>
      </w:r>
      <w:r>
        <w:rPr/>
        <w:t xml:space="preserve"> in allen vier Versen das selbe meint; dann wäre in allen vier Versen am Wahrscheinlichsten: »vom Glauben abbringt«. Die drei Verse sind aber ws. unabhängig von V. 42 zu lesen (s. den Kommentar). Dann ist unser wichtigstes Indiz für die Deutung von </w:t>
      </w:r>
      <w:r>
        <w:rPr>
          <w:lang w:val="el-GR"/>
        </w:rPr>
        <w:t>σκανδαλίζω</w:t>
      </w:r>
      <w:r>
        <w:rPr/>
        <w:t>, dass es dasjenige ist, wegen dem man »in die Gehenna geworfen wird«, also sehr wahrscheinlich »zur Sünde verführt«. Deutung als konatives Präsens (»verführen will«) gut nach Grosvenor/Zerwick: Das Abhauen soll gerade verhindern, dass der Plan der Hand/des Fußes/des Auges gelingt, das zur-Sünde-verführt-Werden ist also noch nicht Realität. Wegen den Subjekten Hand, Fuß und Auge aber wohl besser »zur Sünde zu verführen droht«.</w:t>
      </w:r>
    </w:p>
  </w:footnote>
  <w:footnote w:id="1832">
    <w:p>
      <w:pPr>
        <w:pStyle w:val="Funote"/>
        <w:rPr/>
      </w:pPr>
      <w:r>
        <w:rPr/>
        <w:footnoteRef/>
        <w:tab/>
        <w:t>[Denn] - Asyndese zum Ausdruck kausaler Verhältnisse, so gut Reiser 1983, S. 143.</w:t>
      </w:r>
    </w:p>
  </w:footnote>
  <w:footnote w:id="1833">
    <w:p>
      <w:pPr>
        <w:pStyle w:val="Funote"/>
        <w:rPr/>
      </w:pPr>
      <w:r>
        <w:rPr/>
        <w:footnoteRef/>
        <w:tab/>
        <w:t>Leben wird hier als Wechselbegriff für das »Reich Gottes« verwendet; so eigtl. alle. »Reich Gottes« steht ja denn auch statt »Leben« in V. 47.</w:t>
      </w:r>
    </w:p>
  </w:footnote>
  <w:footnote w:id="1834">
    <w:p>
      <w:pPr>
        <w:pStyle w:val="Funote"/>
        <w:rPr/>
      </w:pPr>
      <w:r>
        <w:rPr/>
        <w:footnoteRef/>
        <w:tab/>
        <w:t>Gehenna (Hölle) - »Gehenna « war ursprünglich eine griechische Ortsbezeichnung für das Hinnomtal (</w:t>
      </w:r>
      <w:r>
        <w:rPr>
          <w:rtl w:val="true"/>
          <w:lang w:bidi="he-IL"/>
        </w:rPr>
        <w:t>גֵּי הִנּׂם</w:t>
      </w:r>
      <w:r>
        <w:rPr/>
        <w:t xml:space="preserve"> </w:t>
      </w:r>
      <w:r>
        <w:rPr/>
        <w:t>gê hinnom) im Süden Jerusalems. Wohl, weil (s. 2Kön 16,3; 21,6) dort unter Ahas und Manasse Kinder geopfert wurden, wurde es nach und nach mythisiert, bis »Gehenna« als Wechselbegriff für die Feuerhölle verwendet werden konnte.</w:t>
      </w:r>
    </w:p>
  </w:footnote>
  <w:footnote w:id="1835">
    <w:p>
      <w:pPr>
        <w:pStyle w:val="Funote"/>
        <w:rPr/>
      </w:pPr>
      <w:r>
        <w:rPr/>
        <w:footnoteRef/>
        <w:tab/>
        <w:t xml:space="preserve">einzugehen (geworfen zu werden) - ähnlich wie in V. 29 fungiert hier das Aktiv </w:t>
      </w:r>
      <w:r>
        <w:rPr>
          <w:lang w:val="el-GR"/>
        </w:rPr>
        <w:t>ἀπελθεῖν</w:t>
      </w:r>
      <w:r>
        <w:rPr/>
        <w:t xml:space="preserve"> wie das Passiv </w:t>
      </w:r>
      <w:r>
        <w:rPr>
          <w:lang w:val="el-GR"/>
        </w:rPr>
        <w:t>βληθῆναι</w:t>
      </w:r>
      <w:r>
        <w:rPr/>
        <w:t xml:space="preserve"> geworfen werden (s. V. 46; vgl. Smyth §1752; ad loc. Grosvenor/Zerwick; Kleist 1937, S. 216). Hier deshalb, weil so das Eingehen ins Leben (</w:t>
      </w:r>
      <w:r>
        <w:rPr>
          <w:lang w:val="el-GR"/>
        </w:rPr>
        <w:t>εἰσελθεῖν</w:t>
      </w:r>
      <w:r>
        <w:rPr/>
        <w:t>) sprachlich parallel laufen kann mit dem Geworfen-Werden in die Gehenna (</w:t>
      </w:r>
      <w:r>
        <w:rPr>
          <w:lang w:val="el-GR"/>
        </w:rPr>
        <w:t>ἀπελθεῖν</w:t>
      </w:r>
      <w:r>
        <w:rPr/>
        <w:t xml:space="preserve">). In V. 45 dagegen steht merkwürdigerweise überall </w:t>
      </w:r>
      <w:r>
        <w:rPr>
          <w:lang w:val="el-GR"/>
        </w:rPr>
        <w:t>βληθῆναι</w:t>
      </w:r>
      <w:r>
        <w:rPr/>
        <w:t xml:space="preserve">, und, noch verrückter, auch in fast allen Mss. in V. 47; einige wenige aber ändern hier (nicht aber in V. 45!) wieder zu </w:t>
      </w:r>
      <w:r>
        <w:rPr>
          <w:lang w:val="el-GR"/>
        </w:rPr>
        <w:t>ἀπελθεῖν</w:t>
      </w:r>
      <w:r>
        <w:rPr/>
        <w:t>.</w:t>
      </w:r>
    </w:p>
  </w:footnote>
  <w:footnote w:id="1836">
    <w:p>
      <w:pPr>
        <w:pStyle w:val="Funote"/>
        <w:rPr/>
      </w:pPr>
      <w:r>
        <w:rPr/>
        <w:footnoteRef/>
        <w:tab/>
        <w:t>in die Gehenna, in das unauslöschliche Feuer - wahrscheinlich: deskriptive Apposition (vgl. Smyth §987; Wallace, S. 48): »ins unauslöschliche Feuer der Gehenna«. Ähnlich Kleist 1937, S. 216; so gut auch HfA, KAM, NL. Hier würde diese Übersetzung aber den Parallelismus von Vv. 43.45.47 zerstören, so dass man wohl bei der (etwas unschönen?) appositiven Übersetzung bleiben muss.</w:t>
      </w:r>
    </w:p>
  </w:footnote>
  <w:footnote w:id="1837">
    <w:p>
      <w:pPr>
        <w:pStyle w:val="Funote"/>
        <w:rPr/>
      </w:pPr>
      <w:r>
        <w:rPr/>
        <w:footnoteRef/>
        <w:tab/>
        <w:t>Textkritik: Vv. 44.46 sind eine Doppelung von V. 48 und fehlen in einigen wichtigen Mss.; daher werden sie heute fast einheitlich als sekundär erklärt.</w:t>
      </w:r>
    </w:p>
  </w:footnote>
  <w:footnote w:id="1838">
    <w:p>
      <w:pPr>
        <w:pStyle w:val="Funote"/>
        <w:rPr/>
      </w:pPr>
      <w:r>
        <w:rPr/>
        <w:footnoteRef/>
        <w:tab/>
        <w:t>wo ihr Wurm nicht stirbt und das Feuer nicht erlischt. - Mit diesem Zitat von Jes 66,24 endet die Spruchtrias Vv. 43.45.47. Jes 66,24 lautet: »Sie werden hinausgehen und auf die Leichen der mir untreuen/gegen mich sündigenden Menschen sehen, denn ihr Wurm wird nicht sterben und ihr Feuer nicht verlöschen [...].« In vielen Kommentaren wird auch dies ins Hinnomtal lokalisiert, weil der Ort, von dem »sie« »hinausgehen« werden, Jerusalem ist; »ihr Wurm wird nicht sterben und ihr Feuer nicht verlöschen« dient also bereits dort zur Charakterisierung der Strafe, die Apostaten/Sünder in der Feuerhölle Gehenna zu ertragen haben werden. Ähnlich Sir 7,17 LXX: »Die Strafe des Gottfernen ist Feuer und Wurm.«; Jdth 16,17 »Am Tag des Gerichts straft sie der allmächtige Herr, er schickt Feuer und Würmer in ihr Gebein; in Ewigkeit sollen sie heulen vor Schmerzen« (EÜ). Der Wurm symbolisiert dabei vermutlich die ewigwährende Verwesung (so z.B. Gnilka 1979, S. 65; Pesch 1977, S. 115). Marcus 2009 fühlt sich dabei mit Dale Allison an Prometheus erinnert, dem Tag auf Tag bei lebendigen Leibe ein Adler die Leber aus dem Leib frisst, die über Nacht stets wieder nachwächst. Das ist natürlich Eisegese, aber ich finde sie hier ziemlich passend.</w:t>
      </w:r>
    </w:p>
  </w:footnote>
  <w:footnote w:id="1839">
    <w:p>
      <w:pPr>
        <w:pStyle w:val="Funote"/>
        <w:rPr/>
      </w:pPr>
      <w:r>
        <w:rPr/>
        <w:footnoteRef/>
        <w:tab/>
        <w:t>Denn (Denn) - Vv. 49f gehören sehr sicher nicht mit dem vorangehenden Abschnitt zusammen; gemeinsam ist ihnen nur das ominöse »Feuer«, dass hier aber nicht das obige Höllenfeuer meint, sondern etwas Gutes, das zum »Gesalzen-sein« führt. Zu denn siehe FN cx.</w:t>
      </w:r>
    </w:p>
  </w:footnote>
  <w:footnote w:id="1840">
    <w:p>
      <w:pPr>
        <w:pStyle w:val="Funote"/>
        <w:rPr/>
      </w:pPr>
      <w:r>
        <w:rPr/>
        <w:footnoteRef/>
        <w:tab/>
        <w:t xml:space="preserve">Denn jeder wird mit Feuer gesalzen werden - einer der schwierigsten Verse im ganzen NT. Weil er »völliger Nonsens« (Torrey 1933, S. 302) ist, konnten Bratcher/Nida 1961, S. 304 schon 1961 über 15 verschiedene Deutungen dieses Verses zusammengetragen; mittlerweile sind noch mehr hinzugekommen. Selbst den alten Schreibern war der Sinn des Verses schon nicht mehr klar (vgl. Metzgers Referat der verschiedenen Textvarianten in Metzger 1994, S. 87). Ernst 1963, S. 284 denkt sogar, dass der Vers überhaupt keinen Sinn machen soll, sondern als »als schillernde[s] und vieldeutige[s] Rätselwort nur zum Nachdenken« anregen will. Heute sind vor allem zwei Erklärungsansätze verbreitet: (1) Der erste versucht, den Vers in der Form zu erklären, in der er überliefert ist. Am verbreitetsten ist die Variante dieses Ansatzes, den Vers mit Lev 2,13 (vielleicht besser: Ez 43,24) zusammenzulesen und in Zusammenhang zu bringen mit Feueropfern, die vor dem Entzündet-Werden gesalzen werden müssen. Das aber funktioniert nicht; die Crux am Vers ist ja gerade, dass (a) Menschen (b) mit Feuer gesalzen werden. In Lev 2 und Ez 43,24 ist zwar von Feuer und Salz die Rede, aber weder werden dort »Menschen« gesalzen, noch wird »mit Feuer« gesalzen. (2) Der zweite versucht, den Sinn des Verses durch eine Rückübersetzung ins Hebräische/Aramäische zu klären. Man rekonstruiert dabei entweder </w:t>
      </w:r>
      <w:r>
        <w:rPr>
          <w:rtl w:val="true"/>
          <w:lang w:bidi="he-IL"/>
        </w:rPr>
        <w:t>כִּי כָל אִיש בָּאֵש יָמְלָח</w:t>
      </w:r>
      <w:r>
        <w:rPr/>
        <w:t xml:space="preserve"> </w:t>
      </w:r>
      <w:r>
        <w:rPr/>
        <w:t xml:space="preserve">denn jeder Mensch wird/muss im/mit Feuer gesalzen werden oder </w:t>
      </w:r>
      <w:r>
        <w:rPr>
          <w:rtl w:val="true"/>
          <w:lang w:bidi="he-IL"/>
        </w:rPr>
        <w:t>כִּי כָל בָּאֵש יָמְלָח</w:t>
      </w:r>
      <w:r>
        <w:rPr/>
        <w:t xml:space="preserve"> </w:t>
      </w:r>
      <w:r>
        <w:rPr/>
        <w:t xml:space="preserve">denn jeder/alles wird/muss im/mit Feuer gesalzen werden. Zu den bekannteren Vorschlägen zählt dann (ich ordne an nach steigender Plausibilität): * Statt </w:t>
      </w:r>
      <w:r>
        <w:rPr>
          <w:rtl w:val="true"/>
          <w:lang w:bidi="he-IL"/>
        </w:rPr>
        <w:t>אִיש</w:t>
      </w:r>
      <w:r>
        <w:rPr/>
        <w:t xml:space="preserve"> </w:t>
      </w:r>
      <w:r>
        <w:rPr/>
        <w:t xml:space="preserve">Mensch habe im Urtext ursprünglich </w:t>
      </w:r>
      <w:r>
        <w:rPr>
          <w:rtl w:val="true"/>
          <w:lang w:bidi="he-IL"/>
        </w:rPr>
        <w:t>אֵש</w:t>
      </w:r>
      <w:r>
        <w:rPr/>
        <w:t xml:space="preserve"> </w:t>
      </w:r>
      <w:r>
        <w:rPr/>
        <w:t xml:space="preserve">Feuer gestanden: Jedes Feuer wird durch Feuer gesalzen werden (Chajes 1899, S. 53f.) - aber das ist ja noch sinnloser als der griechische Text. Trotzdem ist das offenbar der bekannteste Vorschlag dieser Art - wohl, weil er auch der erste dieser Art war. * Hebr. </w:t>
      </w:r>
      <w:r>
        <w:rPr>
          <w:rtl w:val="true"/>
          <w:lang w:bidi="he-IL"/>
        </w:rPr>
        <w:t>מלח</w:t>
      </w:r>
      <w:r>
        <w:rPr/>
        <w:t xml:space="preserve"> </w:t>
      </w:r>
      <w:r>
        <w:rPr/>
        <w:t xml:space="preserve">salzen habe auch die Bedeutung zerstören - das ist allerdings mindestens zweifelhaft -: Alles wird durch Feuer zerstört werden. (Fields 1985, S. 302f.). Ähnlich Carmignac 1967, der </w:t>
      </w:r>
      <w:r>
        <w:rPr>
          <w:rtl w:val="true"/>
          <w:lang w:bidi="he-IL"/>
        </w:rPr>
        <w:t>מלח</w:t>
      </w:r>
      <w:r>
        <w:rPr/>
        <w:t xml:space="preserve"> </w:t>
      </w:r>
      <w:r>
        <w:rPr/>
        <w:t xml:space="preserve">nicht als </w:t>
      </w:r>
      <w:r>
        <w:rPr>
          <w:rtl w:val="true"/>
          <w:lang w:bidi="he-IL"/>
        </w:rPr>
        <w:t>מלח</w:t>
      </w:r>
      <w:r>
        <w:rPr/>
        <w:t xml:space="preserve"> </w:t>
      </w:r>
      <w:r>
        <w:rPr/>
        <w:t xml:space="preserve">II salzen, sd. </w:t>
      </w:r>
      <w:r>
        <w:rPr>
          <w:rtl w:val="true"/>
          <w:lang w:bidi="he-IL"/>
        </w:rPr>
        <w:t>מלח</w:t>
      </w:r>
      <w:r>
        <w:rPr/>
        <w:t xml:space="preserve"> </w:t>
      </w:r>
      <w:r>
        <w:rPr/>
        <w:t xml:space="preserve">I auflösen (wie Rauch) deutet: Alles wird sich im Feuer auflösen (wie Rauch) (so kürzlich auch wieder Manns 1998, S. 130). * Baarda 1959 denkt bei der Rekonstruktion nicht an hebr. </w:t>
      </w:r>
      <w:r>
        <w:rPr>
          <w:rtl w:val="true"/>
          <w:lang w:bidi="he-IL"/>
        </w:rPr>
        <w:t>מלח</w:t>
      </w:r>
      <w:r>
        <w:rPr/>
        <w:t xml:space="preserve"> </w:t>
      </w:r>
      <w:r>
        <w:rPr/>
        <w:t xml:space="preserve">salzen, sondern an aram </w:t>
      </w:r>
      <w:r>
        <w:rPr>
          <w:rtl w:val="true"/>
          <w:lang w:bidi="he-IL"/>
        </w:rPr>
        <w:t>תבל</w:t>
      </w:r>
      <w:r>
        <w:rPr/>
        <w:t xml:space="preserve"> </w:t>
      </w:r>
      <w:r>
        <w:rPr/>
        <w:t xml:space="preserve">salzen, und schlägt vor, im ursprünglichen Text habe aber nicht </w:t>
      </w:r>
      <w:r>
        <w:rPr>
          <w:rtl w:val="true"/>
          <w:lang w:bidi="he-IL"/>
        </w:rPr>
        <w:t>תבל</w:t>
      </w:r>
      <w:r>
        <w:rPr/>
        <w:t xml:space="preserve">, sondern </w:t>
      </w:r>
      <w:r>
        <w:rPr>
          <w:rtl w:val="true"/>
          <w:lang w:bidi="he-IL"/>
        </w:rPr>
        <w:t>טבל</w:t>
      </w:r>
      <w:r>
        <w:rPr/>
        <w:t xml:space="preserve"> </w:t>
      </w:r>
      <w:r>
        <w:rPr/>
        <w:t xml:space="preserve">taufen gestanden: Jeder wird im Feuer getauft werden (so auch kürzlich wieder Frayer-Griggs 2009). * Statt </w:t>
      </w:r>
      <w:r>
        <w:rPr>
          <w:rtl w:val="true"/>
          <w:lang w:bidi="he-IL"/>
        </w:rPr>
        <w:t>איש באש</w:t>
      </w:r>
      <w:r>
        <w:rPr/>
        <w:t xml:space="preserve"> </w:t>
      </w:r>
      <w:r>
        <w:rPr/>
        <w:t xml:space="preserve">Mensch im/mit Feuer habe ursprünglich </w:t>
      </w:r>
      <w:r>
        <w:rPr>
          <w:rtl w:val="true"/>
          <w:lang w:bidi="he-IL"/>
        </w:rPr>
        <w:t>אשר יבאש</w:t>
      </w:r>
      <w:r>
        <w:rPr/>
        <w:t xml:space="preserve"> </w:t>
      </w:r>
      <w:r>
        <w:rPr/>
        <w:t xml:space="preserve">gestanden: Alles, was verfault, wird gesalzen (Bergmann 1904, nach einem ähnlichen Vorschlag von Halévy 1903). Ähnlich schlägt Torrey 1933, S. 300 vor, </w:t>
      </w:r>
      <w:r>
        <w:rPr>
          <w:rtl w:val="true"/>
          <w:lang w:bidi="he-IL"/>
        </w:rPr>
        <w:t>בָּאֵש</w:t>
      </w:r>
      <w:r>
        <w:rPr/>
        <w:t xml:space="preserve"> </w:t>
      </w:r>
      <w:r>
        <w:rPr/>
        <w:t xml:space="preserve">im/mit Feuer als das Partizip von aram </w:t>
      </w:r>
      <w:r>
        <w:rPr>
          <w:rtl w:val="true"/>
          <w:lang w:bidi="he-IL"/>
        </w:rPr>
        <w:t>באש</w:t>
      </w:r>
      <w:r>
        <w:rPr/>
        <w:t xml:space="preserve"> </w:t>
      </w:r>
      <w:r>
        <w:rPr/>
        <w:t>verderben zu deuten: Alles Verderbliche wird gesalzen. Von diesen vier Vorschlägen ist der Beste zweifellos der von Torrey. Im Unterschied zur Standard-Deutung macht er außerdem Sinn, aber er ist in dem Maße Sondermeinung, dass wir uns dieser Deutung in der LF recht sicher nicht anschließen können. Wir werden daher wohl bei der rätselhaften Standard-übersetzung bleiben müssen.</w:t>
      </w:r>
    </w:p>
  </w:footnote>
  <w:footnote w:id="1841">
    <w:p>
      <w:pPr>
        <w:pStyle w:val="Funote"/>
        <w:rPr/>
      </w:pPr>
      <w:r>
        <w:rPr/>
        <w:footnoteRef/>
        <w:tab/>
        <w:t>Gut [ist] das Salz - Adjektiv in Prädikatsstellung. Diese Konstruktion legt ein wenig mehr Betonung auf das Adjektiv als die häufigere »Das Salz [ist]/ist gut« (vgl. Smyth §1168a; Wallace, S. 307), ist aber dennoch oft - und wohl auch hier - einfach zu übersetzen mit »Salz ist gut« (so auch Wallace, S. 308).</w:t>
      </w:r>
    </w:p>
  </w:footnote>
  <w:footnote w:id="1842">
    <w:p>
      <w:pPr>
        <w:pStyle w:val="Funote"/>
        <w:rPr/>
      </w:pPr>
      <w:r>
        <w:rPr/>
        <w:footnoteRef/>
        <w:tab/>
        <w:t>werdet (wollt) - wahrscheinlich deliberatives Futur, um die Frage als rhetorische Frage zu markieren (vgl. Dana/Mantey §178.4; Wallace, S. 570 u.ö.). »wollt« auch in vielen Üss.</w:t>
      </w:r>
    </w:p>
  </w:footnote>
  <w:footnote w:id="1843">
    <w:p>
      <w:pPr>
        <w:pStyle w:val="Funote"/>
        <w:rPr/>
      </w:pPr>
      <w:r>
        <w:rPr/>
        <w:footnoteRef/>
        <w:tab/>
        <w:t>Habt (teilt) Salz unter (in) - Fast einheitlich: »Habt Salz in euch«, als sollte man Salz »in seinem Körper« haben. Wie merkwürdig der Satz ist, wird erst deutlich, wenn man es in einer etwas verfremdeten Form sieht: KAR: »In euch selber sollt ihr 'Salz' haben«. Kürzlich aber Lattke 1984, S. 54: »Habt (=teilt) unter euch Salz«. Das macht wesentlich mehr Sinn; vielleicht darf man hierbei sogar an eine Abwandlung des alten Sprichwortes (das schon bei Aristoteles, NE VIII.4 und Cicero, Laelius 19 (67) überliefert ist) denken, man kenne einander erst, wenn man einen Scheffel Salz miteinander gegessen habe. Ein Ausdruck gegenseitiger Liebe ist das gemeinsame Essen von Salz auch in Pseudo-Clemens Brief an Jakobus: »Denn ich weiß, dass ihr diese Dinge tun werdet, wenn ihr die Liebe in eurem Geist verfestigt, und als Einstieg gibt es da nur einen sinnvollen Weg: Das gemeinsame Essen von Salz.« (Ps.Clem., Ep.Jac. 9,1f)</w:t>
      </w:r>
    </w:p>
  </w:footnote>
  <w:footnote w:id="1844">
    <w:p>
      <w:pPr>
        <w:pStyle w:val="Funote"/>
        <w:rPr/>
      </w:pPr>
      <w:r>
        <w:rPr/>
        <w:footnoteRef/>
        <w:tab/>
        <w:t>und haltet [so] - [so] gut nach Cranfield 1959, S. 317, der den ersten Imperativ als Bedingung für den zweiten liest.</w:t>
      </w:r>
    </w:p>
  </w:footnote>
  <w:footnote w:id="1845">
    <w:p>
      <w:pPr>
        <w:pStyle w:val="Funote"/>
        <w:rPr/>
      </w:pPr>
      <w:r>
        <w:rPr/>
        <w:footnoteRef/>
        <w:tab/>
        <w:t>[Status: Zuverlässig]</w:t>
      </w:r>
    </w:p>
  </w:footnote>
  <w:footnote w:id="1846">
    <w:p>
      <w:pPr>
        <w:pStyle w:val="Funote"/>
        <w:rPr/>
      </w:pPr>
      <w:r>
        <w:rPr/>
        <w:footnoteRef/>
        <w:tab/>
        <w:t>brach auf und Ptz. conj., beigeordnet aufgelöst.</w:t>
      </w:r>
    </w:p>
  </w:footnote>
  <w:footnote w:id="1847">
    <w:p>
      <w:pPr>
        <w:pStyle w:val="Funote"/>
        <w:rPr/>
      </w:pPr>
      <w:r>
        <w:rPr/>
        <w:footnoteRef/>
        <w:tab/>
        <w:t>um ihm eine Falle zu stellen Finales (oder modales) Ptz. conj., als Nebensatz aufgelöst. Oder wie MEN: „weil sie ihm eine Falle stellen wollten“. Das Verb heißt „testen, erproben“ im weitesten Sinn. Hier erproben die Pharisäer Jesus so, dass er möglichst geschädigt werden soll (vgl. LN 27.31): Die Pharisäer wissen vermutlich, dass Jesus Johannes nahe stand, der am Ende wegen seiner Position zur Scheidung und Wiederheirat des Tetrarchen Herodes Antipas umgekommen war (Mk 6,14-29). Dessen Scheidung hatte einen Krieg provoziert und Herodes um ein Haar um sein Land gebracht. Die Pharisäer hoffen vermutlich, dass Jesus sich als politisch gefährlich herausstellt (Evans 2001, 82) oder zumindest bei seinen Anhängern unbeliebt macht. Die meisten Juden zu seiner Zeit glaubten nämlich, dass Scheidung erlaubt war. Im besten Fall hätten sie nachweisen können, dass Jesu Position dem Gesetz (Dtn 24,1-4) widersprach (France 2002, 390). Für ähnliche Versuche der Pharisäer vgl. Mk 8,11; 12,15; Joh 8,6. Jesus wurde zuvor schon in Mk 1,13 vom Satan auf die Probe gestellt, was die Pharisäer wie ihn zu Jesu Gegenspielern macht (vgl. Collins 2007, 384).</w:t>
      </w:r>
    </w:p>
  </w:footnote>
  <w:footnote w:id="1848">
    <w:p>
      <w:pPr>
        <w:pStyle w:val="Funote"/>
        <w:rPr/>
      </w:pPr>
      <w:r>
        <w:rPr/>
        <w:footnoteRef/>
        <w:tab/>
        <w:t>Er jedoch erwiderte {und sagte zu ihnen} Die pleonastische Formulierung kann in der Übersetzung gekürzt werden. erwiderte Modales Ptz. conj., beigeordnet aufgelöst.</w:t>
      </w:r>
    </w:p>
  </w:footnote>
  <w:footnote w:id="1849">
    <w:p>
      <w:pPr>
        <w:pStyle w:val="Funote"/>
        <w:rPr/>
      </w:pPr>
      <w:r>
        <w:rPr/>
        <w:footnoteRef/>
        <w:tab/>
        <w:t xml:space="preserve">Angesichts (wegen, mit Rücksicht auf) eurer Sturheit (Herzenshärte) Diese Sturheit, »Verstockung« oder, etwas wörtlicher, Herzenshärte signalisiert nicht Kaltherzigkeit gegenüber dem Partner, sondern die Unfähigkeit oder den Unwillen, Gottes Geboten zu gehorchen – hier gerade, seiner eigentlichen Absicht für die Ehe zu folgen. Jesus argumentiert also, dass letztlich nur die menschliche Sünde zu diesem Gebot geführt hat. (Evans 2001, 84; France 2002, 391). Angesichts Gr. </w:t>
      </w:r>
      <w:r>
        <w:rPr>
          <w:lang w:val="el-GR"/>
        </w:rPr>
        <w:t>πρός</w:t>
      </w:r>
      <w:r>
        <w:rPr/>
        <w:t xml:space="preserve"> wird an dieser Stelle häufig mit dem kausalen Sinn von »aufgrund«, wegen übersetzt, steht aber eher i.Sv. mit Rücksicht auf (MEN, BA III5a) für die weise Vorsichtsmaßnahme, die eben diese menschliche Schwäche berücksichtigt (vgl. France, NSS).</w:t>
      </w:r>
    </w:p>
  </w:footnote>
  <w:footnote w:id="1850">
    <w:p>
      <w:pPr>
        <w:pStyle w:val="Funote"/>
        <w:rPr/>
      </w:pPr>
      <w:r>
        <w:rPr/>
        <w:footnoteRef/>
        <w:tab/>
        <w:t xml:space="preserve">Fleisch steht hier im übertragenen Sinn für den Körper. Es handelt sich hier um ein wörtliches Zitat aus der LXX, sodass hinter dem griechischen </w:t>
      </w:r>
      <w:r>
        <w:rPr>
          <w:lang w:val="el-GR"/>
        </w:rPr>
        <w:t>σάρξ</w:t>
      </w:r>
      <w:r>
        <w:rPr/>
        <w:t xml:space="preserve"> das atl. </w:t>
      </w:r>
      <w:r>
        <w:rPr>
          <w:rtl w:val="true"/>
          <w:lang w:bidi="he-IL"/>
        </w:rPr>
        <w:t>בָּשָׂר</w:t>
      </w:r>
      <w:r>
        <w:rPr/>
        <w:t xml:space="preserve"> </w:t>
      </w:r>
      <w:r>
        <w:rPr/>
        <w:t>»Fleisch« mit dieser übertragenen Bedeutung steht (TDNT B1b).</w:t>
      </w:r>
    </w:p>
  </w:footnote>
  <w:footnote w:id="1851">
    <w:p>
      <w:pPr>
        <w:pStyle w:val="Funote"/>
        <w:rPr/>
      </w:pPr>
      <w:r>
        <w:rPr/>
        <w:footnoteRef/>
        <w:tab/>
        <w:t>das soll (darf) ein ([der]) Mensch nicht trennen Das Verb steht in der dritten Person des Imperativs, den man am besten mit Hilfsverb (»soll«, »muss« bzw. negativ »darf« oder »möge«) oder einem Konjunktiv umschreibt. Hier beschreibt Jesus eine ethische Maxime aufgrund eines Schöpfungsprinzips, daher ist soll am passendsten. ein ([der]) Mensch Gemeint ist entweder »(irgend)ein Mensch« oder »der Mensch« (Synonym zu »Menschheit«), wobei die meisten Übersetzungen sich für die letzte Variante entscheiden.</w:t>
      </w:r>
    </w:p>
  </w:footnote>
  <w:footnote w:id="1852">
    <w:p>
      <w:pPr>
        <w:pStyle w:val="Funote"/>
        <w:rPr/>
      </w:pPr>
      <w:r>
        <w:rPr/>
        <w:footnoteRef/>
        <w:tab/>
        <w:t>Als … da W. „Und … und“, hier als temporales Verhältnis verstanden und übersetzt.</w:t>
      </w:r>
    </w:p>
  </w:footnote>
  <w:footnote w:id="1853">
    <w:p>
      <w:pPr>
        <w:pStyle w:val="Funote"/>
        <w:rPr/>
      </w:pPr>
      <w:r>
        <w:rPr/>
        <w:footnoteRef/>
        <w:tab/>
        <w:t>bricht an ihr die Ehe D.h. »bricht so die Ehe, die mit der ersten Frau bestand« (vgl. Collins 2007, 469).</w:t>
      </w:r>
    </w:p>
  </w:footnote>
  <w:footnote w:id="1854">
    <w:p>
      <w:pPr>
        <w:pStyle w:val="Funote"/>
        <w:rPr/>
      </w:pPr>
      <w:r>
        <w:rPr/>
        <w:footnoteRef/>
        <w:tab/>
        <w:t>sie sich ... geschieden hat und Ptz. conj., beigeordnet aufgelöst.</w:t>
      </w:r>
    </w:p>
  </w:footnote>
  <w:footnote w:id="1855">
    <w:p>
      <w:pPr>
        <w:pStyle w:val="Funote"/>
        <w:rPr/>
      </w:pPr>
      <w:r>
        <w:rPr/>
        <w:footnoteRef/>
        <w:tab/>
        <w:t>versuchten, Kinder zu ihm zu bringen Das konative Imperfekt drückt aus, dass die Leute es versuchten (Evans 2001, 93). um sie zu berühren Wahrscheinlich stand dahinter eine abgergläubische Vorstellung. So wie die Menschen immer wieder versuchten, geheilt zu werden, indem sie Jesus berührten (z.B. Mk 5,28), so hoffen die Eltern offenbar, dass irgendeine Kraft oder ein Segen (vgl. V. 16) von Jesus auf ihre Kinder übergehen wird (Collins 2007, 471f.).</w:t>
      </w:r>
    </w:p>
  </w:footnote>
  <w:footnote w:id="1856">
    <w:p>
      <w:pPr>
        <w:pStyle w:val="Funote"/>
        <w:rPr/>
      </w:pPr>
      <w:r>
        <w:rPr/>
        <w:footnoteRef/>
        <w:tab/>
        <w:t>die Jünger wiesen sie unfreundlich ab (schimpften sie) Es wird nicht klar, ob die Jünger die Eltern der Kinder in unfreundlicher Weise zurückwiesen oder ob sie die Kinder schimpften. Es könnte sein, dass sie einfach eine Belästigung von Jesus fernhalten wollten, oder dass sie etwas dagegen hatten, dass Jesus die Kinder berühren sollte (s. die vorige Fußnote) (Evans 2001, 84). Die Jünger schienen Jesu Lehre aus 9,37 schon wieder vergessen zu haben (France 2002, 397).</w:t>
      </w:r>
    </w:p>
  </w:footnote>
  <w:footnote w:id="1857">
    <w:p>
      <w:pPr>
        <w:pStyle w:val="Funote"/>
        <w:rPr/>
      </w:pPr>
      <w:r>
        <w:rPr/>
        <w:footnoteRef/>
        <w:tab/>
        <w:t>als Jesus [das] sah Temporales Ptz. conj., als Nebensatz aufgelöst.</w:t>
      </w:r>
    </w:p>
  </w:footnote>
  <w:footnote w:id="1858">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859">
    <w:p>
      <w:pPr>
        <w:pStyle w:val="Funote"/>
        <w:rPr/>
      </w:pPr>
      <w:r>
        <w:rPr/>
        <w:footnoteRef/>
        <w:tab/>
        <w:t>nicht wie ein Kind annimmt Das kann zwei Bedeutungen haben: 1. Die Annahme von Gottes Reich, wie ein Kind (Kind als Nominativ) es tun würde oder 2. Die Annahme von Gottes Reich, wie man ein Kind (Kind als Akkusativ) aufnehmen würde. Dass Mk 9,37 ebenfalls davon spricht, »Geringe« (oder Kinder) aufzunehmen, könnte für 2. sprechen, aber logischer in den Kontext passt die erste Deutung. V. 14B (»Gottes Reich gehört solchen wie ihnen«) spricht ebenfalls für 1. Das würde zudem gut zu Mt 18,3 passen (France 2002, 397f.; Collins 2007, 473).</w:t>
      </w:r>
    </w:p>
  </w:footnote>
  <w:footnote w:id="1860">
    <w:p>
      <w:pPr>
        <w:pStyle w:val="Funote"/>
        <w:rPr/>
      </w:pPr>
      <w:r>
        <w:rPr/>
        <w:footnoteRef/>
        <w:tab/>
        <w:t>er nahm sie in die Arme und Ptz. conj., beigeordnet aufgelöst.</w:t>
      </w:r>
    </w:p>
  </w:footnote>
  <w:footnote w:id="1861">
    <w:p>
      <w:pPr>
        <w:pStyle w:val="Funote"/>
        <w:rPr/>
      </w:pPr>
      <w:r>
        <w:rPr/>
        <w:footnoteRef/>
        <w:tab/>
        <w:t>indem er … auflegte Modales Ptz. conj., als Nebensatz aufgelöst.</w:t>
      </w:r>
    </w:p>
  </w:footnote>
  <w:footnote w:id="1862">
    <w:p>
      <w:pPr>
        <w:pStyle w:val="Funote"/>
        <w:rPr/>
      </w:pPr>
      <w:r>
        <w:rPr/>
        <w:footnoteRef/>
        <w:tab/>
        <w:t>kam angerannt und kniete sich hin Temp. Ptz. conj. (2x), hier als separater Hauptsatz wiedergeben.</w:t>
      </w:r>
    </w:p>
  </w:footnote>
  <w:footnote w:id="1863">
    <w:p>
      <w:pPr>
        <w:pStyle w:val="Funote"/>
        <w:rPr/>
      </w:pPr>
      <w:r>
        <w:rPr/>
        <w:footnoteRef/>
        <w:tab/>
        <w:t>unterschlagen Dabei geht es um die betrügerische Vorenthaltung, beispielsweise eines verdienten Lohns, oder das Unterschlagen von anvertrauten Gütern (LN 57.248; 57.47; NSS; Collins 2007, 478). Als einziges zitiertes Gebot gehört dieses nicht zu den Zehn Geboten. Der Unterschied zu »stehlen« ist nicht groß. Vielleicht soll das Wort das Zehnte Gebot zusammenfassen (France 2002, 402). Eine andere Quelle für diesen Punkt der Liste könnte Mal 3,5 LXX sein. Oder Jesus ergänzt ihn sinngemäß, weil sein Gegenüber reich ist – daher ist es wahrscheinlicher, dass er etwas unterschlägt als andere beneidet (Evans 2001, 96; Collins 2007, 478f.). Viele Übersetzungen geben das Wort mit »(be)rauben« wieder.</w:t>
      </w:r>
    </w:p>
  </w:footnote>
  <w:footnote w:id="1864">
    <w:p>
      <w:pPr>
        <w:pStyle w:val="Funote"/>
        <w:rPr/>
      </w:pPr>
      <w:r>
        <w:rPr/>
        <w:footnoteRef/>
        <w:tab/>
        <w:t>beachtet (bewahrt) Oder »vor all dem habe ich mich in Acht genommen«. Das Verb steht im Medium, ist aber wohl wie ein Aktiv zu übersetzen (NSS). Die andere Möglichkeit wäre, dass der Mann so ausdrückt, er habe sich davor in Acht genommen, die erwähnten Verbote zu verletzen (France 2002, 402f.).</w:t>
      </w:r>
    </w:p>
  </w:footnote>
  <w:footnote w:id="1865">
    <w:p>
      <w:pPr>
        <w:pStyle w:val="Funote"/>
        <w:rPr/>
      </w:pPr>
      <w:r>
        <w:rPr/>
        <w:footnoteRef/>
        <w:tab/>
        <w:t>sah ihn an und Beigeordnet aufgelöstes Ptz. conj..</w:t>
      </w:r>
    </w:p>
  </w:footnote>
  <w:footnote w:id="1866">
    <w:p>
      <w:pPr>
        <w:pStyle w:val="Funote"/>
        <w:rPr/>
      </w:pPr>
      <w:r>
        <w:rPr/>
        <w:footnoteRef/>
        <w:tab/>
        <w:t>gewann ihn lieb Oder: »zeigte seine Liebe (mit einer Geste)« Die vielleicht sinnvollste Übersetzung von »liebte« ist als ingressives Aorist (wie OfBi), das den Beginn von etwas in den Fokus nimmt. Eine andere Möglichkeit wäre, dass Jesus seine Zuneigung mit einer Geste bekundet (Evans 2001, 98; beispielsweise einer Umarmung, wie NSS vorschlägt), aber keine Übersetzung folgt dem. EÜ: »Da sah ihn Jesus an, und weil er ihn liebte, sagte er«, NGÜ: »Jesus sah ihn voller Liebe an«, NET, NASB: »he felt love for him«.</w:t>
      </w:r>
    </w:p>
  </w:footnote>
  <w:footnote w:id="1867">
    <w:p>
      <w:pPr>
        <w:pStyle w:val="Funote"/>
        <w:rPr/>
      </w:pPr>
      <w:r>
        <w:rPr/>
        <w:footnoteRef/>
        <w:tab/>
        <w:t>erschüttert (getroffen; enttäuscht) Einige Übersetzungen: »entsetzt« oder, wie Luther, »unmutig«. Sicher ist, dass der Mann von der Forderung überrascht und enttäuscht war, weil er sie nicht erfüllen wollte oder für unerfüllbar hielt. Unklar ist, wie stark der Schock oder die Betroffenheit ist, die das Wort ausdrücken soll.</w:t>
      </w:r>
    </w:p>
  </w:footnote>
  <w:footnote w:id="1868">
    <w:p>
      <w:pPr>
        <w:pStyle w:val="Funote"/>
        <w:rPr/>
      </w:pPr>
      <w:r>
        <w:rPr/>
        <w:footnoteRef/>
        <w:tab/>
        <w:t>war erschüttert … und Ptz. conj., beigeordnet aufgelöst.</w:t>
      </w:r>
    </w:p>
  </w:footnote>
  <w:footnote w:id="1869">
    <w:p>
      <w:pPr>
        <w:pStyle w:val="Funote"/>
        <w:rPr/>
      </w:pPr>
      <w:r>
        <w:rPr/>
        <w:footnoteRef/>
        <w:tab/>
        <w:t>er besaß Pleonastisches Ptz.</w:t>
      </w:r>
    </w:p>
  </w:footnote>
  <w:footnote w:id="1870">
    <w:p>
      <w:pPr>
        <w:pStyle w:val="Funote"/>
        <w:rPr/>
      </w:pPr>
      <w:r>
        <w:rPr/>
        <w:footnoteRef/>
        <w:tab/>
        <w:t>schaute sich um und Ptz. conj., beigeordnet aufgelöst. Eine weitere mögliche Auflösung wäre z.B. »mit/nach einem Blick in die Runde«</w:t>
      </w:r>
    </w:p>
  </w:footnote>
  <w:footnote w:id="1871">
    <w:p>
      <w:pPr>
        <w:pStyle w:val="Funote"/>
        <w:rPr/>
      </w:pPr>
      <w:r>
        <w:rPr/>
        <w:footnoteRef/>
        <w:tab/>
        <w:t>die Wohlhabenden W. etwa »diejenigen, welche {die} Güter/Reichtümer haben« (subst. Ptz.), oder wie NGÜ: »Menschen, die viel besitzen«</w:t>
      </w:r>
    </w:p>
  </w:footnote>
  <w:footnote w:id="1872">
    <w:p>
      <w:pPr>
        <w:pStyle w:val="Funote"/>
        <w:rPr/>
      </w:pPr>
      <w:r>
        <w:rPr/>
        <w:footnoteRef/>
        <w:tab/>
        <w:t>überrascht (bestürzt, entgeistert) D.h. sie hatten so eine Aussage von Jesus nicht erwartet.</w:t>
      </w:r>
    </w:p>
  </w:footnote>
  <w:footnote w:id="1873">
    <w:p>
      <w:pPr>
        <w:pStyle w:val="Funote"/>
        <w:rPr/>
      </w:pPr>
      <w:r>
        <w:rPr/>
        <w:footnoteRef/>
        <w:tab/>
        <w:t>sagte noch einmal zu ihnen W. »antwortete und sagte noch einmal zu ihnen«. Jesus »antwortet« (d.h. reagiert) hier auf die Situation (DBL Greek 646; vgl. V. 51). Im Kontext vielleicht »ergriff das Wort« (NSS, der aber so übersetzt wie wir). MEN: »Jesus aber wiederholte seinen Ausspruch nochmals mit den Worten«</w:t>
      </w:r>
    </w:p>
  </w:footnote>
  <w:footnote w:id="1874">
    <w:p>
      <w:pPr>
        <w:pStyle w:val="Funote"/>
        <w:rPr/>
      </w:pPr>
      <w:r>
        <w:rPr/>
        <w:footnoteRef/>
        <w:tab/>
        <w:t>Kinder D.h. etwa »Leute«, eine freundliche Anrede an die Jüngergruppe (vgl. France 2002, 404). Vgl. Joh 21,5, wo die Wiedergabe mit »Männer« etwas angemessener ist und den Vorzug erhielt.</w:t>
      </w:r>
    </w:p>
  </w:footnote>
  <w:footnote w:id="1875">
    <w:p>
      <w:pPr>
        <w:pStyle w:val="Funote"/>
        <w:rPr/>
      </w:pPr>
      <w:r>
        <w:rPr/>
        <w:footnoteRef/>
        <w:tab/>
        <w:t xml:space="preserve">Kamel Nach manchen Handschriften: »Schiffstau« (s.u.). Eine verbreitete Erklärung identifiziert das Nadelöhr mit einem kleineren Stadttor für Passanten, das ein Kamel vielleicht irgendwie hätte durchqueren können. Es gibt jedoch keine Anhaltspunkte dafür, dass solche Tore jemals so bezeichnet wurden (France 2002, 405). Ein entsprechendes historisches Tor in Jerusalem stammt aus dem Mittelalter (Evans 2001, 101). Jesus will mit diesem originellen Bild zeigen, dass es für Reiche unmöglich ist, in Gottes Reich zu kommen (s. die nächsten Verse), nicht dass es für sie besonders schwierig ist (France 2002, 405). Jesus setzt dem kleinstmöglichen Loch eines der größten in Palästina bekannten Tiere entgegen (Pesch 1977, 141). Textkritik: Einige eher unwichtige Zeugen lesen </w:t>
      </w:r>
      <w:r>
        <w:rPr>
          <w:lang w:val="el-GR"/>
        </w:rPr>
        <w:t>καμιλον</w:t>
      </w:r>
      <w:r>
        <w:rPr/>
        <w:t xml:space="preserve"> »Schiffstau« statt </w:t>
      </w:r>
      <w:r>
        <w:rPr>
          <w:lang w:val="el-GR"/>
        </w:rPr>
        <w:t>καμηλον</w:t>
      </w:r>
      <w:r>
        <w:rPr/>
        <w:t xml:space="preserve"> Kamel (f13, 28, 124, 579, arm, geo). Bemerkenswert daran ist, dass das Schiffstau (als übergroßes Gegenstück zum Nähgarn) thematisch näher mit dem Nadelöhr verbunden ist als das Kamel (Evans 2001, 90). In den ersten nachchristlichen Jahrhunderten wurden die beiden Wörter teils praktisch gleich ausgesprochen (Willker 2013, 420f.). Neben der stabilen externen Überlieferung spricht für das Kamel, dass es in anderen antiken Texten ähnliche Redewendungen gibt (wie etwa der Elefant durch das Nadelöhr in rabbinischen Texten; Gnilka 1979, 88). So ist das »Schiffstau« ein recht offensichtlicher Versuch, Jesu bizarren Vergleich verständlicher zu machen.</w:t>
      </w:r>
    </w:p>
  </w:footnote>
  <w:footnote w:id="1876">
    <w:p>
      <w:pPr>
        <w:pStyle w:val="Funote"/>
        <w:rPr/>
      </w:pPr>
      <w:r>
        <w:rPr/>
        <w:footnoteRef/>
        <w:tab/>
        <w:t>Nadelöhr W. »das Öhr der Nadel« Textkritik: Die bestimmten Artikel sind zwar textkritisch umstritten (sie fehlen in etlichen wichtigen Zeugen; NA28 setzt sie in eckige Klammern), aber ihr Fehlen ist sehr wahrscheinlich eine Angleichung an Mt 19,24 par Lk 18,25. Die bestimmten Artikel zeigen dem Leser die Bekanntheit des Nadelöhrs als das bekanntermaßen kleinste Loch an (Willker 2013, 422).</w:t>
      </w:r>
    </w:p>
  </w:footnote>
  <w:footnote w:id="1877">
    <w:p>
      <w:pPr>
        <w:pStyle w:val="Funote"/>
        <w:rPr/>
      </w:pPr>
      <w:r>
        <w:rPr/>
        <w:footnoteRef/>
        <w:tab/>
        <w:t>und sagten Ptz. conj., beigeordnet aufgelöst.</w:t>
      </w:r>
    </w:p>
  </w:footnote>
  <w:footnote w:id="1878">
    <w:p>
      <w:pPr>
        <w:pStyle w:val="Funote"/>
        <w:rPr/>
      </w:pPr>
      <w:r>
        <w:rPr/>
        <w:footnoteRef/>
        <w:tab/>
        <w:t>sah an und Ptz. conj., beigeordnet aufgelöst.</w:t>
      </w:r>
    </w:p>
  </w:footnote>
  <w:footnote w:id="1879">
    <w:p>
      <w:pPr>
        <w:pStyle w:val="Funote"/>
        <w:rPr/>
      </w:pPr>
      <w:r>
        <w:rPr/>
        <w:footnoteRef/>
        <w:tab/>
        <w:t>sagte W. »fing an zu sagen«, eine bei Markus typische Wendung, wo »anfangen« sehr schwache Bedeutung hat.</w:t>
      </w:r>
    </w:p>
  </w:footnote>
  <w:footnote w:id="1880">
    <w:p>
      <w:pPr>
        <w:pStyle w:val="Funote"/>
        <w:rPr/>
      </w:pPr>
      <w:r>
        <w:rPr/>
        <w:footnoteRef/>
        <w:tab/>
        <w:t>Du weißt W. »Siehe«. Das Wort hat im Griechischen die Funktion, die Aufmerksamkeit auf das Folgende zu lenken. Diese Funktion kann man nicht mit dem deutschen »siehe«, sondern nur mit einer sinngemäßen Wiedergabe erreichen (Runge, Discourse Grammar, 5.4.2). Unsere Wiedergabe vgl. EÜ, GNB, NGÜ.</w:t>
      </w:r>
    </w:p>
  </w:footnote>
  <w:footnote w:id="1881">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882">
    <w:p>
      <w:pPr>
        <w:pStyle w:val="Funote"/>
        <w:rPr/>
      </w:pPr>
      <w:r>
        <w:rPr/>
        <w:footnoteRef/>
        <w:tab/>
        <w:t>der nicht W. »(Es gibt niemanden (V. 29)...,) wenn er nicht«</w:t>
      </w:r>
    </w:p>
  </w:footnote>
  <w:footnote w:id="1883">
    <w:p>
      <w:pPr>
        <w:pStyle w:val="Funote"/>
        <w:rPr/>
      </w:pPr>
      <w:r>
        <w:rPr/>
        <w:footnoteRef/>
        <w:tab/>
        <w:t xml:space="preserve">[wenn auch] unter Verfolgungen bezieht sich auf Begleitumstände (BA </w:t>
      </w:r>
      <w:r>
        <w:rPr>
          <w:lang w:val="el-GR"/>
        </w:rPr>
        <w:t>μετά</w:t>
      </w:r>
      <w:r>
        <w:rPr/>
        <w:t>, III.2.). [wenn auch] wurde daher sinngemäß eingefügt, weil »unter Verfolgungen« eine Einschränkung bezeichnet, die man im Deutschen auf diese Weise einleitet.</w:t>
      </w:r>
    </w:p>
  </w:footnote>
  <w:footnote w:id="1884">
    <w:p>
      <w:pPr>
        <w:pStyle w:val="Funote"/>
        <w:rPr/>
      </w:pPr>
      <w:r>
        <w:rPr/>
        <w:footnoteRef/>
        <w:tab/>
        <w:t>Sie waren auf dem Weg nach Jerusalem, und Jesus ging ihnen voran Es handelt sich um zwei umschriebene Imperfekte, die sinngemäß wiedergegeben sind. Sie heben den durativen Aspekt stärker hervor und beschreiben so die Ausgangslage dieses neuen Abschnitts. waren auf dem Weg nach Jerusalem lässt sich auch anders wiedergeben: »waren unterwegs und gingen dabei (hinauf) nach Jerusalem« oder, wie es an anderen Stellen häufig zu finden ist, einfach »gingen (hinauf) nach Jerusalem«. Der Übersetzer hat das Ptz. »gingen (hinauf)« nicht zusätzlich übersetzt, weil waren auf dem Weg schon dieselben Informationen enthält (vgl. NSS; GNB, NGÜ, EÜ, MEN). Die Juden sprachen im Zusammenhang mit der Reise nach Jerusalem grundsätzlich von einem »Hinaufgehen« (auch weil Jerusalem erhöht und der Tempel auf einem Hügel lag). Vgl. Mk 3,22, wo die Schriftgelehrten aus Jerusalem herabgekommen sind. Nach 10,1 ist Jesu Reisegruppe bereits nach Judäa gekommen, hat aber die Stadt Jericho noch nicht erreicht (V. 46), an der jeder vorbeikam, der im Jordantal nach Süden reiste. Von dort aus führte eine Straße nach Westen gen Jerusalem.</w:t>
      </w:r>
    </w:p>
  </w:footnote>
  <w:footnote w:id="1885">
    <w:p>
      <w:pPr>
        <w:pStyle w:val="Funote"/>
        <w:rPr/>
      </w:pPr>
      <w:r>
        <w:rPr/>
        <w:footnoteRef/>
        <w:tab/>
        <w:t>[die Jünger (Leute)] wunderten sich darüber (wurden von Beklommenheit erfasst; erschraken) und bekamen Angst Impliziertes Subjekt nach dem Verlauf der Erzählung sind die Jünger (France 2002, 412). Zum zweiten Subjekt s. die nächste Fußnote. Die Verwunderung (oder die Beklommenheit, das Unbehagen) der Jünger ist eine Reaktion auf Jesu Verhalten, den der Evangelist uns als entschlossen auf sein Schicksal zumarschierend darstellt (ebd.). Das Imperfekt drückt dann die wachsenden oder anhaltenden Gefühle der Jünger aus (daher bekamen statt »hatten Angst«) (Evans 2001, 108; France). Viele Übersetzungen versuchen leider nicht in ausreichendem Maß, die einzelnen Satzteile in einen sinnvollen Zusammenhang zu bringen. NGÜ macht die Vorgänge am besten verständlich: »Unruhe hatte die Jünger ergriffen, und auch die anderen, die mitgingen, hatten Angst.« MEN: »Jesus ging ihnen (dabei) voran, und sie waren darüber erstaunt; die ihm Nachfolgenden aber waren voll Furcht.«</w:t>
      </w:r>
    </w:p>
  </w:footnote>
  <w:footnote w:id="1886">
    <w:p>
      <w:pPr>
        <w:pStyle w:val="Funote"/>
        <w:rPr/>
      </w:pPr>
      <w:r>
        <w:rPr/>
        <w:footnoteRef/>
        <w:tab/>
        <w:t>die hinter ihm hergingen (die ihm Folgenden, seine Nachfolger) (Subst. Ptz.) Da Jesus vorausgeht, heißt »nachfolgen« hier wohl einfach »hinterhergehen« und bezeichnet im weiteren Sinn seine Nachfolger, die Jesus in diesem Moment hinterhergingen (France 2002, 412). Die Gruppe der Zwölf ist nur ein Teil von ihnen, die Jesus gleich noch einmal besonders auf das Bevorstehende vorbereitet. Das Bild des vorangehenden Jesus und der folgenden Jünger steht wohl auch symbolisch für die Nachfolge (Collins 2007, 484).</w:t>
      </w:r>
    </w:p>
  </w:footnote>
  <w:footnote w:id="1887">
    <w:p>
      <w:pPr>
        <w:pStyle w:val="Funote"/>
        <w:rPr/>
      </w:pPr>
      <w:r>
        <w:rPr/>
        <w:footnoteRef/>
        <w:tab/>
        <w:t>nahm beiseite und Ptz. conj., beigeordnet aufgelöst. teilte ihnen mit W. »begann ihnen zu sagen«</w:t>
      </w:r>
    </w:p>
  </w:footnote>
  <w:footnote w:id="1888">
    <w:p>
      <w:pPr>
        <w:pStyle w:val="Funote"/>
        <w:rPr/>
      </w:pPr>
      <w:r>
        <w:rPr/>
        <w:footnoteRef/>
        <w:tab/>
        <w:t>jetzt W. »Siehe«. Das Wort hat im Griechischen die Funktion, die Aufmerksamkeit auf das Folgende zu lenken. Diese Funktion kann man nicht mit dem deutschen »siehe«, sondern nur mit einer sinngemäßen Wiedergabe erreichen (Runge, Discourse Grammar, 5.4.2). GNB: »Hört zu!«, NGÜ, EÜ wie OfBi.</w:t>
      </w:r>
    </w:p>
  </w:footnote>
  <w:footnote w:id="1889">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890">
    <w:p>
      <w:pPr>
        <w:pStyle w:val="Funote"/>
        <w:rPr/>
      </w:pPr>
      <w:r>
        <w:rPr/>
        <w:footnoteRef/>
        <w:tab/>
        <w:t>[für] uns Dat. commodi.</w:t>
      </w:r>
    </w:p>
  </w:footnote>
  <w:footnote w:id="1891">
    <w:p>
      <w:pPr>
        <w:pStyle w:val="Funote"/>
        <w:rPr/>
      </w:pPr>
      <w:r>
        <w:rPr/>
        <w:footnoteRef/>
        <w:tab/>
        <w:t>[für] euch Dat. commodi.</w:t>
      </w:r>
    </w:p>
  </w:footnote>
  <w:footnote w:id="1892">
    <w:p>
      <w:pPr>
        <w:pStyle w:val="Funote"/>
        <w:rPr/>
      </w:pPr>
      <w:r>
        <w:rPr/>
        <w:footnoteRef/>
        <w:tab/>
        <w:t>Gestatte uns W. »Gib uns«, was wohl eine respektvolle Formulierung ist.</w:t>
      </w:r>
    </w:p>
  </w:footnote>
  <w:footnote w:id="1893">
    <w:p>
      <w:pPr>
        <w:pStyle w:val="Funote"/>
        <w:rPr/>
      </w:pPr>
      <w:r>
        <w:rPr/>
        <w:footnoteRef/>
        <w:tab/>
        <w:t>in deiner Herrlichkeit (Herrschaft, Ehre) bezieht sich auf die Zeit, in der Jesus seine Herrschaft als Messias in vollem Umfang angetreten hat (vgl. Mt 19,28; Mk 12,36), als Menschensohn, der von Gott ewige Macht erhält (Dan 7,13f.) (Evans 2001, 116; Pesch 1977, 155). Sehr passend paraphrasiert GNB: »wenn du deine Herrschaft angetreten hast«. EÜ: »in deinem Reich«</w:t>
      </w:r>
    </w:p>
  </w:footnote>
  <w:footnote w:id="1894">
    <w:p>
      <w:pPr>
        <w:pStyle w:val="Funote"/>
        <w:rPr/>
      </w:pPr>
      <w:r>
        <w:rPr/>
        <w:footnoteRef/>
        <w:tab/>
        <w:t xml:space="preserve">[mit] der Taufe getauft werden Bei [mit] der Taufe handelt es sich um einen »Akkusativ des inneren Objekts«, einen Akkusativ, der hinsichtlich Stamm oder Sinn mit dem dazugehörigen Verb übereinstimmt und so eine figura etymologica bildet (Siebenthal 2011, §151a). Jesus prägt hier scheinbar eine neue Metapher, indem er gleichzeitig die Taufe von Johannes dem Täufer (mit der er getauft wurde) und den verbreiteten übertragenen Gebrauch des gr. </w:t>
      </w:r>
      <w:r>
        <w:rPr>
          <w:lang w:val="el-GR"/>
        </w:rPr>
        <w:t>βαπτίζομαι</w:t>
      </w:r>
      <w:r>
        <w:rPr/>
        <w:t xml:space="preserve"> »überwältigt sein« ins Bewusstsein ruft und so zu einem Bild für das Martyrium verbindet (France 2002, 416f.; vgl. BA 3c). (Vergleichbare Wendungen im Deutschen sind »das Wasser steht mir bis zum Hals« oder »ins kalte Wasser geworfen werden«.) Zusammen mit dem Kelch, der nach atl. Prophezeiungen den Zorn Gottes symbolisiert, und der Johannestaufe, die die Vergebung der Sünden anzeigte, weist Jesus so auf seinen stellvertretenden Tod für die Menschheit hin (Collins 2007, 496f.).</w:t>
      </w:r>
    </w:p>
  </w:footnote>
  <w:footnote w:id="1895">
    <w:p>
      <w:pPr>
        <w:pStyle w:val="Funote"/>
        <w:rPr/>
      </w:pPr>
      <w:r>
        <w:rPr/>
        <w:footnoteRef/>
        <w:tab/>
        <w:t>gewähren W. »geben« (vgl. V. 37)</w:t>
      </w:r>
    </w:p>
  </w:footnote>
  <w:footnote w:id="1896">
    <w:p>
      <w:pPr>
        <w:pStyle w:val="Funote"/>
        <w:rPr/>
      </w:pPr>
      <w:r>
        <w:rPr/>
        <w:footnoteRef/>
        <w:tab/>
        <w:t>sondern [das Sitzen steht denjenigen zu], [für] die es vorgesehen (bestimmt, bereitet) ist D.h. »Auf diesen Plätzen werden diejenigen Sitzen, die dafür vorgesehen sind«, und zwar (wie das Passiv anzeigt) von Gott (France 2002, 417). [für] die Dat. commodi.</w:t>
      </w:r>
    </w:p>
  </w:footnote>
  <w:footnote w:id="1897">
    <w:p>
      <w:pPr>
        <w:pStyle w:val="Funote"/>
        <w:rPr/>
      </w:pPr>
      <w:r>
        <w:rPr/>
        <w:footnoteRef/>
        <w:tab/>
        <w:t>als ... hörten Ptz. conj., als temporaler Nebensatz aufgelöst.</w:t>
      </w:r>
    </w:p>
  </w:footnote>
  <w:footnote w:id="1898">
    <w:p>
      <w:pPr>
        <w:pStyle w:val="Funote"/>
        <w:rPr/>
      </w:pPr>
      <w:r>
        <w:rPr/>
        <w:footnoteRef/>
        <w:tab/>
        <w:t>waren sie wütend W. »begannen sie, wütend zu sein«</w:t>
      </w:r>
    </w:p>
  </w:footnote>
  <w:footnote w:id="1899">
    <w:p>
      <w:pPr>
        <w:pStyle w:val="Funote"/>
        <w:rPr/>
      </w:pPr>
      <w:r>
        <w:rPr/>
        <w:footnoteRef/>
        <w:tab/>
        <w:t>die als Regierende … angesehen sind (gelten) W. »die zu regieren/herrschen (Inf.) über die Völker (Gen.) angesehen sind« Die meisten Übersetzungen formulieren »gelten«. angesehen sind gibt jedoch noch besser die öffentlich sichtbare Rolle dieser Regierenden wieder (vgl. France 2002, 418). über die Völker (Genitivobjekt, Siebenthal 2011, §167h)</w:t>
      </w:r>
    </w:p>
  </w:footnote>
  <w:footnote w:id="1900">
    <w:p>
      <w:pPr>
        <w:pStyle w:val="Funote"/>
        <w:rPr/>
      </w:pPr>
      <w:r>
        <w:rPr/>
        <w:footnoteRef/>
        <w:tab/>
        <w:t>die Menschen W. »sie«, d.h. ihre Völker oder Untertanen.</w:t>
      </w:r>
    </w:p>
  </w:footnote>
  <w:footnote w:id="1901">
    <w:p>
      <w:pPr>
        <w:pStyle w:val="Funote"/>
        <w:rPr/>
      </w:pPr>
      <w:r>
        <w:rPr/>
        <w:footnoteRef/>
        <w:tab/>
        <w:t>als er von Jericho aufbrach, [er] und seine Jünger und eine beachtliche Menschenmenge Diese Temporalangabe (Gen. abs.) ist für unsere Begriffe umständlich formuliert. Stünde das Partizip im Plural, würde es die ganze Gruppe einschließen. Die Formulierung könnte ein Überbleibsel mündlicher Überlieferung sein (Collins 2007, 508). Durch die Einfügung von [er] ist glücklicherweise eine sehr wörtliche Wiedergabe (jedoch als Parenthese) möglich.</w:t>
      </w:r>
    </w:p>
  </w:footnote>
  <w:footnote w:id="1902">
    <w:p>
      <w:pPr>
        <w:pStyle w:val="Funote"/>
        <w:rPr/>
      </w:pPr>
      <w:r>
        <w:rPr/>
        <w:footnoteRef/>
        <w:tab/>
        <w:t>der Sohn von Timäus, Bartimäus Der Name »Bartimäus« bedeutet auf Aramäisch eben das – Sohn von Timäus/Timai (</w:t>
      </w:r>
      <w:r>
        <w:rPr>
          <w:rtl w:val="true"/>
          <w:lang w:bidi="he-IL"/>
        </w:rPr>
        <w:t>בר טמאי</w:t>
      </w:r>
      <w:r>
        <w:rPr/>
        <w:t xml:space="preserve"> </w:t>
      </w:r>
      <w:r>
        <w:rPr/>
        <w:t>bar ṭimʾay). Es könnte auch sein, dass ein anderer aramäische Name hinter der griechischen Form steht. Verknüpfungen mit aramäischen Wörtern für »blind« oder »unrein« wären möglich, sind aber sehr unsicher (Collins 2007, 508f.; vgl. Evans 2001, 131).</w:t>
      </w:r>
    </w:p>
  </w:footnote>
  <w:footnote w:id="1903">
    <w:p>
      <w:pPr>
        <w:pStyle w:val="Funote"/>
        <w:rPr/>
      </w:pPr>
      <w:r>
        <w:rPr/>
        <w:footnoteRef/>
        <w:tab/>
        <w:t xml:space="preserve">am Straßenrand W. »bei/neben der Straße/Weg«, Gr. </w:t>
      </w:r>
      <w:r>
        <w:rPr>
          <w:lang w:val="el-GR"/>
        </w:rPr>
        <w:t>παρὰ τὴν ὁδόν</w:t>
      </w:r>
      <w:r>
        <w:rPr/>
        <w:t xml:space="preserve">. Die genaue Ortsangabe, die im Griechischen die Präposition </w:t>
      </w:r>
      <w:r>
        <w:rPr>
          <w:lang w:val="el-GR"/>
        </w:rPr>
        <w:t>παρὰ</w:t>
      </w:r>
      <w:r>
        <w:rPr/>
        <w:t xml:space="preserve"> ausdrückt, lässt sich im Deutschen nur mittels einer Abwandlung des Substantivs von »Straße« zu »Straßenrand« erreichen (vgl. Mk 4,4.15). Die Position des Bettlers am Straßenrand am Ortsausgang war gut gewählt, weil so der gesamte Reiseverkehr nach Jerusalem an ihm vorbeikommen musste. Nicht nur wohlhabende Reisende, sondern auch Pilger wie Jesus und seine Jünger wären vermutlich zu einem Almosen bereit gewesen (Evans 2001, 131).</w:t>
      </w:r>
    </w:p>
  </w:footnote>
  <w:footnote w:id="1904">
    <w:p>
      <w:pPr>
        <w:pStyle w:val="Funote"/>
        <w:rPr/>
      </w:pPr>
      <w:r>
        <w:rPr/>
        <w:footnoteRef/>
        <w:tab/>
        <w:t>als er hörte Ptz. conj., als temporaler Nebensatz aufgelöst.</w:t>
      </w:r>
    </w:p>
  </w:footnote>
  <w:footnote w:id="1905">
    <w:p>
      <w:pPr>
        <w:pStyle w:val="Funote"/>
        <w:rPr/>
      </w:pPr>
      <w:r>
        <w:rPr/>
        <w:footnoteRef/>
        <w:tab/>
        <w:t>Sohn Davids »Sohn Davids« ist eine Bezeichnung für den Messias (vgl. 12,35). In Mt 1,20 spricht ein Engel Jesu Adoptivvater Josef mit diesem Titel an. Der jüdischen Erwartung nach war der Messias nicht nur ein Nachfahre des Königs David, sondern auch ein König wie er. Es ist das erste Mal, dass ein Außenstehender Jesus damit in Verbindung bringt (vgl. France 2002, 423).</w:t>
      </w:r>
    </w:p>
  </w:footnote>
  <w:footnote w:id="1906">
    <w:p>
      <w:pPr>
        <w:pStyle w:val="Funote"/>
        <w:rPr/>
      </w:pPr>
      <w:r>
        <w:rPr/>
        <w:footnoteRef/>
        <w:tab/>
        <w:t>blieb stehen sowie und sagten Ptz. conj., beigeordnet aufgelöst. blieb stehen (stand auf) Das griechische Wort heißt einfach »er stand«, kann aber für »aufstehen« oder »stehen bleiben« benutzt werden. Stand Jesus auf, dann hatte er sich vielleicht vorher zum Lehren niedergelassen (Evans 2001, 133).</w:t>
      </w:r>
    </w:p>
  </w:footnote>
  <w:footnote w:id="1907">
    <w:p>
      <w:pPr>
        <w:pStyle w:val="Funote"/>
        <w:rPr/>
      </w:pPr>
      <w:r>
        <w:rPr/>
        <w:footnoteRef/>
        <w:tab/>
        <w:t>warf er … ab, sprang auf und Ptz. conj. (2x), beigeordnet aufgelöst.</w:t>
      </w:r>
    </w:p>
  </w:footnote>
  <w:footnote w:id="1908">
    <w:p>
      <w:pPr>
        <w:pStyle w:val="Funote"/>
        <w:rPr/>
      </w:pPr>
      <w:r>
        <w:rPr/>
        <w:footnoteRef/>
        <w:tab/>
        <w:t>fragte ihn W. »antwortete ihm und sagte« Jesus »antwortet« (d.h. reagiert) hier auf die Situation, vielleicht auf die Zurufe des Bettlers (DBL Greek 646), allerdings mit einer eigenen Frage (vgl. V. 24).</w:t>
      </w:r>
    </w:p>
  </w:footnote>
  <w:footnote w:id="1909">
    <w:p>
      <w:pPr>
        <w:pStyle w:val="Funote"/>
        <w:rPr/>
      </w:pPr>
      <w:r>
        <w:rPr/>
        <w:footnoteRef/>
        <w:tab/>
        <w:t>Rabbuni Das ist eine respektvolle Anrede für einen Höhergestellten und wird von dem Blinden hier (wie bei den späteren Rabbinen) wohl speziell für Jesus als »Lehrer« benutzt (Collins 2007, 511). Nur in Joh 20,16 wird Jesus sonst noch so genannt, und zwar von Maria Magdalena in einem sehr emotionalen Moment. Offenbar gibt es abgesehen von der etwas stärkeren Betonung keinen Unterschied zu »Rabbi« (=Lehrer) (France 2002, 424).</w:t>
      </w:r>
    </w:p>
  </w:footnote>
  <w:footnote w:id="1910">
    <w:p>
      <w:pPr>
        <w:pStyle w:val="Funote"/>
        <w:rPr/>
      </w:pPr>
      <w:r>
        <w:rPr/>
        <w:footnoteRef/>
        <w:tab/>
        <w:t>Geh D.h. »Geh nur!« (GNB, NGÜ). Vgl. 7,29. Gemeint ist einfach, dass er geheilt ist und gehen kann, wenn er möchte. Markus stellt Bartimäus also nicht als ungehorsam dar, wenn er sich Jesus im nächsten Vers anschließt (France 2002, 425).</w:t>
      </w:r>
    </w:p>
  </w:footnote>
  <w:footnote w:id="1911">
    <w:p>
      <w:pPr>
        <w:pStyle w:val="Funote"/>
        <w:rPr/>
      </w:pPr>
      <w:r>
        <w:rPr/>
        <w:footnoteRef/>
        <w:tab/>
        <w:t>er folgte ihm auf dem Weg D.h. wohl, dass Bartimäus sein Jünger wurde. »Folgen« oder »nachfolgen« geschieht bei Markus sonst häufig im Kontext der Jüngerschaft. auf dem Weg könnte auch symbolisch den Weg der Nachfolge bezeichnen (vgl. V. 32). In den vergangenen zwei Kapiteln (seit dem Wendepunkt in Mk 8,29) kam diese Wendung vermehrt vor – einerseits, weil Jesus und die Jünger vom Norden Palästinas nach Jerusalem reisten, andererseits, weil Jesus ihnen in dieser Zeit viel über Nachfolge beigebracht hat (vgl. France 2002, 425; Collins 2007, 511). MEN (vgl. NGÜ): »und schloß sich an Jesus auf der Wanderung an«</w:t>
      </w:r>
    </w:p>
  </w:footnote>
  <w:footnote w:id="1912">
    <w:p>
      <w:pPr>
        <w:pStyle w:val="Funote"/>
        <w:rPr/>
      </w:pPr>
      <w:r>
        <w:rPr/>
        <w:footnoteRef/>
        <w:tab/>
        <w:t>[Status: Zuverlässig]</w:t>
      </w:r>
    </w:p>
  </w:footnote>
  <w:footnote w:id="1913">
    <w:p>
      <w:pPr>
        <w:pStyle w:val="Funote"/>
        <w:rPr/>
      </w:pPr>
      <w:r>
        <w:rPr/>
        <w:footnoteRef/>
        <w:tab/>
        <w:t>Ölberg W. „Berg der Ölbäume“ in die Nähe von Jerusalem ..., nach Betfage und Betanien beim Ölberg Die Gruppe erreichte Jerusalem von Osten, von Jericho her (10,46). Der Ölberg liegt östlich von Jerusalem, dem Tempelberg gegenüber, dazwischen liegt das Kidrontal. Die Straße von Jericho nach Jerusalem führt an der Südseite des Ölbergs vorbei. Betfage und Betanien lagen beide etwas südlich dieser Straße am Hang des Ölbergs. Betanien, wo Jesus später seine Unterkunft hatte (V. 11-12; 14,3), lag etwa 3km vor Jerusalem, das kleinere Betfage etwas näher. Bei dem Dorf in V. 2 handelt es sich wohl um Betfage (Collins 2007, 516; France 2002, 430).</w:t>
      </w:r>
    </w:p>
  </w:footnote>
  <w:footnote w:id="1914">
    <w:p>
      <w:pPr>
        <w:pStyle w:val="Funote"/>
        <w:rPr/>
      </w:pPr>
      <w:r>
        <w:rPr/>
        <w:footnoteRef/>
        <w:tab/>
        <w:t>Er sagte Modales Ptz. conj., als eigenständiger Hauptsatz aufgelöst.</w:t>
      </w:r>
    </w:p>
  </w:footnote>
  <w:footnote w:id="1915">
    <w:p>
      <w:pPr>
        <w:pStyle w:val="Funote"/>
        <w:rPr/>
      </w:pPr>
      <w:r>
        <w:rPr/>
        <w:footnoteRef/>
        <w:tab/>
        <w:t>wenn ihr hineingeht Temporales Ptz. conj., als Nebensatz aufgelöst.</w:t>
      </w:r>
    </w:p>
  </w:footnote>
  <w:footnote w:id="1916">
    <w:p>
      <w:pPr>
        <w:pStyle w:val="Funote"/>
        <w:rPr/>
      </w:pPr>
      <w:r>
        <w:rPr/>
        <w:footnoteRef/>
        <w:tab/>
        <w:t>Eselsfohlen (Fohlen) Markus spricht wie Lukas nur von einem Fohlen, während Matthäus und Johannes von einem Eselsfohlen berichten. Zwar ist ein Fohlen gewöhnlich ein junges Pferd, in Jesu paläsitinischem Kontext ist mit einem Fohlen i.d.R. jedoch ein Eselsfohlen gemeint (France 2002, 431). Weiter wäre im Kontext eines kleinen Dorfes ein Pferd unwahrscheinlich (Collins 2007, 517). Vgl. Mt 21,2; Joh 12,15, wo von jungen Eseln die Rede ist. Mit »Fohlen« ist Markus zudem näher am griechischen Text von Sach 9,9, wo vom Fohlen eines Lasttiers (=Esels) die Rede ist (France).</w:t>
      </w:r>
    </w:p>
  </w:footnote>
  <w:footnote w:id="1917">
    <w:p>
      <w:pPr>
        <w:pStyle w:val="Funote"/>
        <w:rPr/>
      </w:pPr>
      <w:r>
        <w:rPr/>
        <w:footnoteRef/>
        <w:tab/>
        <w:t>noch nie ein Mensch W. »niemand der Menschen«</w:t>
      </w:r>
    </w:p>
  </w:footnote>
  <w:footnote w:id="1918">
    <w:p>
      <w:pPr>
        <w:pStyle w:val="Funote"/>
        <w:rPr/>
      </w:pPr>
      <w:r>
        <w:rPr/>
        <w:footnoteRef/>
        <w:tab/>
        <w:t>Für detaillierte Textkritik vgl. den Exkurs im Kommentar.</w:t>
      </w:r>
    </w:p>
  </w:footnote>
  <w:footnote w:id="1919">
    <w:p>
      <w:pPr>
        <w:pStyle w:val="Funote"/>
        <w:rPr/>
      </w:pPr>
      <w:r>
        <w:rPr/>
        <w:footnoteRef/>
        <w:tab/>
        <w:t>macht ihr … dass ihr losbindet Prädikatives Partizip, als Nebensatz aufgelöst. EÜ: »Wie kommt ihr dazu, den Esel loszubinden?«</w:t>
      </w:r>
    </w:p>
  </w:footnote>
  <w:footnote w:id="1920">
    <w:p>
      <w:pPr>
        <w:pStyle w:val="Funote"/>
        <w:rPr/>
      </w:pPr>
      <w:r>
        <w:rPr/>
        <w:footnoteRef/>
        <w:tab/>
        <w:t>die sie … abgeschnitten (abgerissen) hatten Temp. Ptz. conj., als Relativsatz aufgelöst.</w:t>
      </w:r>
    </w:p>
  </w:footnote>
  <w:footnote w:id="1921">
    <w:p>
      <w:pPr>
        <w:pStyle w:val="Funote"/>
        <w:rPr/>
      </w:pPr>
      <w:r>
        <w:rPr/>
        <w:footnoteRef/>
        <w:tab/>
        <w:t>riefen immer wieder Das Impferfekt drückt das, dass die Menschen diese Worte in Sprechchören riefen (oder sangen).</w:t>
      </w:r>
    </w:p>
  </w:footnote>
  <w:footnote w:id="1922">
    <w:p>
      <w:pPr>
        <w:pStyle w:val="Funote"/>
        <w:rPr/>
      </w:pPr>
      <w:r>
        <w:rPr/>
        <w:footnoteRef/>
        <w:tab/>
        <w:t xml:space="preserve">Hosanna Aus Ps 118,25, Hebr. </w:t>
      </w:r>
      <w:r>
        <w:rPr>
          <w:rtl w:val="true"/>
          <w:lang w:bidi="he-IL"/>
        </w:rPr>
        <w:t>הוֹשִׁיעָה נָּא</w:t>
      </w:r>
      <w:r>
        <w:rPr/>
        <w:t xml:space="preserve"> </w:t>
      </w:r>
      <w:r>
        <w:rPr/>
        <w:t xml:space="preserve">»Rette doch/bitte!«, hier offenbar die auf griechische wiedergegebene aramäische Version </w:t>
      </w:r>
      <w:r>
        <w:rPr>
          <w:rtl w:val="true"/>
          <w:lang w:bidi="he-IL"/>
        </w:rPr>
        <w:t>הושע נא</w:t>
      </w:r>
      <w:r>
        <w:rPr/>
        <w:t>. Obwohl Mk 11,9 den griechischen Text von Ps 118,26 zitiert, gibt er hier das unübersetzte Wort wieder. Vielleicht war der Ruf unter Markus' Lesern hinreichend bekannt (Collins 2007, 519). Von der Wurzel für »retten« stammt auch Jesu zu dieser Zeit sehr häufiger hebräischer Name Jeschua. In Ps 118 gilt der Ruf Gott, die versprochene Rettung einzuleiten. Gleich im Anschluss an das Zitat wird in Ps 118 der Tempel erwähnt – den Jesus bald betreten wird (Evans 2001, 145). Psalm 118 war der letzte Psalm, der an Festtagen von Pilgern gesungen wurde. Die pilgernde Menge, die mit Jesus zum Passafest nach Jerusalem kam, scheint den Psalm jedoch nun über Jesus zu singen (vgl. France 2002, 433f.).</w:t>
      </w:r>
    </w:p>
  </w:footnote>
  <w:footnote w:id="1923">
    <w:p>
      <w:pPr>
        <w:pStyle w:val="Funote"/>
        <w:rPr/>
      </w:pPr>
      <w:r>
        <w:rPr/>
        <w:footnoteRef/>
        <w:tab/>
        <w:t>weil (als) die Stunde schon spät war D.h. einfach „Es war schon spät“ oder „eine fortgeschrittene Tageszeit“. Dabei handelte es sich wahrscheinlich um die gewöhnliche Zeit zum Abendessen am Spätnachmittag (France 2002, 265). Vgl. 6,35 sowie 15,33 für ähnliche Zeitangaben.</w:t>
      </w:r>
    </w:p>
  </w:footnote>
  <w:footnote w:id="1924">
    <w:p>
      <w:pPr>
        <w:pStyle w:val="Funote"/>
        <w:rPr/>
      </w:pPr>
      <w:r>
        <w:rPr/>
        <w:footnoteRef/>
        <w:tab/>
        <w:t>wurde er hungrig Als ingressives Aorist übersetzt.</w:t>
      </w:r>
    </w:p>
  </w:footnote>
  <w:footnote w:id="1925">
    <w:p>
      <w:pPr>
        <w:pStyle w:val="Funote"/>
        <w:rPr/>
      </w:pPr>
      <w:r>
        <w:rPr/>
        <w:footnoteRef/>
        <w:tab/>
        <w:t>als er … sah Ptz. conj., als temporaler Nebensatz aufgelöst.</w:t>
      </w:r>
    </w:p>
  </w:footnote>
  <w:footnote w:id="1926">
    <w:p>
      <w:pPr>
        <w:pStyle w:val="Funote"/>
        <w:rPr/>
      </w:pPr>
      <w:r>
        <w:rPr/>
        <w:footnoteRef/>
        <w:tab/>
        <w:t>Da (Und) sagte er zu [dem Baum] W. „antwortete und sagte er zu ihm“. Jesus „antwortet“ (d.h. reagiert) hier auf die Situation (DBL Greek 646; vgl. V. 51).</w:t>
      </w:r>
    </w:p>
  </w:footnote>
  <w:footnote w:id="1927">
    <w:p>
      <w:pPr>
        <w:pStyle w:val="Funote"/>
        <w:rPr/>
      </w:pPr>
      <w:r>
        <w:rPr/>
        <w:footnoteRef/>
        <w:tab/>
        <w:t>Nie mehr, bis in Ewigkeit soll jemand W. »nie mehr, bis in Ewigkeit, soll niemand«. Die doppelte Verneinung verstärkt den Schwur.</w:t>
      </w:r>
    </w:p>
  </w:footnote>
  <w:footnote w:id="1928">
    <w:p>
      <w:pPr>
        <w:pStyle w:val="Funote"/>
        <w:rPr/>
      </w:pPr>
      <w:r>
        <w:rPr/>
        <w:footnoteRef/>
        <w:tab/>
        <w:t>Als (Und) ... {und} W. „und … und“, hier als temporale Verknüpfung wiedergegeben.</w:t>
      </w:r>
    </w:p>
  </w:footnote>
  <w:footnote w:id="1929">
    <w:p>
      <w:pPr>
        <w:pStyle w:val="Funote"/>
        <w:rPr/>
      </w:pPr>
      <w:r>
        <w:rPr/>
        <w:footnoteRef/>
        <w:tab/>
        <w:t>ging er … und Ptz. conj., beigeordnet aufgelöst.</w:t>
      </w:r>
    </w:p>
  </w:footnote>
  <w:footnote w:id="1930">
    <w:p>
      <w:pPr>
        <w:pStyle w:val="Funote"/>
        <w:rPr/>
      </w:pPr>
      <w:r>
        <w:rPr/>
        <w:footnoteRef/>
        <w:tab/>
        <w:t>Taubenverkäufer W. „die Tauben verkauften“ (Subst. Ptz.). Jesus ist gegen Kommerz im Tempelhof, der der Anbetung Gottes vorbehalten sein sollte (vgl. V. 17) (Evans 2001, 169-171).</w:t>
      </w:r>
    </w:p>
  </w:footnote>
  <w:footnote w:id="1931">
    <w:p>
      <w:pPr>
        <w:pStyle w:val="Funote"/>
        <w:rPr/>
      </w:pPr>
      <w:r>
        <w:rPr/>
        <w:footnoteRef/>
        <w:tab/>
        <w:t>einen Gegenstand (etwas) Offenbar diente der Tempelhof als Abkürzung für den Warenverkehr (France 2002, 444f.; Collins 2007, 530). Sach 14,21 stellte für den zukünftigen Tempel in Aussicht, dass keinerlei Händler mehr darin verkehren würden. Ein jüdischer Schriftsteller berichtet, dass im (Priestern vorbehaltenen) Heiligtum weder Speisen noch ungeweihte Gegenstände erlaubt waren (Josephus, Gegen Apion 2.8 §§106, 109). Eine spätere jüdische Schriftauslegung verbot den Zutritt zum Tempelberg mit Stab, Sandalen, Geldbörse, staubigen Füßen oder als Abkürzung, aber auch das Spucken auf dem Gelände (m. Ber. 9:5) (Evans 2001, 173).</w:t>
      </w:r>
    </w:p>
  </w:footnote>
  <w:footnote w:id="1932">
    <w:p>
      <w:pPr>
        <w:pStyle w:val="Funote"/>
        <w:rPr/>
      </w:pPr>
      <w:r>
        <w:rPr/>
        <w:footnoteRef/>
        <w:tab/>
        <w:t>Dabei lehrte er sie Imperfekt, das etwas Fortdauerndes beschreibt und hier vielleicht anzeigt, dass Jesu Vorwurf die kondensierte Form einer längeren Rede ist. Oder inchoativ „er fing an, sie zu lehren“ (so Evans 2001, 173). W. „Und er lehrte und sagte zu ihnen“</w:t>
      </w:r>
    </w:p>
  </w:footnote>
  <w:footnote w:id="1933">
    <w:p>
      <w:pPr>
        <w:pStyle w:val="Funote"/>
        <w:rPr/>
      </w:pPr>
      <w:r>
        <w:rPr/>
        <w:footnoteRef/>
        <w:tab/>
        <w:t>Haus des Gebets [für] alle Völker (Dat. commodi). Der griechische Text folgt in diesem Zitat wörtlich der LXX und dem hebräischen.</w:t>
      </w:r>
    </w:p>
  </w:footnote>
  <w:footnote w:id="1934">
    <w:p>
      <w:pPr>
        <w:pStyle w:val="Funote"/>
        <w:rPr/>
      </w:pPr>
      <w:r>
        <w:rPr/>
        <w:footnoteRef/>
        <w:tab/>
        <w:t>Räuberhöhle W. „Höhle der Räuber“ Das Bild stammt aus Jer 7,11. Jesus vergleicht den Idealzustand des Tempelgottesdiensts in dem für die Zukunft verheißenen Tempel (Jes 56,7) mit einem Zustand, den der Prophet Jeremia zum Anlass genommen hat, dem Tempel und den Priestern ein Strafgericht anzudrohen (Jer 7,11). Eigentlich sollte der Tempel für alle ein Ort des Gebets an Gott sein, die Priester sollten ein Beispiel in vorbildlicher Erfüllung der Gebote geben. Doch Jeremias Zeitgenossen waren Heuchler, die die zehn Gebote (und damit den Bund) brachen und sogar andere Götter verehrten. Indem sie sich beim Tempel (und der so zugesicherten Gegenwart Gottes) sicher wähnten, machten sie das Gotteshaus also gewissermaßen zur Räuberhöhle. Gott drohte darum durch Jeremias Protest im Tempel mit der Zerstörung des Tempels und der Vertreibung aus dem Gelobten Land, wenn sie sich nicht ändern. Jesu Vorwurf könnte also kaum schwerer wiegen. Offenbar nimmt er die Entweihung des Tempels durch Kommerz (und andere Vorgänge?) als ähnlich großen Verstoß gegen den Bund wahr, der das Eintreffen der Jesaja-Prophetie effektiv verhindert (Evans 2001, 174-79; France 2002, 445f.; Collins 2007, 530ff.). Nach der Zerstörung des Tempels im Jahr 70 n. Chr. war den Lesern des Evangeliums sicherlich bewusst, dass auch darin ein Zusammenhang vorlag.</w:t>
      </w:r>
    </w:p>
  </w:footnote>
  <w:footnote w:id="1935">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936">
    <w:p>
      <w:pPr>
        <w:pStyle w:val="Funote"/>
        <w:rPr/>
      </w:pPr>
      <w:r>
        <w:rPr/>
        <w:footnoteRef/>
        <w:tab/>
        <w:t>suchten ... fürchteten … war fasziniert Die letzten beiden Imperfekte erklären die Situation. Der erste könnte auch linear „suchten weiter/ständig [nach einer Möglichkeit]“ oder inchoativ „begannen (erneut) zu suchen“ wiedergegeben werden. Zu suchten oder inchoativ „begannen zu suchen“ vgl. die parallelen Formulierungen in Mk 12,12; 14,1 und 11.</w:t>
      </w:r>
    </w:p>
  </w:footnote>
  <w:footnote w:id="1937">
    <w:p>
      <w:pPr>
        <w:pStyle w:val="Funote"/>
        <w:rPr/>
      </w:pPr>
      <w:r>
        <w:rPr/>
        <w:footnoteRef/>
        <w:tab/>
        <w:t xml:space="preserve">das ganze Volk D.h. nicht das Volk der Juden, sondern das Straßenvolk (gr. </w:t>
      </w:r>
      <w:r>
        <w:rPr>
          <w:lang w:val="el-GR"/>
        </w:rPr>
        <w:t>ὄχλος</w:t>
      </w:r>
      <w:r>
        <w:rPr/>
        <w:t xml:space="preserve"> „Menschenmenge“), die Leute, die Jesus zuhörten.</w:t>
      </w:r>
    </w:p>
  </w:footnote>
  <w:footnote w:id="1938">
    <w:p>
      <w:pPr>
        <w:pStyle w:val="Funote"/>
        <w:rPr/>
      </w:pPr>
      <w:r>
        <w:rPr/>
        <w:footnoteRef/>
        <w:tab/>
        <w:t>verließen Das Imperfekt könnte zum Ausdruck bringen, dass sie dies jeden Abend taten (France 2002, 447). Im Deutschen wäre diese Information teil der Zeitangabe, nicht des Verbs, etwa: „Jeden Abend gingen...“ oder „Abends gingen sie immer...“ Vgl. ELB: „Und wenn es Abend wurde, gingen sie...“ (ähnlich MEN u. einige engl. Übers.).</w:t>
      </w:r>
    </w:p>
  </w:footnote>
  <w:footnote w:id="1939">
    <w:p>
      <w:pPr>
        <w:pStyle w:val="Funote"/>
        <w:rPr/>
      </w:pPr>
      <w:r>
        <w:rPr/>
        <w:footnoteRef/>
        <w:tab/>
        <w:t>als sie … vorbeikamen Ptz. conj., temporal aufgelöst.</w:t>
      </w:r>
    </w:p>
  </w:footnote>
  <w:footnote w:id="1940">
    <w:p>
      <w:pPr>
        <w:pStyle w:val="Funote"/>
        <w:rPr/>
      </w:pPr>
      <w:r>
        <w:rPr/>
        <w:footnoteRef/>
        <w:tab/>
        <w:t>Glauben (Vertrauen) [an] Gott Objektiver Genitiv (Evans 2001, 186).</w:t>
      </w:r>
    </w:p>
  </w:footnote>
  <w:footnote w:id="1941">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Hier kommt es nach Mk 3,28 zum zweiten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942">
    <w:p>
      <w:pPr>
        <w:pStyle w:val="Funote"/>
        <w:rPr/>
      </w:pPr>
      <w:r>
        <w:rPr/>
        <w:footnoteRef/>
        <w:tab/>
        <w:t>für den wird es eintreffen W. »dem wird es zuteil werden« (vgl. NSS)</w:t>
      </w:r>
    </w:p>
  </w:footnote>
  <w:footnote w:id="1943">
    <w:p>
      <w:pPr>
        <w:pStyle w:val="Funote"/>
        <w:rPr/>
      </w:pPr>
      <w:r>
        <w:rPr/>
        <w:footnoteRef/>
        <w:tab/>
        <w:t>Glaubt [bei] allen [Dingen], für die... W. »Alle [Dinge], für die ihr betet und bittet: glaubt, dass ihr...«</w:t>
      </w:r>
    </w:p>
  </w:footnote>
  <w:footnote w:id="1944">
    <w:p>
      <w:pPr>
        <w:pStyle w:val="Funote"/>
        <w:rPr/>
      </w:pPr>
      <w:r>
        <w:rPr/>
        <w:footnoteRef/>
        <w:tab/>
        <w:t>dass ihr [sie schon] erhalten habt Die Erfüllung steht wie die Bedingung (das Beten) in der Zukunft. Gemeint ist also: Wer im Moment des Gebets darauf vertraut, dass seine Bitte schon sicher erfüllt ist, dessen Bitte wird erfüllt werden (vgl. BDR §333.2; NSS).</w:t>
      </w:r>
    </w:p>
  </w:footnote>
  <w:footnote w:id="1945">
    <w:p>
      <w:pPr>
        <w:pStyle w:val="Funote"/>
        <w:rPr/>
      </w:pPr>
      <w:r>
        <w:rPr/>
        <w:footnoteRef/>
        <w:tab/>
        <w:t>dann werden sie {für euch} eintreffen W. »dann wird es euch zuteil werden« (vgl. NSS)</w:t>
      </w:r>
    </w:p>
  </w:footnote>
  <w:footnote w:id="1946">
    <w:p>
      <w:pPr>
        <w:pStyle w:val="Funote"/>
        <w:rPr/>
      </w:pPr>
      <w:r>
        <w:rPr/>
        <w:footnoteRef/>
        <w:tab/>
        <w:t>wenn ihr dasteht und betet bzw. zum Beten steht Das Stehen war eine normale Gebetshaltung (Evans 2001, 192). Der Vers umschreibt also: »Immer wenn ihr beten wollt« (EÜ, NGÜ, MEN) »euch zum Gebet vorbereitet« oder einfach »wenn ihr betet« (GNB). und betet Ptz. conj., beigeordnet aufgelöst. Alternativ zum Beten Ptz. conj., als finale Präpositionalphrase aufgelöst.</w:t>
      </w:r>
    </w:p>
  </w:footnote>
  <w:footnote w:id="1947">
    <w:p>
      <w:pPr>
        <w:pStyle w:val="Funote"/>
        <w:rPr/>
      </w:pPr>
      <w:r>
        <w:rPr/>
        <w:footnoteRef/>
        <w:tab/>
        <w:t>Textkritik: In einigen der besten Zeugen fehlt V. 26.</w:t>
      </w:r>
    </w:p>
  </w:footnote>
  <w:footnote w:id="1948">
    <w:p>
      <w:pPr>
        <w:pStyle w:val="Funote"/>
        <w:rPr/>
      </w:pPr>
      <w:r>
        <w:rPr/>
        <w:footnoteRef/>
        <w:tab/>
        <w:t>Recht (Befugnis, Vollmacht, Autorität) Diese Frage richtet sich gegen Jesu Protest im Tempel. Die religiösen Führer hatten im Tempel die alleinige Verfügungsgewalt. Sie waren diejenigen, die hier das Sagen hatten, und niemand sonst – und Jesus hat sich eingemischt. Da Jesus ohne ihre Genehmigung gehandelt hatte, hätten sie mit jeder denkbaren Antwort rechtliche Schritte gegen ihn einleiten können. Sowohl das Eingeständnis, keine Befugnis zu haben, als auch der Anspruch, eine höhere Vollmacht zu haben als die Priester und Schriftgelehrten, hätten sie zu seinem Schaden benutzen können (Evans 2001, 200f.; vgl. France 2002, 454).</w:t>
      </w:r>
    </w:p>
  </w:footnote>
  <w:footnote w:id="1949">
    <w:p>
      <w:pPr>
        <w:pStyle w:val="Funote"/>
        <w:rPr/>
      </w:pPr>
      <w:r>
        <w:rPr/>
        <w:footnoteRef/>
        <w:tab/>
        <w:t>Eines möchte ich von euch wissen Oder »Ich werde euch nur eine Frage stellen« (vgl. ZÜR). Die zweite Übersetzung kann zwar das Futur direkt übertragen, betont jedoch eines nicht so direkt wie die vorgezogene Formulierung. LUT: »Ich will euch auch eine Sache fragen«, GNB: »Ich habe nur eine Frage an euch«</w:t>
      </w:r>
    </w:p>
  </w:footnote>
  <w:footnote w:id="1950">
    <w:p>
      <w:pPr>
        <w:pStyle w:val="Funote"/>
        <w:rPr/>
      </w:pPr>
      <w:r>
        <w:rPr/>
        <w:footnoteRef/>
        <w:tab/>
        <w:t>{und} Antwortet mir Oder »Wenn ihr mir antwortet...« Der Imperativ steht hier wie in einem semitischen Bedingungssatz für die Bedingung (Evans 2001, 204). GNB: »Die beantwortet mir, dann...«</w:t>
      </w:r>
    </w:p>
  </w:footnote>
  <w:footnote w:id="1951">
    <w:p>
      <w:pPr>
        <w:pStyle w:val="Funote"/>
        <w:rPr/>
      </w:pPr>
      <w:r>
        <w:rPr/>
        <w:footnoteRef/>
        <w:tab/>
        <w:t>{und sagten} Das pleonatische Partizip leitet die zitierte Rede ein, ist im Deutschen aber unnötig.</w:t>
      </w:r>
    </w:p>
  </w:footnote>
  <w:footnote w:id="1952">
    <w:p>
      <w:pPr>
        <w:pStyle w:val="Funote"/>
        <w:rPr/>
      </w:pPr>
      <w:r>
        <w:rPr/>
        <w:footnoteRef/>
        <w:tab/>
        <w:t>Sagen wir aber bzw. Sollen wir stattdessen sagen Beide Übersetzungen sind möglich, weil die Satzzeichen im griechischen Neuen Testament aus dem Sinn erschlossen werden müssen. Die erste folgt der Interpunktion von NA28 und geht davon aus, dass die Erwägung unvollständig abbricht. Der Konjunktiv verknüpft den Satz dann mit der Bedingung »Wenn wir sagen« aus V. 31, wo ebenfalls der Konjunktiv stand, und »wenn« ist aus V. 31 zu ergänzen (so ZÜR; NSS). Die zweite versteht den Konjunktiv als deliberativen Konjunktiv, die abgebrochene Überlegung endet in einer unbeantworteten Frage (so die meisten Übersetzungen). Als dritte theoretisch mögliche Übersetzung kommt auch eine zwischenzeitliche Entscheidung »Sagen wir doch ‚von Menschen‘« infrage (vgl. France 2002, 455). NGÜ formuliert den weiteren Gedankengang passend: »Doch ´das wagten sie nicht,` weil sie vor dem Volk Angst hatten«.</w:t>
      </w:r>
    </w:p>
  </w:footnote>
  <w:footnote w:id="1953">
    <w:p>
      <w:pPr>
        <w:pStyle w:val="Funote"/>
        <w:rPr/>
      </w:pPr>
      <w:r>
        <w:rPr/>
        <w:footnoteRef/>
        <w:tab/>
        <w:t>[Status: Zuverlässig]</w:t>
      </w:r>
    </w:p>
  </w:footnote>
  <w:footnote w:id="1954">
    <w:p>
      <w:pPr>
        <w:pStyle w:val="Funote"/>
        <w:rPr/>
      </w:pPr>
      <w:r>
        <w:rPr/>
        <w:footnoteRef/>
        <w:tab/>
        <w:t>In dem folgenden allegorischen Gleichnis (Verse 1-11) sind starke Parallelen zu einem ähnlichen Gleichnis in Jes 5,1-7 zu finden, die Jesus mit seiner Einleitung, die die Anlage des Weinbergs beschreibt (vgl. Jes 5,1-2), bewusst hervorruft. In dem alttestamentlichen Gleichnis erklärt Gott durch den Propheten, wie er mit einem sorgfältig angelegten und gepflegten, doch fruchtlosen Weinstock verfahren wird. Jes 5,7 identifiziert den Weinberg mit dem Haus Israel und die Pflanzen mit den Männern Judas. Er will den Weinberg komplett verwüsten, von Dornen überwachsen und keinen Regen mehr darauf fallen lassen. Auch in Jesu Gleichnis steht der Weinberg für Israel (wie Kennern von Jes 5,7 bekannt wäre), der Erbauer und Besitzer ist Gott (ebenfalls aus Jes 5 und dem Kontext (vgl. V. 9) abzuleiten). Die Winzer repräsentieren die religiösen Führer des Volkes (vgl. V. 12). Der geliebte Sohn muss Jesus sein, der mit dem Gleichnis die in 11,27 gestellte Frage nach seiner Autorität oder Bevollmächtigung beantwortet (Evans 2001, 230). Zudem wurde Jesus schon zweimal in Mk als „geliebter Sohn“ bezeichnet (1,11; 9,7)(France 2002, 458; vgl. die Fn in V. 6). Die abgewiesenen und getöteten Sklaven sind die von Israel verschmähten Propheten, die das Volk immer wieder erfolglos zur Umkehr aufriefen.</w:t>
      </w:r>
    </w:p>
  </w:footnote>
  <w:footnote w:id="1955">
    <w:p>
      <w:pPr>
        <w:pStyle w:val="Funote"/>
        <w:rPr/>
      </w:pPr>
      <w:r>
        <w:rPr/>
        <w:footnoteRef/>
        <w:tab/>
        <w:t>mit ihnen D.h. die Vertreter der jüdischen Führung aus dem vorigen Kapitel, die wegen der Tempelreinigung Streit mit Jesus gesucht hatten (vgl. V. 12) (vgl. France 2002, 458; Collins 2007, 544).</w:t>
      </w:r>
    </w:p>
  </w:footnote>
  <w:footnote w:id="1956">
    <w:p>
      <w:pPr>
        <w:pStyle w:val="Funote"/>
        <w:rPr/>
      </w:pPr>
      <w:r>
        <w:rPr/>
        <w:footnoteRef/>
        <w:tab/>
        <w:t>Mauer Alle Übersetzungen: »Zaun«. Doch bestand ein solcher Grenz- und Schutzwall eines Weinbergs aus Feldsteinen, die beim Anlegen des Weinbergs entfernt und zu einem Wall aufgeschüttet wurden. Im holzarmen Palästina wäre ein Zaun nach europäischem Verständnis undenkbar, und er hätte auch tierische oder menschliche Eindringlingen nicht so gut vom Weinberg fernhalten können wie ein Steinwall. Diese Mauern können bis zu 2m hoch und mit vertrockneten Dornen bewehrt sein, um Schakale und andere Tiere von den leckeren Trauben abzuschirmen (Dalman 1935, 316, 309, 334f.).</w:t>
      </w:r>
    </w:p>
  </w:footnote>
  <w:footnote w:id="1957">
    <w:p>
      <w:pPr>
        <w:pStyle w:val="Funote"/>
        <w:rPr/>
      </w:pPr>
      <w:r>
        <w:rPr/>
        <w:footnoteRef/>
        <w:tab/>
        <w:t>Auffangbecken (Keltertrog) [für die Weinpresse] In diese Grube floss der in der Kelter aus den Trauben getretene Traubensaft ab. Ihre Größe hing von den Dimensionen der Kelter ab. ELB und NGÜ sachlich korrekt »Keltertrog« bzw. »Grube zum Keltern des Weins« (Dalman nennt diesen Behälter »Kufe«, BA »Keltertrog«). Viele Übersetzungen schreiben vereinfachend, aber etwas ungenau »Kelter« (bezeichnet die gesamte Weingewinnungsanlage) oder wie GNB »Weinpresse«. Diese Auffanggrube galt als Hauptbestandteil der Kelter. Zu der Anlage gehörten aber auch ein abgeflachter, oft ebenfalls ausgegrabener Tretplatz und je nach Beschaffenheit verschiedene andere durch Graben angelegte Bereiche. Sie alle waren i.d.R. mit Holz, Ton oder Steinen eingefasst und häufig mit Pech abgedichtet. Vom Tretplatz liefen oft Rinnen zu mehreren Keltertrögen (Dalman 1935, 356f., 359-63).</w:t>
      </w:r>
    </w:p>
  </w:footnote>
  <w:footnote w:id="1958">
    <w:p>
      <w:pPr>
        <w:pStyle w:val="Funote"/>
        <w:rPr/>
      </w:pPr>
      <w:r>
        <w:rPr/>
        <w:footnoteRef/>
        <w:tab/>
        <w:t>Wachtturm und Schutzmauer waren nötig, um die reifenden Trauben vor Eindringlingen zu schützen. Der Turm konnte eine erhöhte Aussichtsplattform, ein einfaches Häuschen oder, recht häufig, ein gemauerter Steinturm sein, der dazu diente, den gesamten Weinberg zu überblicken (Dalman 1935, 333, 316-19). Es musste ständig ein Wächter da sein, der in Hsl 8,11 ein Fünftel des Ertrags bekommt. Der Wächter sollte natürlich Diebstähle verhindern, aber in erster Linie Vögel und andere Tiere von den Trauben fernhalten. Zu den Schädlingen gehörten vor allem Schakale, Füchse, Vögel und Insekten (ebd. 297). Als Waffen dienten ihm dabei Stab, Bogen, Schleuder und wohl auch Falle und Netz (ebd. 332).</w:t>
      </w:r>
    </w:p>
  </w:footnote>
  <w:footnote w:id="1959">
    <w:p>
      <w:pPr>
        <w:pStyle w:val="Funote"/>
        <w:rPr/>
      </w:pPr>
      <w:r>
        <w:rPr/>
        <w:footnoteRef/>
        <w:tab/>
        <w:t>zur [vereinbarten] Zeit Temporaler Dativ. Gemeint ist die in der Pachtvereinbarung abgesprochene Zeit (Evans 2001, 233). Bei einem neuen Weinberg wären bis zur ersten Ernte wenigstens 4 Jahre vergangen (France 2002, 459).</w:t>
      </w:r>
    </w:p>
  </w:footnote>
  <w:footnote w:id="1960">
    <w:p>
      <w:pPr>
        <w:pStyle w:val="Funote"/>
        <w:rPr/>
      </w:pPr>
      <w:r>
        <w:rPr/>
        <w:footnoteRef/>
        <w:tab/>
        <w:t>[seinen Anteil] an den Erträgen (Früchten) Der partitive Genitiv macht im Deutschen die Ergänzung von [seinen Anteil] nötig. Der Ertrag bezeichnet wohl eher einen Geldwert aus dem Erlös der Ernte als einen tatsächlichen Anteil der Ernte (Evans 2001, 233).</w:t>
      </w:r>
    </w:p>
  </w:footnote>
  <w:footnote w:id="1961">
    <w:p>
      <w:pPr>
        <w:pStyle w:val="Funote"/>
        <w:rPr/>
      </w:pPr>
      <w:r>
        <w:rPr/>
        <w:footnoteRef/>
        <w:tab/>
        <w:t>schlugen sie auf den Kopf (schändeten sie am Kopf) Die genaue Bedeutung dieses Verbs, das sich direkt von dem Wort für »Kopf« ableitet (wie dt. »köpfen«), ist unbekannt. Es wird häufig als eine Anspielung auf Johannes dem Täufer gesehen, der zu den Propheten zählte und enthauptet worden war. Da der Sklave jedoch offensichtlich überlebt, heißt das Wort vermutlich entweder »auf den Kopf schlagen« (BA) bzw. »am Kopf verletzen« oder »am Kopf entehren«, wie es zwei von David gesandten Sklaven in 2Sam 10,2b-5 erging. Den beiden wurden die Bärte abrasiert. Vielleicht entblößen die Weingärtner auch das Haupt des Boten, indem sie seinen Turban wegnehmen (Evans 2001, 233f.). Jede Art von Schändung oder Gewalt gegen den Kopf wäre wohl höchst entehrend gewesen, wie auch aus dem zweiten Verb hervorgeht.</w:t>
      </w:r>
    </w:p>
  </w:footnote>
  <w:footnote w:id="1962">
    <w:p>
      <w:pPr>
        <w:pStyle w:val="Funote"/>
        <w:rPr/>
      </w:pPr>
      <w:r>
        <w:rPr/>
        <w:footnoteRef/>
        <w:tab/>
        <w:t>und viele andere D.h. wohl »und er schickte noch viele andere«. NGÜ (vgl. EÜ, GNB) formuliert etwas freier, aber elegant und treffend »So ging es noch vielen anderen«. Auf der übertragenen Ebene sind damit die von Israel missachteten Propheten des Alten Testaments gemeint (vgl. die Fn zu V. 1).</w:t>
      </w:r>
    </w:p>
  </w:footnote>
  <w:footnote w:id="1963">
    <w:p>
      <w:pPr>
        <w:pStyle w:val="Funote"/>
        <w:rPr/>
      </w:pPr>
      <w:r>
        <w:rPr/>
        <w:footnoteRef/>
        <w:tab/>
        <w:t>verprügelten sie ... brachten sie um Modales Ptz. conj. (2x), hier als Indikative aufgelöst.</w:t>
      </w:r>
    </w:p>
  </w:footnote>
  <w:footnote w:id="1964">
    <w:p>
      <w:pPr>
        <w:pStyle w:val="Funote"/>
        <w:rPr/>
      </w:pPr>
      <w:r>
        <w:rPr/>
        <w:footnoteRef/>
        <w:tab/>
        <w:t>noch einen: [seinen] geliebten Sohn bzw. noch [seinen] einzigen geliebten Sohn Der geliebte Sohn ist Jesus, der in Mk schon zweimal als »geliebter Sohn« bezeichnet worden ist (1,11; 9,7)(France 2002, 458). Das Word geliebt lässt sprachlich auch Abrahams Bereitschaft aus Gen 22,2 LXX anklingen, seinen geliebten Sohn Isaak Gottes Willen zu opfern. In der einflussreichen griechischen Übersetzung des AT übersetzt das gr. Wort »geliebt« interessanterweise häufig das hebr. Wort für »einzig«, sodass man hier durchaus die Konnotation eines »einzigen geliebten Sohnes« sehen kann, die durch das schon vorhandene einen/einzigen noch verstärkt wird (vgl. Evans 2001, 234f.). Daher übersetzt NET treffend: »He had one left, his one dear son.«</w:t>
      </w:r>
    </w:p>
  </w:footnote>
  <w:footnote w:id="1965">
    <w:p>
      <w:pPr>
        <w:pStyle w:val="Funote"/>
        <w:rPr/>
      </w:pPr>
      <w:r>
        <w:rPr/>
        <w:footnoteRef/>
        <w:tab/>
        <w:t>weil er glaubte (dachte, sich sagte) Kausales (oder modales) Ptz. conj., als Nebensatz aufgelöst.</w:t>
      </w:r>
    </w:p>
  </w:footnote>
  <w:footnote w:id="1966">
    <w:p>
      <w:pPr>
        <w:pStyle w:val="Funote"/>
        <w:rPr/>
      </w:pPr>
      <w:r>
        <w:rPr/>
        <w:footnoteRef/>
        <w:tab/>
        <w:t>uns gehören W. »unser sein«.</w:t>
      </w:r>
    </w:p>
  </w:footnote>
  <w:footnote w:id="1967">
    <w:p>
      <w:pPr>
        <w:pStyle w:val="Funote"/>
        <w:rPr/>
      </w:pPr>
      <w:r>
        <w:rPr/>
        <w:footnoteRef/>
        <w:tab/>
        <w:t>sie packten ihn und Modales Ptz. conj., beigeordnet aufgelöst.</w:t>
      </w:r>
    </w:p>
  </w:footnote>
  <w:footnote w:id="1968">
    <w:p>
      <w:pPr>
        <w:pStyle w:val="Funote"/>
        <w:rPr/>
      </w:pPr>
      <w:r>
        <w:rPr/>
        <w:footnoteRef/>
        <w:tab/>
        <w:t>diese Schriftstelle W. »diese Schrift«, d.h. »den folgenden Abschnitt der Schrift«. Viele Übersetzungen geben das Wort nach LUT mit »Schriftwort« wieder, GNB: »die Stelle in den Heiligen Schriften, wo es heißt«</w:t>
      </w:r>
    </w:p>
  </w:footnote>
  <w:footnote w:id="1969">
    <w:p>
      <w:pPr>
        <w:pStyle w:val="Funote"/>
        <w:rPr/>
      </w:pPr>
      <w:r>
        <w:rPr/>
        <w:footnoteRef/>
        <w:tab/>
        <w:t>[Der] Stein Obwohl im Griechischen kein Artikel steht, ist das Substantiv bestimmt. Das ist auf eine Eigenart der (hier auf Griechisch zitierten) hebräischen Poesie zurückzuführen (NSS). Das Zitat in Vv. 10-11 stammt aus der griechischen Übersetzung von Ps 118,22f.</w:t>
      </w:r>
    </w:p>
  </w:footnote>
  <w:footnote w:id="1970">
    <w:p>
      <w:pPr>
        <w:pStyle w:val="Funote"/>
        <w:rPr/>
      </w:pPr>
      <w:r>
        <w:rPr/>
        <w:footnoteRef/>
        <w:tab/>
        <w:t>[Der] Stein, … , der ist zum Eckstein geworden Die Konstruktion legt Gewicht auf den angesprochenen Gegensatz. Man könnte auch formulieren: »Gerade [der] Stein … ist geworden«. W. »[der] Stein … dieser ist geworden.«</w:t>
      </w:r>
    </w:p>
  </w:footnote>
  <w:footnote w:id="1971">
    <w:p>
      <w:pPr>
        <w:pStyle w:val="Funote"/>
        <w:rPr/>
      </w:pPr>
      <w:r>
        <w:rPr/>
        <w:footnoteRef/>
        <w:tab/>
        <w:t xml:space="preserve">Schlussstein, Kopfstein oder Eckstein, Gr. </w:t>
      </w:r>
      <w:r>
        <w:rPr>
          <w:lang w:val="el-GR"/>
        </w:rPr>
        <w:t>κεφαλὴ γωνίας</w:t>
      </w:r>
      <w:r>
        <w:rPr/>
        <w:t>, w. »Haupt [der] Ecke«. Traditionell hat man das Wort als Eckstein übersetzt, auch aufgrund von 1Petr 2,6-8, wo dieser »Kopfstein« Menschen in übertragener Hinsicht zu Fall bringt. Dieser Deutung, genauer, als »Grundstein«, folgt heute noch Collins 2007, 548. Allerdings wäre das eine ungewöhnliche Verwendung des hebräischen und griechischen Wortes »Haupt/Kopf« – man sollte meinen, ein Kopf wäre (auch im übertragenen Sinn) tendenziell oben am fraglichen Objekt zu finden. Die Bezeichnung »Haupt [der] Ecke« ließe eher auf einen Schlussstein schließen, der eine Ecke, aber auch einen Bogen, Dachgiebel oder eine Säule abschließt (Evans 2001, 238). Ein solcher Schlussstein könnte den Bau eines Gebäudes vollenden und durch Form und Verzierungen besonders ins Auge fallen (France 2002, 463). Das Argument aus 1Petr 2,6-8 für die Deutung als Eckstein lässt sich mit der Beobachtung entkräften, dass der Verfasser vermutlich mehrere Metaphern vermischt, wie er das schon in V. 5 tut (France 2002, 463 Fn 24). Die Übersetzung Kopfstein gibt zwar die zugrunde liegende Metapher wieder, könnte im Deutschen wegen der Assoziation mit »Kopfsteinpflaster« zu Missverständnissen führen. Daher ist Schlussstein besser geeignet. Mit dem abgelehnten Stein, der zum Schlussstein wird, bezieht Jesus sich auf sich selbst – gerade vor dem Hintergrund des gewissermaßen unvollendet, ja unbeachtet gebliebenen Einritts in Jerusalem (Mk 11,1-11) und der fehlenden Anerkennung durch die religiösen Führer der Juden. Diese sind mit den Bauleuten gemeint. In der zeitgenössischen jüdischen Auslegung hatte man Ps 118,22f. noch auf den – zunächst als Königskandidaten ja »übersehenen« – König David bezogen (Evans 2001, 238). Mit dem Zitat gibt Jesus gleichzeitig auch zu verstehen, dass er diese Ereignisse als Erfüllung seiner Vorhersage aus Mk 8,31 versteht. Dort hatte Jesus zum ersten Mal vorausgesagt, von den religiösen Führern abgelehnt zu werden.</w:t>
      </w:r>
    </w:p>
  </w:footnote>
  <w:footnote w:id="1972">
    <w:p>
      <w:pPr>
        <w:pStyle w:val="Funote"/>
        <w:rPr/>
      </w:pPr>
      <w:r>
        <w:rPr/>
        <w:footnoteRef/>
        <w:tab/>
        <w:t xml:space="preserve">Das kommt vom Herrn Oder etwas freier, aber schöner: »Das geht auf das Wirken des Herrn zurück«. W. etwa »Dies ist vom/durch den Herrn entstanden/gekommen«. GNB: »Der Herr hat dieses Wunder vollbracht«, NGÜ schlicht »Das hat der Herr getan«. Das (Nom. Sg. fem.) könnte sich innerhalb des griechischen Satzes auch auf »Haupt/Kopf« (V. 10) beziehen. Mehrere Übersetzungen weichen deshalb etwas von unserer Wiedergabe ab: »vom Herrn her ist er dies geworden, und er ist wunderbar in unseren Augen« (ELB, vgl. ZÜR, MEN). Wahrscheinlicher ist, dass das ungewöhnliche feminine Demonstrativpronomen einfach eine wörtliche Übersetzung des hebr. </w:t>
      </w:r>
      <w:r>
        <w:rPr>
          <w:rtl w:val="true"/>
          <w:lang w:bidi="he-IL"/>
        </w:rPr>
        <w:t>זֹּאת</w:t>
      </w:r>
      <w:r>
        <w:rPr/>
        <w:t xml:space="preserve"> </w:t>
      </w:r>
      <w:r>
        <w:rPr/>
        <w:t>»dies« darstellt (France 2002, 462 Fn 18). Das Zitat in Vv. 10-11 stammt aus der griechischen Übersetzung von Ps 118,22f.</w:t>
      </w:r>
    </w:p>
  </w:footnote>
  <w:footnote w:id="1973">
    <w:p>
      <w:pPr>
        <w:pStyle w:val="Funote"/>
        <w:rPr/>
      </w:pPr>
      <w:r>
        <w:rPr/>
        <w:footnoteRef/>
        <w:tab/>
        <w:t xml:space="preserve">Da wollten sie ihn gerne bzw. suchten sie [nach einer Möglichkeit], auch als inchoatives Imperfekt vorstellbar: „begannen [nach einer Möglichkeit zu suchen], ihn zu ergreifen“ (vgl. Collins 2007, 549). Vgl. dazu die parallele Formulierung Mk 11,18 und Fußnote, sowie 14,1 und 11. Anstatt mit „[nach einer Möglichkeit] suchen“ haben wir Gr. </w:t>
      </w:r>
      <w:r>
        <w:rPr>
          <w:lang w:val="el-GR"/>
        </w:rPr>
        <w:t>ζητέω</w:t>
      </w:r>
      <w:r>
        <w:rPr/>
        <w:t xml:space="preserve"> etwas passender i.S.v. „(gerne) wollen, wünschen“ übersetzt. EÜ (vgl. GNB, NGÜ, MEN, ZÜR) formuliert elegant: „Daraufhin hätten sie Jesus gern verhaften lassen“.</w:t>
      </w:r>
    </w:p>
  </w:footnote>
  <w:footnote w:id="1974">
    <w:p>
      <w:pPr>
        <w:pStyle w:val="Funote"/>
        <w:rPr/>
      </w:pPr>
      <w:r>
        <w:rPr/>
        <w:footnoteRef/>
        <w:tab/>
        <w:t>sie wussten Diese Begründung fällt wegen der prägnanten Ausdrucksweise sehr schwammig aus. Wir erfahren nicht, ob mit sie die religiösen Führer oder das Publikum gemeint sind, oder warum die Führer gerade deshalb Angst vor dem Volk hatten, weil sie (oder das Volk) die wahre Bedeutung von Jesu Geschichte verstanden hatten. Das wahrscheinlichere Subjekt sind die Priester und Schriftgelehrten, von denen ja unmittelbar zuvor die Rede war, doch werden die meisten Zuschauer verstanden haben, was gemeint war (France 2002, 464). Nach France wäre die folgende sinngemäße Formulierung möglich: „Da suchten sie [nach einer Möglichkeit] ihn zu ergreifen, (konnten es aber noch nicht, weil) sie die Menschenmenge fürchteten, denn sie wussten (und waren sich bewusst, dass auch das Volk wusste), dass er das Gleichnis zu ihnen gesagt hatte (sodass die Menge sich womöglich auf seine Seite geschlagen hätte).“</w:t>
      </w:r>
    </w:p>
  </w:footnote>
  <w:footnote w:id="1975">
    <w:p>
      <w:pPr>
        <w:pStyle w:val="Funote"/>
        <w:rPr/>
      </w:pPr>
      <w:r>
        <w:rPr/>
        <w:footnoteRef/>
        <w:tab/>
        <w:t>gegen sie gesprochen hatte Etwas freier formuliert, würde man in heutigem Deutsch sagen: „dass sie mit dem Gleichnis gemeint waren“ (vgl. NGÜ, EÜ). MEN: „gegen sie gerichtet hatte“, GNB: „dass das Gleichnis auf sie gemünzt war “.</w:t>
      </w:r>
    </w:p>
  </w:footnote>
  <w:footnote w:id="1976">
    <w:p>
      <w:pPr>
        <w:pStyle w:val="Funote"/>
        <w:rPr/>
      </w:pPr>
      <w:r>
        <w:rPr/>
        <w:footnoteRef/>
        <w:tab/>
        <w:t>[Status: Zuverlässig]</w:t>
      </w:r>
    </w:p>
  </w:footnote>
  <w:footnote w:id="1977">
    <w:p>
      <w:pPr>
        <w:pStyle w:val="Funote"/>
        <w:rPr/>
      </w:pPr>
      <w:r>
        <w:rPr/>
        <w:footnoteRef/>
        <w:tab/>
        <w:t xml:space="preserve">und - </w:t>
      </w:r>
      <w:r>
        <w:rPr>
          <w:lang w:val="el-GR"/>
        </w:rPr>
        <w:t>καὶ</w:t>
      </w:r>
      <w:r>
        <w:rPr/>
        <w:t xml:space="preserve"> und hat hier die Funktion, Kap. 13 mit der vorangehenden Szene zu verbinden; vgl. Mateos 1987, S. 80. Im Deutschen setzte man in solchen Fällen keine Konjunktion, daher ist sie in der LF besser auszusparen.</w:t>
      </w:r>
    </w:p>
  </w:footnote>
  <w:footnote w:id="1978">
    <w:p>
      <w:pPr>
        <w:pStyle w:val="Funote"/>
        <w:rPr/>
      </w:pPr>
      <w:r>
        <w:rPr/>
        <w:footnoteRef/>
        <w:tab/>
        <w:t xml:space="preserve">als er hinausging - Da das Präsens </w:t>
      </w:r>
      <w:r>
        <w:rPr>
          <w:lang w:val="el-GR"/>
        </w:rPr>
        <w:t>λέγει</w:t>
      </w:r>
      <w:r>
        <w:rPr/>
        <w:t xml:space="preserve"> er sagt(e), zu dem der temporale Genitivus absolutus </w:t>
      </w:r>
      <w:r>
        <w:rPr>
          <w:lang w:val="el-GR"/>
        </w:rPr>
        <w:t>ἐκπορευομένου</w:t>
      </w:r>
      <w:r>
        <w:rPr/>
        <w:t xml:space="preserve"> als er hinausgeht/hinausging in gleichzeitiger Relation steht, historisches Präsens ist (s. nächste Fußnote), ist die präsentische Wiedergabe überwörtlich und sollte vermieden werden.</w:t>
      </w:r>
    </w:p>
  </w:footnote>
  <w:footnote w:id="1979">
    <w:p>
      <w:pPr>
        <w:pStyle w:val="Funote"/>
        <w:rPr/>
      </w:pPr>
      <w:r>
        <w:rPr/>
        <w:footnoteRef/>
        <w:tab/>
        <w:t>sagte - Historisches Präsens, vgl. Kmiecik 1997, S. 36; Mateos 1987, S. 81</w:t>
      </w:r>
    </w:p>
  </w:footnote>
  <w:footnote w:id="1980">
    <w:p>
      <w:pPr>
        <w:pStyle w:val="Funote"/>
        <w:rPr/>
      </w:pPr>
      <w:r>
        <w:rPr/>
        <w:footnoteRef/>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S. 150. Das ist kein Semitismus; diese Verwendung findet sich z.B. auch bei Aristoteles; vgl. Pape, S. 738.</w:t>
      </w:r>
    </w:p>
  </w:footnote>
  <w:footnote w:id="1981">
    <w:p>
      <w:pPr>
        <w:pStyle w:val="Funote"/>
        <w:rPr/>
      </w:pPr>
      <w:r>
        <w:rPr/>
        <w:footnoteRef/>
        <w:tab/>
        <w:t xml:space="preserve">Sieh nur - Der Ausruf insgesamt und das </w:t>
      </w:r>
      <w:r>
        <w:rPr>
          <w:lang w:val="el-GR"/>
        </w:rPr>
        <w:t>ἴδε</w:t>
      </w:r>
      <w:r>
        <w:rPr/>
        <w:t xml:space="preserve"> sieh nur speziell sind an dieser Stelle merkwürdig, denn sie kommen aus dem Mund eines Jüngers, der schon mindestens drei Tagen in Jerusalem weilt und nicht etwa gerade zum ersten Mal den Tempel sieht, sondern einen Tempelbesuch beendet (Lohmeyer 1967, S. 268). Da </w:t>
      </w:r>
      <w:r>
        <w:rPr>
          <w:lang w:val="el-GR"/>
        </w:rPr>
        <w:t>ἴδε</w:t>
      </w:r>
      <w:r>
        <w:rPr/>
        <w:t xml:space="preserve"> als Redeeinleitung ein stehender Begriff zum Ausdruck von Verwunderung ist (ad loc z.B. Bailey 2009, S. 346; ähnlich Pesch 1977, S. 270), sollte man ihn hier besser als bloße Fokuspartikel interpretieren und unübersetzt lassen oder zu einem deutschen Äquivalent greifen (Bailey z.B. schlägt vor: »such (wonderful) stones!« (S. 357)). So ja auch in vielen Üss. in V. 23.</w:t>
      </w:r>
    </w:p>
  </w:footnote>
  <w:footnote w:id="1982">
    <w:p>
      <w:pPr>
        <w:pStyle w:val="Funote"/>
        <w:rPr/>
      </w:pPr>
      <w:r>
        <w:rPr/>
        <w:footnoteRef/>
        <w:tab/>
        <w:t>Der Tempel war Teil einer größeren Tempelanlage (für ein Modell vgl. z.B. Reidinger 2004, S. 13; daher Plural.</w:t>
      </w:r>
    </w:p>
  </w:footnote>
  <w:footnote w:id="1983">
    <w:p>
      <w:pPr>
        <w:pStyle w:val="Funote"/>
        <w:rPr/>
      </w:pPr>
      <w:r>
        <w:rPr>
          <w:lang w:val="el-GR"/>
        </w:rPr>
        <w:footnoteRef/>
        <w:tab/>
        <w:t>βλέπω</w:t>
      </w:r>
      <w:r>
        <w:rPr/>
        <w:t xml:space="preserve"> sehen ist in Mk 13 ein Leitwort und wird verwendet in Vv. 2.5.9.23.33. V. 2 wird in der Exegese merkwürdigerweise oft separat von den anderen vier Verwendungen abgehandelt (für eine Übersicht und zu den obigen Alternativübersetzungen vgl. gut Cranfield 1959, S. 391f), aber besser ist dies: Gleich, wie genau Jesu du siehst diese großen Gebäude exakt zu verstehen ist; zusammen mit dem folgenden Kein Stein [des Tempels] wird hier auf dem anderen bleiben steht es auf jeden Fall dem begeisterten Ausruf des Jüngers entgegen. In Vv. 5.9 lenkt Jesus dann die Aufmerksamkeit der Jünger auf andere Dinge als den Tempel: »Seht darauf, dass euch niemand irreführt« resp. »Seht auf euch selbst [, denn man wird euch anfeinden]«; in V. 33 wird es außerdem in direktem Zusammenhang mit </w:t>
      </w:r>
      <w:r>
        <w:rPr>
          <w:lang w:val="el-GR"/>
        </w:rPr>
        <w:t>ἀγρυπνέω</w:t>
      </w:r>
      <w:r>
        <w:rPr/>
        <w:t xml:space="preserve"> wachsam sein verwendet. Folgt man der Logik des Textes, sollte man daher besser deuten: V. 2: Achte nicht auf den Tempel, denn kein Stein wird hier auf dem anderen bleiben (oder, näher am Text: Was achtest du auf diese großen Gebäude?); V. 5: Habt Acht, dass euch niemand irreführt!, V. 9: Nehmt euch in Acht!; V. 23: Seid achtsam!; V. 33: Seid achtsam! Seid wachsam!.</w:t>
      </w:r>
    </w:p>
  </w:footnote>
  <w:footnote w:id="1984">
    <w:p>
      <w:pPr>
        <w:pStyle w:val="Funote"/>
        <w:rPr/>
      </w:pPr>
      <w:r>
        <w:rPr>
          <w:lang w:val="el-GR"/>
        </w:rPr>
        <w:footnoteRef/>
        <w:tab/>
        <w:t>οὐ μὴ</w:t>
      </w:r>
      <w:r>
        <w:rPr/>
        <w:t xml:space="preserve"> (sicher) nicht ist eine besonders starke Verneinung, sie dient hier aber nur der Intensivierung, um Jesu Äußerung sprachlich zu markieren als (sichere) Prophezeiung. Das Deutsche verwendet hierfür andere Konstruktionen.</w:t>
      </w:r>
    </w:p>
  </w:footnote>
  <w:footnote w:id="1985">
    <w:p>
      <w:pPr>
        <w:pStyle w:val="Funote"/>
        <w:rPr/>
      </w:pPr>
      <w:r>
        <w:rPr/>
        <w:footnoteRef/>
        <w:tab/>
        <w:t xml:space="preserve">der nicht zerstört (herausgebrochen) werden wird - Dieser Relativsatz wirkt sprachlich etwas merkwürdig (Pesch 1977, S. 271: »überschießend«, »holprig«); seine Deutung hängt ab von der Übersetzung von </w:t>
      </w:r>
      <w:r>
        <w:rPr>
          <w:lang w:val="el-GR"/>
        </w:rPr>
        <w:t>καταλύω</w:t>
      </w:r>
      <w:r>
        <w:rPr/>
        <w:t xml:space="preserve"> lösen, herauslösen, zerstören: (i) Von einer großen Mehrheit wird </w:t>
      </w:r>
      <w:r>
        <w:rPr>
          <w:lang w:val="el-GR"/>
        </w:rPr>
        <w:t>καταλύω</w:t>
      </w:r>
      <w:r>
        <w:rPr/>
        <w:t xml:space="preserve"> gedeutet und übersetzt als »zerstören«. In diesem Fall wäre die Konstruktion in etwa vergleichbar mit einer deutschen Konstruktion à la »Er setzt Stein auf Stein, der groß ist« - normalerweise würde man nicht erwarten, dass »Stein« auch noch durch einen Relativsatz erweitert wird. Der Sinn wäre trotzdem klar: Die Aussage, dass kein Stein auf dem anderen gelassen werden würde, wird zusätzlich noch durch die Aussage gesteigert, dass jeder Stein zerstört werden würde. In der LF sollte man dann wohl besser mit zwei Sätzen arbeiten, etwa: »Kein Stein wird hier auf dem anderen bleiben: jeder noch so kleine Stein wird zerstört werden.« (ii) EWNT II, S. 651 schlägt aber ad loc. vor: »herausbrechen«. In diesem Fall machte der Satz grammatisch mehr Sinn (- ist aber auch dann grammatisch immer noch etwas ungewöhnlich -), denn dann würden sich Hauptsatz und Relativsatz auf den selben Sachverhalt beziehen: »Hier wird keinesfalls gelassen werden Stein auf Stein, der nicht herausgebrochen werden wird«. Es läge dann ein Fall von redundantem Relativsatz vor - eine Konstruktion, die man sonst eher aus dem klassischen Griechisch als der Koine kennt (Kleist 1937, S. 143) und die typisch ist für den markinischen Stil (s. allein in diesem Kapitel noch Vv. 19.20) - der ebenso wie wie </w:t>
      </w:r>
      <w:r>
        <w:rPr>
          <w:lang w:val="el-GR"/>
        </w:rPr>
        <w:t>οὐ μὴ</w:t>
      </w:r>
      <w:r>
        <w:rPr/>
        <w:t xml:space="preserve"> (s.o.) nur der Intensivierung der Aussage dient, also einfach »Kein einziger Stein wird hier auf dem anderen bleiben!«. Ich persönlich (S.W.) würde Möglichkeit (ii) den Vorzug geben, aber da sie meines Wissens noch nicht vorgeschlagen wurde, wird man sich in der LF doch besser für Möglichkeit (i) entscheiden müssen.</w:t>
      </w:r>
    </w:p>
  </w:footnote>
  <w:footnote w:id="1986">
    <w:p>
      <w:pPr>
        <w:pStyle w:val="Funote"/>
        <w:rPr/>
      </w:pPr>
      <w:r>
        <w:rPr/>
        <w:footnoteRef/>
        <w:tab/>
        <w:t xml:space="preserve">als er auf dem Ölberg saß vs. Als er sich auf den Ölberg setzte - </w:t>
      </w:r>
      <w:r>
        <w:rPr>
          <w:lang w:val="el-GR"/>
        </w:rPr>
        <w:t>εἰς</w:t>
      </w:r>
      <w:r>
        <w:rPr/>
        <w:t xml:space="preserve"> wird hier verwendet wie </w:t>
      </w:r>
      <w:r>
        <w:rPr>
          <w:lang w:val="el-GR"/>
        </w:rPr>
        <w:t>ἔν</w:t>
      </w:r>
      <w:r>
        <w:rPr/>
        <w:t>; daher ist es nicht direktional, sondern lokativisch zu übersetzen. Auch dies ist typisch für den markinischen Stil (vgl. ad loc. Turner 1924b, S. 19), aber kein „markinischer Semitismus“, da es sich auch sonst häufiger in der Koine findet (Kleist 1937, S. 225).</w:t>
      </w:r>
    </w:p>
  </w:footnote>
  <w:footnote w:id="1987">
    <w:p>
      <w:pPr>
        <w:pStyle w:val="Funote"/>
        <w:rPr/>
      </w:pPr>
      <w:r>
        <w:rPr/>
        <w:footnoteRef/>
        <w:tab/>
        <w:t xml:space="preserve">allein übersetzt </w:t>
      </w:r>
      <w:r>
        <w:rPr>
          <w:lang w:val="el-GR"/>
        </w:rPr>
        <w:t>κατ’ ἰδίαν</w:t>
      </w:r>
      <w:r>
        <w:rPr/>
        <w:t>. Dieser Ausdruck versprachlicht hier das Motiv der Privatoffenbarung / Sonderoffenbarung Jesu an seine Jünger (Witherington 2001, S. 439); in der LF sollte man zu etwas greifen wie „als sie allein/für sich waren“.</w:t>
      </w:r>
    </w:p>
  </w:footnote>
  <w:footnote w:id="1988">
    <w:p>
      <w:pPr>
        <w:pStyle w:val="Funote"/>
        <w:rPr/>
      </w:pPr>
      <w:r>
        <w:rPr/>
        <w:footnoteRef/>
        <w:tab/>
        <w:t xml:space="preserve">Die Redeeinleitung </w:t>
      </w:r>
      <w:r>
        <w:rPr>
          <w:lang w:val="el-GR"/>
        </w:rPr>
        <w:t>Εἰπὸν ἡμῖν</w:t>
      </w:r>
      <w:r>
        <w:rPr/>
        <w:t xml:space="preserve"> sage uns dient im NT häufiger nur als Bitte um eine Antwort (z.B. Mt 22,17; Lk 20,2; 22,67 u.ö.); im Deutschen entspricht dem funktional eher eine uneingeleitete Frage.</w:t>
      </w:r>
    </w:p>
  </w:footnote>
  <w:footnote w:id="1989">
    <w:p>
      <w:pPr>
        <w:pStyle w:val="Funote"/>
        <w:rPr/>
      </w:pPr>
      <w:r>
        <w:rPr/>
        <w:footnoteRef/>
        <w:tab/>
        <w:t xml:space="preserve">Die Referenz der Demonstrativpronomen </w:t>
      </w:r>
      <w:r>
        <w:rPr>
          <w:lang w:val="el-GR"/>
        </w:rPr>
        <w:t>ταῦτα</w:t>
      </w:r>
      <w:r>
        <w:rPr/>
        <w:t xml:space="preserve"> dies und </w:t>
      </w:r>
      <w:r>
        <w:rPr>
          <w:lang w:val="el-GR"/>
        </w:rPr>
        <w:t>ταῦτα πάντα</w:t>
      </w:r>
      <w:r>
        <w:rPr/>
        <w:t xml:space="preserve"> all dies sind in der Exegese umstritten; vgl. dazu den Kommentar</w:t>
      </w:r>
    </w:p>
  </w:footnote>
  <w:footnote w:id="1990">
    <w:p>
      <w:pPr>
        <w:pStyle w:val="Funote"/>
        <w:rPr/>
      </w:pPr>
      <w:r>
        <w:rPr>
          <w:lang w:val="el-GR"/>
        </w:rPr>
        <w:footnoteRef/>
        <w:tab/>
        <w:t>μέλλῃ</w:t>
      </w:r>
      <w:r>
        <w:rPr/>
        <w:t xml:space="preserve"> bedeutet sowohl »im Begriff sein« (als Ausdruck für die nahe Zukunft) als auch »vorherbestimmt sein« (EWNT II, S. 994: »Schließlich kann </w:t>
      </w:r>
      <w:r>
        <w:rPr>
          <w:lang w:val="el-GR"/>
        </w:rPr>
        <w:t>μ</w:t>
      </w:r>
      <w:r>
        <w:rPr/>
        <w:t>. die im göttlichen Ratschluß begründete Notwendigkeit eines Geschehens und damit dessen sicheres Eintreten ausdrücken.«). Die Übersetzungen variieren daher; z.B. Jantzen: »wann das alles im Begriff ist, vollendet zu werden« vs. SLT: »wann dies alles vollendet werden soll.« Weil »dies alles« vermutlich auf eschatologische Geschehnisse verweist (s. den Kommentar), ist hier die zweite Bedeutung wahrscheinlicher.</w:t>
      </w:r>
    </w:p>
  </w:footnote>
  <w:footnote w:id="1991">
    <w:p>
      <w:pPr>
        <w:pStyle w:val="Funote"/>
        <w:rPr/>
      </w:pPr>
      <w:r>
        <w:rPr>
          <w:lang w:val="el-GR"/>
        </w:rPr>
        <w:footnoteRef/>
        <w:tab/>
        <w:t>συντελέω</w:t>
      </w:r>
      <w:r>
        <w:rPr/>
        <w:t xml:space="preserve"> vollenden wird meist apokalyptisch gedeutet; s. z.B. EWNT III, S. 742. Matthäus macht dies explizit: Mt 24,3 </w:t>
      </w:r>
      <w:r>
        <w:rPr>
          <w:lang w:val="el-GR"/>
        </w:rPr>
        <w:t>τί τὸ σημεῖον τῆς σῆς παρουσίας καὶ συντελείας τοῦ αἰῶνος</w:t>
      </w:r>
      <w:r>
        <w:rPr/>
        <w:t xml:space="preserve"> Was [wird sein] das Zeichen für deine Wiederkunft (</w:t>
      </w:r>
      <w:r>
        <w:rPr>
          <w:lang w:val="el-GR"/>
        </w:rPr>
        <w:t>παρουσία</w:t>
      </w:r>
      <w:r>
        <w:rPr/>
        <w:t>, =Parusie) und für das Ende (</w:t>
      </w:r>
      <w:r>
        <w:rPr>
          <w:lang w:val="el-GR"/>
        </w:rPr>
        <w:t>συντελεία</w:t>
      </w:r>
      <w:r>
        <w:rPr/>
        <w:t xml:space="preserve">) der Welt{zeit}?. Aus stilistischen Gründen sollte es dennoch nicht mit »enden« oder »vollenden« übersetzt werden. Gleich, worauf man »dies alles« beziehen muss: Weder von der »Zerstörung des Tempels« noch vom »Ende der Welt« (so die beiden geläufigsten Interpretationen des »dies alles«) noch vom »Auftreten des Antichristen« (s. im Kommentar) würde man im Deutschen sagen, sie würden »enden« oder »sich vollenden«, sondern: sie werden »geschehen« - und auch dies gehört zur Grundbedeutung von </w:t>
      </w:r>
      <w:r>
        <w:rPr>
          <w:lang w:val="el-GR"/>
        </w:rPr>
        <w:t>συντελέω</w:t>
      </w:r>
      <w:r>
        <w:rPr/>
        <w:t>; vgl. z.B. Thayer</w:t>
      </w:r>
    </w:p>
  </w:footnote>
  <w:footnote w:id="1992">
    <w:p>
      <w:pPr>
        <w:pStyle w:val="Funote"/>
        <w:rPr/>
      </w:pPr>
      <w:r>
        <w:rPr/>
        <w:footnoteRef/>
        <w:tab/>
        <w:t xml:space="preserve">Höchstwahrscheinlich pleonastisches </w:t>
      </w:r>
      <w:r>
        <w:rPr>
          <w:lang w:val="el-GR"/>
        </w:rPr>
        <w:t>ἄρχομαι</w:t>
      </w:r>
      <w:r>
        <w:rPr/>
        <w:t xml:space="preserve"> - eine Stileigentümlichkeit des Mk (vgl. Doudna 1961, S. 51ff.; Kleist 1937, S. 205; Pryke 1978, S. 79ff.; Reiser 1983, S. 45): Beginnen wird redundant gesetzt und kann in der Übersetzung ausgespart werden, indem der Infinitiv stilistisch besser als Vollverb übersetzt wird. Vgl. ad loc. Gaston 1970, S. 13; dagegen Dschulnigg 2007, S. 338; allerdings ohne Begründung.</w:t>
      </w:r>
    </w:p>
  </w:footnote>
  <w:footnote w:id="1993">
    <w:p>
      <w:pPr>
        <w:pStyle w:val="Funote"/>
        <w:rPr/>
      </w:pPr>
      <w:r>
        <w:rPr/>
        <w:footnoteRef/>
        <w:tab/>
        <w:t>Auch diese beiden strittigen Sätzchen werden von Cranfield 1959, S. 395 gut in ihre möglichen Bedeutungen aufgedröselt: »</w:t>
      </w:r>
      <w:r>
        <w:rPr>
          <w:lang w:val="el-GR"/>
        </w:rPr>
        <w:t>ἐπὶ τῷ ὀνόματί μου</w:t>
      </w:r>
      <w:r>
        <w:rPr/>
        <w:t xml:space="preserve"> [unter meinem Namen] ist am natürlichsten zu deuten als (i) 'sie berufen sich auf mich als Autorität', aber es kann auch bedeuten (ii) 'Sie schreiben sich selbst den Messias-titel zu, der rechtmäßig mir gebührt.' [...] Die Worte </w:t>
      </w:r>
      <w:r>
        <w:rPr>
          <w:lang w:val="el-GR"/>
        </w:rPr>
        <w:t>λέγοντες ὅτι Ἐγώ εἰμι</w:t>
      </w:r>
      <w:r>
        <w:rPr/>
        <w:t xml:space="preserve"> [die sagen: Ich bin [es]] sind ähnlich mehrdeutig. Sie könnten bedeuten (a) 'die sagen »Ich bin«' - d.h. sie behaupten, der Messias zu sein (vgl. Joh 4,26 und Matthäus' hierige Ergänzung von </w:t>
      </w:r>
      <w:r>
        <w:rPr>
          <w:lang w:val="el-GR"/>
        </w:rPr>
        <w:t>ὁ χριστός</w:t>
      </w:r>
      <w:r>
        <w:rPr/>
        <w:t xml:space="preserve"> [=der Christus], Mt 24,5) [...], (b) 'die sagen »Ich bin es«', also ganz ähnlich wie (a), aber mit Fokus auf der Idee der Gegenwart des Messias; (c) 'die sagen, dass ich es sei' - d.h., die sagen, dass ich (Jesus) gekommen wäre [...], (d) 'die sagen, dass ich (Jesus) (der Christus) bin' - das aber kann man ausschließen, denn das wäre ja keine Irreführung; (e) 'die sagen, dass sie ich seien' - in dem Sinne, dass Betrüger behaupten, Jesus zu sein.« Mit Abstand am wahrscheinlichsten (und auch die Mehrheitsmeinung) ist die Kombination von (ii) und (a), denn die beiden Sätze interpretieren sich gegenseitig: die zweite Aussage ist eine Identitätsproklamation (»Ich bin X«), und dieses »X« ist zu füllen durch </w:t>
      </w:r>
      <w:r>
        <w:rPr>
          <w:lang w:val="el-GR"/>
        </w:rPr>
        <w:t>ἐπὶ τῷ ὀνόματί μου</w:t>
      </w:r>
      <w:r>
        <w:rPr/>
        <w:t xml:space="preserve"> unter meinem Namen, also »unter Inanspruchnahme des Messiastitels, der rechtmäßig mir gebührt« (vgl. gut Kmiecik 1997, S. 42; Pesch 1977, S. 279). Sinngemäß bedeutet der Vers also: »Denn es werden viele kommen und behaupten, der Messias zu sein - dabei bin das doch in Wirklichkeit ich!«, oder einfach »Viele Messiasprätendenten werden auftreten«.</w:t>
      </w:r>
    </w:p>
  </w:footnote>
  <w:footnote w:id="1994">
    <w:p>
      <w:pPr>
        <w:pStyle w:val="Funote"/>
        <w:rPr/>
      </w:pPr>
      <w:r>
        <w:rPr/>
        <w:footnoteRef/>
        <w:tab/>
        <w:t xml:space="preserve">Eigentümlich für den markinischen Stil - dennoch aber gut Griechisch (die Konstruktion findet sich z.B. auch bei Plutarch und Thukydides) - ist, dass gelegentlich Konjunktionen nicht in ihrer Konjunktions-bedeutung verwendet werden, sondern bloß als Trennungszeichen von Sätzen und Textabschnitten fungieren (vgl. z.B. Reiser 1983, S. 99f.160f). Diese Konjunktionen und Partikeln sind im Deutschen oft besser auszusparen. Dazu gehören in Kap. 13: * V. 7: </w:t>
      </w:r>
      <w:r>
        <w:rPr>
          <w:lang w:val="el-GR"/>
        </w:rPr>
        <w:t>δέ</w:t>
      </w:r>
      <w:r>
        <w:rPr/>
        <w:t xml:space="preserve"> aber - denn V. 7 ist integraler Bestandteil des Abschnitts Vv.5-8, vgl. Kommentar (gegen Mateos 1987, S. 201f., der denkt, </w:t>
      </w:r>
      <w:r>
        <w:rPr>
          <w:lang w:val="el-GR"/>
        </w:rPr>
        <w:t>δέ</w:t>
      </w:r>
      <w:r>
        <w:rPr/>
        <w:t xml:space="preserve"> würde hier die vielen, die sich täuschen lassen (V. 6) mit den Jüngern, die sich eben nicht täuschen lassen sollen (V. 7), konstrastieren (daher obige Alternative »ihr dagegen: wenn ihr«). Die kontrastierende Funktion wäre dann wahrscheinlich (und in der Tat eine schöne Deutung), wenn auch ihr in V. 7 durch ein Pronomen ausgedrückt wäre; bei bloßer 2.Person Plural aber nicht). * V. 9: </w:t>
      </w:r>
      <w:r>
        <w:rPr>
          <w:lang w:val="el-GR"/>
        </w:rPr>
        <w:t>δέ</w:t>
      </w:r>
      <w:r>
        <w:rPr/>
        <w:t xml:space="preserve"> aber - Zum Textabschnitte einleitenden </w:t>
      </w:r>
      <w:r>
        <w:rPr>
          <w:lang w:val="el-GR"/>
        </w:rPr>
        <w:t>δέ</w:t>
      </w:r>
      <w:r>
        <w:rPr/>
        <w:t xml:space="preserve"> vgl. Thrall 1962, S. 59 * V. 17: </w:t>
      </w:r>
      <w:r>
        <w:rPr>
          <w:lang w:val="el-GR"/>
        </w:rPr>
        <w:t>δέ</w:t>
      </w:r>
      <w:r>
        <w:rPr/>
        <w:t xml:space="preserve"> aber - V. 17 ist ein apokalyptischer Klageruf, der gattungstypisch semantisch nicht mit dem umliegenden Text zusammenhängt. * V. 23: </w:t>
      </w:r>
      <w:r>
        <w:rPr>
          <w:lang w:val="el-GR"/>
        </w:rPr>
        <w:t>δέ</w:t>
      </w:r>
      <w:r>
        <w:rPr/>
        <w:t xml:space="preserve"> aber - vgl. Fußnote bd. * V. 24: </w:t>
      </w:r>
      <w:r>
        <w:rPr>
          <w:lang w:val="el-GR"/>
        </w:rPr>
        <w:t>ἀλλά</w:t>
      </w:r>
      <w:r>
        <w:rPr/>
        <w:t xml:space="preserve"> - V. 24 wird gern kommentiert mit: »Mit »aber« [...] wird die große Wende eingeleitet« (Gnilka 1978, S. 200) o.Ä. Es sollte hier aber nicht zu viel von </w:t>
      </w:r>
      <w:r>
        <w:rPr>
          <w:lang w:val="el-GR"/>
        </w:rPr>
        <w:t>ἀλλά</w:t>
      </w:r>
      <w:r>
        <w:rPr/>
        <w:t xml:space="preserve"> abgeleitet werden - zwar beginnt hier in der Tat ein neuer Textabschnitt (s. Kommentar), aber die Kontinuität mit dem vorangehenden Abschnitt ist doch gewährleistet durch </w:t>
      </w:r>
      <w:r>
        <w:rPr>
          <w:lang w:val="el-GR"/>
        </w:rPr>
        <w:t>ἐν ἐκείναις ταῖς ἡμέραις</w:t>
      </w:r>
      <w:r>
        <w:rPr/>
        <w:t xml:space="preserve"> in jenen Tagen (schon V. 17) und </w:t>
      </w:r>
      <w:r>
        <w:rPr>
          <w:lang w:val="el-GR"/>
        </w:rPr>
        <w:t>μετὰ τὴν θλῖψιν</w:t>
      </w:r>
      <w:r>
        <w:rPr/>
        <w:t xml:space="preserve"> nach jener Drangsal (vgl. V. 19). vgl. auch Mateos 1987, S. 331. Ebenso wie </w:t>
      </w:r>
      <w:r>
        <w:rPr>
          <w:lang w:val="el-GR"/>
        </w:rPr>
        <w:t>δέ</w:t>
      </w:r>
      <w:r>
        <w:rPr/>
        <w:t xml:space="preserve"> in Vv. 14.28 fungiert hier </w:t>
      </w:r>
      <w:r>
        <w:rPr>
          <w:lang w:val="el-GR"/>
        </w:rPr>
        <w:t>ἀλλά</w:t>
      </w:r>
      <w:r>
        <w:rPr/>
        <w:t xml:space="preserve"> als Abschnittstrenner. * V. 28: </w:t>
      </w:r>
      <w:r>
        <w:rPr>
          <w:lang w:val="el-GR"/>
        </w:rPr>
        <w:t>δέ</w:t>
      </w:r>
      <w:r>
        <w:rPr/>
        <w:t xml:space="preserve"> aber; denn es gibt nichts vorangehendes, womit durch </w:t>
      </w:r>
      <w:r>
        <w:rPr>
          <w:lang w:val="el-GR"/>
        </w:rPr>
        <w:t>δέ</w:t>
      </w:r>
      <w:r>
        <w:rPr/>
        <w:t xml:space="preserve"> kontrastiert werden könnte. vgl. auch Mateos 1987, S. 374; Thrall 1962, S. 59 * V. 37: </w:t>
      </w:r>
      <w:r>
        <w:rPr>
          <w:lang w:val="el-GR"/>
        </w:rPr>
        <w:t>δέ</w:t>
      </w:r>
      <w:r>
        <w:rPr/>
        <w:t xml:space="preserve"> aber hebt den letzten Vers als abschließendes Fazit vom vorangehenden Textteil ab. Zu </w:t>
      </w:r>
      <w:r>
        <w:rPr>
          <w:lang w:val="el-GR"/>
        </w:rPr>
        <w:t>ἀλλά</w:t>
      </w:r>
      <w:r>
        <w:rPr/>
        <w:t xml:space="preserve"> vgl. noch Pape 100; zu </w:t>
      </w:r>
      <w:r>
        <w:rPr>
          <w:lang w:val="el-GR"/>
        </w:rPr>
        <w:t>δέ</w:t>
      </w:r>
      <w:r>
        <w:rPr/>
        <w:t xml:space="preserve"> Muraoka, S. 140.</w:t>
      </w:r>
    </w:p>
  </w:footnote>
  <w:footnote w:id="1995">
    <w:p>
      <w:pPr>
        <w:pStyle w:val="Funote"/>
        <w:rPr/>
      </w:pPr>
      <w:r>
        <w:rPr/>
        <w:footnoteRef/>
        <w:tab/>
        <w:t>Verb in Satzspitzenstellung als eine für Prophezeiungen typische emphatische Ausdrucksstellung; vgl. Reiser 1983, S. 94. Dieses Stilmittel parallelisiert Vv. 8.12.19.22, die ohnehin strukturell parallel fungieren (vgl. Kommentar, FN b). Im Deutschen sollte dies nicht nachgeahmt, sondern zu einem stilistischen Äquivalent gegriffen werden.</w:t>
      </w:r>
    </w:p>
  </w:footnote>
  <w:footnote w:id="1996">
    <w:p>
      <w:pPr>
        <w:pStyle w:val="Funote"/>
        <w:rPr/>
      </w:pPr>
      <w:r>
        <w:rPr/>
        <w:footnoteRef/>
        <w:tab/>
        <w:t xml:space="preserve">Meist: denn erheben wird sich...; besser aber: es wird sich nämlich erheben... - das </w:t>
      </w:r>
      <w:r>
        <w:rPr>
          <w:lang w:val="el-GR"/>
        </w:rPr>
        <w:t>γὰρ</w:t>
      </w:r>
      <w:r>
        <w:rPr/>
        <w:t xml:space="preserve"> denn ist besser als explikatives </w:t>
      </w:r>
      <w:r>
        <w:rPr>
          <w:lang w:val="el-GR"/>
        </w:rPr>
        <w:t>γὰρ</w:t>
      </w:r>
      <w:r>
        <w:rPr/>
        <w:t xml:space="preserve"> nämlich zu interpretieren; vgl. Kommentar.</w:t>
      </w:r>
    </w:p>
  </w:footnote>
  <w:footnote w:id="1997">
    <w:p>
      <w:pPr>
        <w:pStyle w:val="Funote"/>
        <w:rPr/>
      </w:pPr>
      <w:r>
        <w:rPr/>
        <w:footnoteRef/>
        <w:tab/>
        <w:t>Anfang der Wehen - apokalyptische Formel, die v.a. in der rabbinischen Literatur gebräuchlich ist. Die (Geburts-)wehen stehen für die Zeit der Not, die vor dem Einbruch der schönen Endzeit ertragen werden müssen (so fast alle Kommentare)</w:t>
      </w:r>
    </w:p>
  </w:footnote>
  <w:footnote w:id="1998">
    <w:p>
      <w:pPr>
        <w:pStyle w:val="Funote"/>
        <w:rPr/>
      </w:pPr>
      <w:r>
        <w:rPr/>
        <w:footnoteRef/>
        <w:tab/>
        <w:t>impersonaler Plural; vgl. ad loc. Turner 1924a, S. 382. Pryke 1978, S. 107 hält es hier für ein Passivsubstitut, aber das ist angesichts der direkt folgenden Passivformen nicht sehr wahrscheinlich.</w:t>
      </w:r>
    </w:p>
  </w:footnote>
  <w:footnote w:id="1999">
    <w:p>
      <w:pPr>
        <w:pStyle w:val="Funote"/>
        <w:rPr/>
      </w:pPr>
      <w:r>
        <w:rPr>
          <w:lang w:val="el-GR"/>
        </w:rPr>
        <w:footnoteRef/>
        <w:tab/>
        <w:t>παραδίδωμι</w:t>
      </w:r>
      <w:r>
        <w:rPr/>
        <w:t xml:space="preserve"> ausliefern wird im Mk neben den Vorkommen in Mk 13 nur zweimal nicht von der Passion Jesu gesagt; es ist also eine Vokabel aus der Passionstheologie - die Überlieferung der Jünger Jesu wird parallelisiert mit der »eschatologisch[en] Preisgabe des Menschensohns an die Menschen« (EWNT III, S. 46; vgl. ad loc. auch Thüsing 2011, S. 111).</w:t>
      </w:r>
    </w:p>
  </w:footnote>
  <w:footnote w:id="2000">
    <w:p>
      <w:pPr>
        <w:pStyle w:val="Funote"/>
        <w:rPr/>
      </w:pPr>
      <w:r>
        <w:rPr/>
        <w:footnoteRef/>
        <w:tab/>
        <w:t xml:space="preserve">Das Wort </w:t>
      </w:r>
      <w:r>
        <w:rPr>
          <w:lang w:val="el-GR"/>
        </w:rPr>
        <w:t>συνέδριον</w:t>
      </w:r>
      <w:r>
        <w:rPr/>
        <w:t xml:space="preserve"> kennt man sonst v.a. aus der Passionserzählung; er bezieht sich dort in der Einzahl auf den Sanhedrin, den jüdischen Hohen Rat. Die hierige Mehrzahl </w:t>
      </w:r>
      <w:r>
        <w:rPr>
          <w:lang w:val="el-GR"/>
        </w:rPr>
        <w:t>συνέδρια</w:t>
      </w:r>
      <w:r>
        <w:rPr/>
        <w:t xml:space="preserve"> dagegen legt nahe, dass von kleineren jüdischen Lokalgerichten die Rede ist; vgl. ThW VII, S. 864f. - es folgen also auf die zwei jüdischen Instanzen »Synhedrien« und »Synagogen« die zwei nicht-jüdische Instanzen »Statthalter« und »Könige«.</w:t>
      </w:r>
    </w:p>
  </w:footnote>
  <w:footnote w:id="2001">
    <w:p>
      <w:pPr>
        <w:pStyle w:val="Funote"/>
        <w:rPr/>
      </w:pPr>
      <w:r>
        <w:rPr>
          <w:lang w:val="el-GR"/>
        </w:rPr>
        <w:footnoteRef/>
        <w:tab/>
        <w:t>εἰς</w:t>
      </w:r>
      <w:r>
        <w:rPr/>
        <w:t xml:space="preserve"> kann in der Koine verwendet werden wie </w:t>
      </w:r>
      <w:r>
        <w:rPr>
          <w:lang w:val="el-GR"/>
        </w:rPr>
        <w:t>ἔν</w:t>
      </w:r>
      <w:r>
        <w:rPr/>
        <w:t xml:space="preserve"> und umgekehrt; abhängig davon ließe sich der Satz auflösen als (i) »Man wird euch ausliefern, in Synhedrien und Synagogen werdet ihr geprügelt werden« (so z.B. Cranfield 1959, S. 397; Pesch 1977, S. 183; Turner 1924b, S. 19), (ii) »Man wird euch an Synhedrien und Synagogen ausliefern, ihr werdet geprügelt werden« (so Mateos 1987, S. 236) oder (iii) »Man wird euch ausliefern an Synhedrien, in Synagogen werdet ihr geprügelt werden« (so die Mehrheit). Angesichts der parallelen Konstruktion von </w:t>
      </w:r>
      <w:r>
        <w:rPr>
          <w:lang w:val="el-GR"/>
        </w:rPr>
        <w:t>εἰς συνέδρια</w:t>
      </w:r>
      <w:r>
        <w:rPr/>
        <w:t xml:space="preserve"> und </w:t>
      </w:r>
      <w:r>
        <w:rPr>
          <w:lang w:val="el-GR"/>
        </w:rPr>
        <w:t>εἰς συναγωγὰς</w:t>
      </w:r>
      <w:r>
        <w:rPr/>
        <w:t xml:space="preserve"> mit </w:t>
      </w:r>
      <w:r>
        <w:rPr>
          <w:lang w:val="el-GR"/>
        </w:rPr>
        <w:t>εἰς</w:t>
      </w:r>
      <w:r>
        <w:rPr/>
        <w:t xml:space="preserve"> wird man wohl Mateos (=ii) zustimmen müssen. Dies erleichtert auch das Verständnis vom »Prügeln«, denn obwohl die Prügelstrafe u.a. auch von Lokalgerichten und Synagogen verhängt werden durfte, wäre ein Prügeln in Synagogen doch eher ungewöhnlich.</w:t>
      </w:r>
    </w:p>
  </w:footnote>
  <w:footnote w:id="2002">
    <w:p>
      <w:pPr>
        <w:pStyle w:val="Funote"/>
        <w:rPr/>
      </w:pPr>
      <w:r>
        <w:rPr/>
        <w:footnoteRef/>
        <w:tab/>
        <w:t xml:space="preserve">Die Bedeutung dieses Nachsatzes ist etwas unklar. (1) ist nicht klar, ob </w:t>
      </w:r>
      <w:r>
        <w:rPr>
          <w:lang w:val="el-GR"/>
        </w:rPr>
        <w:t>αὐτοῖς</w:t>
      </w:r>
      <w:r>
        <w:rPr/>
        <w:t xml:space="preserve"> ihnen sich auf die Statthalter und Könige bezieht oder auf die Auslieferer, Prügler, Statthalter und Könige, (2) lässt sich aus V. 9 allein nicht erkennen, worauf das ihnen zum Zeugnis sich eigentlich beziehen soll. Die Mehrheitsmeinung bei der Interpretation von V. 10 ist aber, dass er parenthetisch das ihnen zum Zeugnis auslegt und Zeugnis also auf die »Verkündigung« zu beziehen ist; und da man durch Ausgeliefert-werden und Geprügelt-werden keinen direkten Beitrag zur Verkündigung leistet, bedeuten Vv. 9c.10 wohl sinngemäß: »Ihr werdet meinetwegen vor Statthalter und Könige gestellt werden, um ihnen zu verkündigen; denn erst muss auf der ganzen Welt das Evangelium verkündigt werden.«</w:t>
      </w:r>
    </w:p>
  </w:footnote>
  <w:footnote w:id="2003">
    <w:p>
      <w:pPr>
        <w:pStyle w:val="Funote"/>
        <w:rPr/>
      </w:pPr>
      <w:r>
        <w:rPr/>
        <w:footnoteRef/>
        <w:tab/>
        <w:t xml:space="preserve">Kausales </w:t>
      </w:r>
      <w:r>
        <w:rPr>
          <w:lang w:val="el-GR"/>
        </w:rPr>
        <w:t>καὶ</w:t>
      </w:r>
      <w:r>
        <w:rPr/>
        <w:t>; vgl. Reiser 1983, S. 127; Wilckens.</w:t>
      </w:r>
    </w:p>
  </w:footnote>
  <w:footnote w:id="2004">
    <w:p>
      <w:pPr>
        <w:pStyle w:val="Funote"/>
        <w:rPr/>
      </w:pPr>
      <w:r>
        <w:rPr/>
        <w:footnoteRef/>
        <w:tab/>
        <w:t>recht sicher i.S.v. »vor dem Ende«</w:t>
      </w:r>
    </w:p>
  </w:footnote>
  <w:footnote w:id="2005">
    <w:p>
      <w:pPr>
        <w:pStyle w:val="Funote"/>
        <w:rPr/>
      </w:pPr>
      <w:r>
        <w:rPr>
          <w:lang w:val="el-GR"/>
        </w:rPr>
        <w:footnoteRef/>
        <w:tab/>
        <w:t>εἰς</w:t>
      </w:r>
      <w:r>
        <w:rPr/>
        <w:t xml:space="preserve"> wird hier verwendet wie </w:t>
      </w:r>
      <w:r>
        <w:rPr>
          <w:lang w:val="el-GR"/>
        </w:rPr>
        <w:t>ἔν</w:t>
      </w:r>
      <w:r>
        <w:rPr/>
        <w:t>; vgl Cranfield 1959, S. 199; Turner 1924b, S. 20</w:t>
      </w:r>
    </w:p>
  </w:footnote>
  <w:footnote w:id="2006">
    <w:p>
      <w:pPr>
        <w:pStyle w:val="Funote"/>
        <w:rPr/>
      </w:pPr>
      <w:r>
        <w:rPr/>
        <w:footnoteRef/>
        <w:tab/>
        <w:t xml:space="preserve">final aufgelöstes adverbiales Partizip, so auch Schenke 2005, S. 290 (»zur Auslieferung vorführen«); vgl. auch Mateos 1987, S. 237. Auch Jantzen u.a. Üss. Die Jünger sollen sich im Vorfeld ihres Ausgeliefert-werdens keine Sorgen machen. So stimmt es ja auch zusammen mit </w:t>
      </w:r>
      <w:r>
        <w:rPr>
          <w:lang w:val="el-GR"/>
        </w:rPr>
        <w:t>προμεριμνᾶτε</w:t>
      </w:r>
      <w:r>
        <w:rPr/>
        <w:t xml:space="preserve"> sorgt euch nicht im Voraus.</w:t>
      </w:r>
    </w:p>
  </w:footnote>
  <w:footnote w:id="2007">
    <w:p>
      <w:pPr>
        <w:pStyle w:val="Funote"/>
        <w:rPr/>
      </w:pPr>
      <w:r>
        <w:rPr/>
        <w:footnoteRef/>
        <w:tab/>
        <w:t>theologischer Passiv, eigentlich also besser »das, was Gott euch in jener Stunde eingeben wird«. Vgl. Grosvenor/Zerwick 1993, S. 151</w:t>
      </w:r>
    </w:p>
  </w:footnote>
  <w:footnote w:id="2008">
    <w:p>
      <w:pPr>
        <w:pStyle w:val="Funote"/>
        <w:rPr/>
      </w:pPr>
      <w:r>
        <w:rPr/>
        <w:footnoteRef/>
        <w:tab/>
        <w:t>wie im Hebräischen dient auch in der Koine Name als Wechselbegriff für den Namensträger, also wegen meinem Namen = wegen mir.</w:t>
      </w:r>
    </w:p>
  </w:footnote>
  <w:footnote w:id="2009">
    <w:p>
      <w:pPr>
        <w:pStyle w:val="Funote"/>
        <w:rPr/>
      </w:pPr>
      <w:r>
        <w:rPr/>
        <w:footnoteRef/>
        <w:tab/>
        <w:t>(i) Die Mehrheitsmeinung - der auch hier zuzustimmen ist - ist, dass das Ende sich auf das Eschaton, das Ende der Zeit, bezieht. Daneben hat (ii) Cranfield 1959, S. 401 die Bedeutung völlig, komplett vorgeschlagen; (iii) Ernst 1963, S. 377f. hält es für doppelsinnig und bezieht es neben dem Eschaton auch auf das Lebensende jedes einzelnen Jüngers. (ii) ist sehr unwahrscheinlich - die Wiederholung der in V.7 deutlich eschatologisch verwendeten Vokabel ist zu auffällig für diese Interpretation. (iii) ist möglich, aber aus dem selben Grund nicht sehr wahrscheinlich.</w:t>
      </w:r>
    </w:p>
  </w:footnote>
  <w:footnote w:id="2010">
    <w:p>
      <w:pPr>
        <w:pStyle w:val="Funote"/>
        <w:rPr/>
      </w:pPr>
      <w:r>
        <w:rPr>
          <w:lang w:val="el-GR"/>
        </w:rPr>
        <w:footnoteRef/>
        <w:tab/>
        <w:t>ὑπομένω</w:t>
      </w:r>
      <w:r>
        <w:rPr/>
        <w:t xml:space="preserve"> steht nicht nur für ausharren i.S.v. warten, sondern - bes. hier - für das Ertragen und Erdulden von Leiden; vgl. EWNT III, S. 968</w:t>
      </w:r>
    </w:p>
  </w:footnote>
  <w:footnote w:id="2011">
    <w:p>
      <w:pPr>
        <w:pStyle w:val="Funote"/>
        <w:rPr/>
      </w:pPr>
      <w:r>
        <w:rPr/>
        <w:footnoteRef/>
        <w:tab/>
        <w:t xml:space="preserve">Vers 14 ist völlig rätselhaft. Rätselhaft ist (1) der Ausdruck </w:t>
      </w:r>
      <w:r>
        <w:rPr>
          <w:lang w:val="el-GR"/>
        </w:rPr>
        <w:t>βδέλυγμα τῆς ἐρημώσεως</w:t>
      </w:r>
      <w:r>
        <w:rPr/>
        <w:t xml:space="preserve">, der standardmäßig übertragen wird mit Gräuel der Verwüstung; etwas rätselhaft ist (2) der Wechsel vom Neutrum </w:t>
      </w:r>
      <w:r>
        <w:rPr>
          <w:lang w:val="el-GR"/>
        </w:rPr>
        <w:t>βδέλυγμα τῆς ἐρημώσεως</w:t>
      </w:r>
      <w:r>
        <w:rPr/>
        <w:t xml:space="preserve"> zum Maskulinum </w:t>
      </w:r>
      <w:r>
        <w:rPr>
          <w:lang w:val="el-GR"/>
        </w:rPr>
        <w:t>ἑστηκότα</w:t>
      </w:r>
      <w:r>
        <w:rPr/>
        <w:t xml:space="preserve"> , der steht und rätselhaft ist außerdem (3) die Ortsangabe </w:t>
      </w:r>
      <w:r>
        <w:rPr>
          <w:lang w:val="el-GR"/>
        </w:rPr>
        <w:t>ὅπου οὐ δεῖ</w:t>
      </w:r>
      <w:r>
        <w:rPr/>
        <w:t xml:space="preserve">, die standardmäßig übertragen wird mit wo er nicht darf. (i) Die Standard-Interpretation ist diese: (1) </w:t>
      </w:r>
      <w:r>
        <w:rPr>
          <w:lang w:val="el-GR"/>
        </w:rPr>
        <w:t>βδέλυγμα τῆς ἐρημώσεως</w:t>
      </w:r>
      <w:r>
        <w:rPr/>
        <w:t xml:space="preserve"> ist ein Verweis auf Dan 9,27; 11,31; Dan 12,11 LXX; 1Makk 1,54. In den alttestamentlichen Texten ist die Entsprechung </w:t>
      </w:r>
      <w:r>
        <w:rPr>
          <w:rtl w:val="true"/>
          <w:lang w:bidi="he-IL"/>
        </w:rPr>
        <w:t>שִׁקּוּץ שֹׁמֵם</w:t>
      </w:r>
      <w:r>
        <w:rPr/>
        <w:t xml:space="preserve">. Das hebräische </w:t>
      </w:r>
      <w:r>
        <w:rPr>
          <w:rtl w:val="true"/>
          <w:lang w:bidi="he-IL"/>
        </w:rPr>
        <w:t>שִׁקּוּץ</w:t>
      </w:r>
      <w:r>
        <w:rPr/>
        <w:t xml:space="preserve"> </w:t>
      </w:r>
      <w:r>
        <w:rPr/>
        <w:t xml:space="preserve">ist eine verächtliche Bezeichnung für Götzen und Götzenkulte (Ges18, S. 1381f) und </w:t>
      </w:r>
      <w:r>
        <w:rPr>
          <w:rtl w:val="true"/>
          <w:lang w:bidi="he-IL"/>
        </w:rPr>
        <w:t>שֹׁמֵם</w:t>
      </w:r>
      <w:r>
        <w:rPr/>
        <w:t xml:space="preserve"> </w:t>
      </w:r>
      <w:r>
        <w:rPr/>
        <w:t xml:space="preserve">ist ein Verbaladjektiv mit der Bedeutung verwüstend (Ges18, S. 1380) - also rein lexikalisch der verwüstende Götze oder der verwüstende Götzenkult. Historisch macht diese Übersetzung Sinn, denn in den besagten Texten ist wohl die Rede von der Statue des Zeus, die Antiochus Epiphanes 168 v.Chr. im Tempel aufstellen ließ. Das griechische </w:t>
      </w:r>
      <w:r>
        <w:rPr>
          <w:lang w:val="el-GR"/>
        </w:rPr>
        <w:t>βδέλυγμα</w:t>
      </w:r>
      <w:r>
        <w:rPr/>
        <w:t xml:space="preserve"> dagegen bezeichnet meist allgemein das, was Gott ein Gräuel ist (EWNT I, S. 502) und das griechische </w:t>
      </w:r>
      <w:r>
        <w:rPr>
          <w:lang w:val="el-GR"/>
        </w:rPr>
        <w:t>τῆς ἐρημώσεως</w:t>
      </w:r>
      <w:r>
        <w:rPr/>
        <w:t xml:space="preserve"> wäre entsprechend dem Hebräischen zu deuten als Genitiv des Produkts, also das Gräuel, das Verwüstung hervorbringt. (2) Weil diese von Daniel übernommene Neutrum-Phrase modifiziert wird vom maskulinischen Partizip </w:t>
      </w:r>
      <w:r>
        <w:rPr>
          <w:lang w:val="el-GR"/>
        </w:rPr>
        <w:t>ἑστηκότα</w:t>
      </w:r>
      <w:r>
        <w:rPr/>
        <w:t xml:space="preserve"> der steht, heißt es meist, dass V. 14a ad sensum konstruiert sei und man deshalb bei </w:t>
      </w:r>
      <w:r>
        <w:rPr>
          <w:lang w:val="el-GR"/>
        </w:rPr>
        <w:t>βδέλυγμα τῆς ἐρημώσεως</w:t>
      </w:r>
      <w:r>
        <w:rPr/>
        <w:t xml:space="preserve"> an eine Person denken müsse, nämlich den Antichristen - was gut mit der Konnotation »Götze« des Hebräischen zusammenstimmt. (3) </w:t>
      </w:r>
      <w:r>
        <w:rPr>
          <w:lang w:val="el-GR"/>
        </w:rPr>
        <w:t>ὅπου οὐ δεῖ</w:t>
      </w:r>
      <w:r>
        <w:rPr/>
        <w:t xml:space="preserve"> wo er nicht darf weiterhin wird meist mit Mt 24,15 bezogen auf den Tempel, also sinngemäß: »Wenn der Antichrist im Tempel auftaucht«, was außerdem zusammenstimmt mit 2Thess 2,3ff: »Zuerst muss der Abfall von Gott kommen und der Mensch der Gesetzwidrigkeit erscheinen, der Sohn des Verderbens, der Widersacher, der sich über alles, was Gott oder Heiligtum heißt, so sehr erhebt, dass er sich sogar in den Tempel Gottes setzt.« (EÜ) (ii) Exegeten wie Pesch 1977, Schenke 2005 und Thüsing 2011 denken bei </w:t>
      </w:r>
      <w:r>
        <w:rPr>
          <w:lang w:val="el-GR"/>
        </w:rPr>
        <w:t>βδέλυγμα τῆς ἐρημώσεως</w:t>
      </w:r>
      <w:r>
        <w:rPr/>
        <w:t xml:space="preserve"> nicht an den Antichristen, sondern an zeitgeschichtliche Geschehnisse zur Zeit des jüdischen Krieges. Pesch lässt die genaue Referenz offen, da sie nicht genau bestimmt werden könne; Schenke denkt an die Schreckensherrschaft der Zeloten im Tempel ab 65/66 n.Chr. und Thüsing an die römischen Feldzeichen, die die Römer nach der Eroberung Jerusalems im Tempel aufstellten und auf denen Götzenbilder abgebildet seien. Diese Interpretation hat aber die grammatische Schwierigkeit die ad-sensum-Konstruktion (s.o. unter (2)); v.a. aber fügt sie sich schlecht in den Kontext des Abschnitts, denn spätestens V. 19 macht ja deutlich, dass hier eben nicht an »zeitgeschichtliche Ereignisse gedacht wird« (Pesch), sondern an apokalyptische Geschehnisse (vgl. auch Kommentar). Weil Interpretation (ii) außerdem noch eine Minderheitenmeinung ist, wird man durchaus Interpretation (i) den Vorzug geben müssen.</w:t>
      </w:r>
    </w:p>
  </w:footnote>
  <w:footnote w:id="2012">
    <w:p>
      <w:pPr>
        <w:pStyle w:val="Funote"/>
        <w:rPr/>
      </w:pPr>
      <w:r>
        <w:rPr/>
        <w:footnoteRef/>
        <w:tab/>
        <w:t xml:space="preserve">Die Bedeutung dieser Parenthese ist in der Exegese umstritten. Die unterschiedlichen Interpretationen hängen v.a. daran, auf wen Leser bezogen wird. Vorgeschlagen wurden, dass es sich beziehe # auf den Leser eines hypothetischen apokalyptischen Flugblattes, das als (eine der) Vorlage(n) von Mk 13 angenommen wird - diese Position ist sehr verbreitet, dennoch sehr unwahrscheinlich. Denn es ist schwer vorstellbar, dass es dem Redaktor des Mk nicht aufgefallen sein sollte, dass sich die Parenthese - die sich an einen Leser und nicht an mehrere Hörer richtet - so überhaupt nicht in die Kommunikationssituation der eschatologischen Mahnrede Jesu fügt und sie daher mitübernommen habe. # auf den Hörer bei der öffentlichen Verlesung des Markusevangeliums, dem die Wichtigkeit des Gräuels der Verwüstung noch einmal unterstrichen werden soll - aber dieser Hörer ist ja dann kein »Leser«. # auf den Vorleser des Markusevangeliums bei der öffentlichen Verlesung; die Parenthese sei dann nicht dazu gedacht, laut vorgelesen zu werden, sondern sei eine Notiz für den Vorleser, die eben beschriebene ad-sensum-Konstruktion richtig vorzulesen (vgl. Best 1989, S. 128-30, der die Parenthese dann auch konsequent in seiner Übersetzung ausspart. Dagegen aber gut Collins 2009, S. 545f.) # auf die vier Jünger, die die von Dan 9,27; 11,31; 12,11 übernommene Prophezeiung richtig - d.h. im Lichte der Prophezeiung Jesu (Perkins 2006, S. 104) - verstehen sollen, wenn sie sie lesen. (4) ist am Wahrscheinlichsten, daher noch einige Worte dazu. Zunächst: »Leser des Danielbuches« als Bedeutung von »Leser« liegt schon deshalb nahe, da </w:t>
      </w:r>
      <w:r>
        <w:rPr>
          <w:lang w:val="el-GR"/>
        </w:rPr>
        <w:t>ἀναγινώσκω</w:t>
      </w:r>
      <w:r>
        <w:rPr/>
        <w:t xml:space="preserve"> im Mk ausschließlich für das Lesen im AT verwendet wird (vgl. z.B. Pryke 1978, S. 57f). Vgl. außerdem die Parallelstelle Mt 24,15, wo der Verweis auf das Danielbuch expliziert wird. Dann: Vergleichbare Aufforderungen finden sich auch in anderen Prophezeiungen; vgl. bes. Dan 9,23.25 (also dem direkten Kontext von Dan 9,27, von wo Jesus mutmaßlich die Prophezeiung des »Gräuels der Verwüstung« übernommen hat); auch Offb 13,9.18; 17,9 (Stellen nach Pesch 1977, S. 292). Auch ist es nicht (sehr) problematisch, dass die Jünger hier in der 3. Person (der Leser statt ihr Leser) angesprochen werden; es finden sich im Mk häufiger Anreden an Zuhörer, die Jesus in 3. Person angespricht (s. Mk 4,9.23; 8,34; vgl. Perkins 2006, S. 101f). Sinngemäß wäre dann also zu übersetzen: »Ihr Leser, gebt gut acht« oder »Beim Lesen seid verständig«.</w:t>
      </w:r>
    </w:p>
  </w:footnote>
  <w:footnote w:id="2013">
    <w:p>
      <w:pPr>
        <w:pStyle w:val="Funote"/>
        <w:rPr/>
      </w:pPr>
      <w:r>
        <w:rPr/>
        <w:footnoteRef/>
        <w:tab/>
        <w:t>Das Motiv der Flucht ins Gebirge ist ein häufigeres Motiv; vgl. z.B. 1Makk 2,28 (s. z.B. Gnilka 1978, S. 195f); umgekehrt kennt man auch das Motiv der Flucht aus dem Umland in die Hauptstadt, vgl. z.B. Jer 4,1ff. (s. z.B. Pesch 1977, S. 292).</w:t>
      </w:r>
    </w:p>
  </w:footnote>
  <w:footnote w:id="2014">
    <w:p>
      <w:pPr>
        <w:pStyle w:val="Funote"/>
        <w:rPr/>
      </w:pPr>
      <w:r>
        <w:rPr/>
        <w:footnoteRef/>
        <w:tab/>
        <w:t>Das altjüdische Haus hatte ein von außen begehbares Dach (eine schöne Darstellung findet sich im Kregel Pictorial Guide to Everyday Life in Bible Times), das man vor allem in der Freizeit benutzte (z.B. um zu schlafen). Für die LF würde ich »Dachterrasse« vorschlagen (so auch NeÜ; ähnlich KAM: »Terrasse«. Gut auch KNO: »Flachdach«)</w:t>
      </w:r>
    </w:p>
  </w:footnote>
  <w:footnote w:id="2015">
    <w:p>
      <w:pPr>
        <w:pStyle w:val="Funote"/>
        <w:rPr/>
      </w:pPr>
      <w:r>
        <w:rPr/>
        <w:footnoteRef/>
        <w:tab/>
        <w:t xml:space="preserve">nicht hinabsteigen, um hineinzugehen vs. weder herabsteigen noch hineingehen - Natürlich muss der auf dem Dach hinabsteigen, um in die Berge fliehen können; </w:t>
      </w:r>
      <w:r>
        <w:rPr>
          <w:lang w:val="el-GR"/>
        </w:rPr>
        <w:t>μηδὲ</w:t>
      </w:r>
      <w:r>
        <w:rPr/>
        <w:t xml:space="preserve"> hat daher hier negative finale Bedeutung (vgl. Smyth 2193b). Die Satzstruktur lässt sich nicht in die LF übernehmen, man muss zu etwas greifen wie »Wer auf dem Dach ist, soll sich nicht erst noch hinuntersteigen, um ins Haus gehen, um sich etwas zu holen«</w:t>
      </w:r>
    </w:p>
  </w:footnote>
  <w:footnote w:id="2016">
    <w:p>
      <w:pPr>
        <w:pStyle w:val="Funote"/>
        <w:rPr/>
      </w:pPr>
      <w:r>
        <w:rPr/>
        <w:footnoteRef/>
        <w:tab/>
        <w:t>W. soll sich nicht zurückwenden nach zurück; gemeint ist sicher »nach Hause zurückkehren«.</w:t>
      </w:r>
    </w:p>
  </w:footnote>
  <w:footnote w:id="2017">
    <w:p>
      <w:pPr>
        <w:pStyle w:val="Funote"/>
        <w:rPr/>
      </w:pPr>
      <w:r>
        <w:rPr/>
        <w:footnoteRef/>
        <w:tab/>
        <w:t>Wehe denen: Gattungstypische Einleitung eines apokalyptischen Klagerufs (vgl. z.B. Offb 18,16.19); das Schicksal der »schwächsten Glieder der Fluchtgeneration« (Ernst 1963, S. 381) - der Schwangeren und Stillenden - wird in Form einer Weheruf-parenthese beklagt. Das beste Äquivalent wäre eine Übertragung ähnlich der von BB (»Wie schrecklich wird diese Zeit für die Frauen sein, die gerade ein Kind erwarten oder stillen!«) und NGÜ (»Wie schwer werden es die Frauen haben, ...!«).</w:t>
      </w:r>
    </w:p>
  </w:footnote>
  <w:footnote w:id="2018">
    <w:p>
      <w:pPr>
        <w:pStyle w:val="Funote"/>
        <w:rPr/>
      </w:pPr>
      <w:r>
        <w:rPr/>
        <w:footnoteRef/>
        <w:tab/>
        <w:t>in jenen Tagen: Stereotype alttestamentliche Phrase, die häufig in eschatologischen Kontexten verwendet wird; s. z.B. Jer 3,16.18; 31,29; 33,15f.; Joel 3,1; Sach 8,23 u.ö.</w:t>
      </w:r>
    </w:p>
  </w:footnote>
  <w:footnote w:id="2019">
    <w:p>
      <w:pPr>
        <w:pStyle w:val="Funote"/>
        <w:rPr/>
      </w:pPr>
      <w:r>
        <w:rPr/>
        <w:footnoteRef/>
        <w:tab/>
        <w:t xml:space="preserve">Der Verweis auf den Winter wird meist darauf bezogen, dass der Winter in Palästina die Regenzeit ist und starke Regenfälle die Flucht erschweren. Vielleicht liegt aber wirklich (auch) die Kälte im Fokus: Israel liegt zwar hauptsächlich in einer subtropischen Klimazone, aber in höher gelegenen Regionen - zu denen auch Jerusalem und natürlich erst recht die Berge gehören - kann es winters durchaus so kalt werden, dass es zu Schneefällen kommen kann. Das würde auch erklären, warum V. 16 die Rede vom Mantel ist; vielleicht sollte man daher das </w:t>
      </w:r>
      <w:r>
        <w:rPr>
          <w:lang w:val="el-GR"/>
        </w:rPr>
        <w:t>δὲ</w:t>
      </w:r>
      <w:r>
        <w:rPr/>
        <w:t xml:space="preserve"> besser als kausales </w:t>
      </w:r>
      <w:r>
        <w:rPr>
          <w:lang w:val="el-GR"/>
        </w:rPr>
        <w:t>δὲ</w:t>
      </w:r>
      <w:r>
        <w:rPr/>
        <w:t xml:space="preserve"> deuten: Darum betet, dass es nicht winters geschieht!</w:t>
      </w:r>
    </w:p>
  </w:footnote>
  <w:footnote w:id="2020">
    <w:p>
      <w:pPr>
        <w:pStyle w:val="Funote"/>
        <w:rPr/>
      </w:pPr>
      <w:r>
        <w:rPr/>
        <w:footnoteRef/>
        <w:tab/>
        <w:t xml:space="preserve">redundanter Relativsatz. Kein Semitismus oder Septuagintismus (gegen Cranfield 1959, S. 404); die Konstruktion kennt man auch sonst im Griechischen (vgl. z.B. Chariton, Chaireas und Kallirhoe 7,2,4 </w:t>
      </w:r>
      <w:r>
        <w:rPr>
          <w:lang w:val="el-GR"/>
        </w:rPr>
        <w:t>τῆς Ἀθηναίων δυστυχίας, ἣν ἐδυστύχησαν ἐν τῷ πολέμῳ τῷ Σικελικῷ</w:t>
      </w:r>
      <w:r>
        <w:rPr/>
        <w:t xml:space="preserve"> das Leid der Athener, an dem sie litten im sizilischen Krieg); vgl. auch Kleist 1937, S. 143f. »Redundant« ist eigentlich ungenau; die Konstruktion dient dazu, das durch den Relativsatz modifizierte Satzglied zu spezifizieren; bei Chariton also etwa Der Athener Leid während dem sizilischen Krieg; Mk 13,19 seit Beginn von Gottes Schöpfung; Mk 13,20 um seiner/der von ihm Auserwählten willen.</w:t>
      </w:r>
    </w:p>
  </w:footnote>
  <w:footnote w:id="2021">
    <w:p>
      <w:pPr>
        <w:pStyle w:val="Funote"/>
        <w:rPr/>
      </w:pPr>
      <w:r>
        <w:rPr>
          <w:lang w:val="el-GR"/>
        </w:rPr>
        <w:footnoteRef/>
        <w:tab/>
        <w:t>οὐ μὴ</w:t>
      </w:r>
      <w:r>
        <w:rPr/>
        <w:t xml:space="preserve"> + Aorist Konjunktiv: stärkstmögliche griechische Konstruktion zur Negierung eines zukünftigen Geschehnisses; vgl. Wallace, S. 468. Der Vers verdichtet den Topos des Nochniedagewesenen (Pesch 1977, S. 293); vielleicht sollte man in der LF statt zu einer wörtlichen Üs. besser zu einem Äquivalent greifen wie »eine solche Drangsal, wie sie noch nie geschehen ist - früher nicht, heute nicht und nimmermehr!« oder einfach »eine Drangsal, wie sie die Welt noch nie gesehen hat.«</w:t>
      </w:r>
    </w:p>
  </w:footnote>
  <w:footnote w:id="2022">
    <w:p>
      <w:pPr>
        <w:pStyle w:val="Funote"/>
        <w:rPr/>
      </w:pPr>
      <w:r>
        <w:rPr/>
        <w:footnoteRef/>
        <w:tab/>
        <w:t>zum Motiv der verkürzten Zeit vgl. Ernst 1963, S. 381f.: »Die Verkürzung der Zeit ist ein bekanntes Motiv (vgl. 4Esra 4,26; 2Bar 20,1; 1Hen 80,2; Barn 4,3), dessen Wurzeln im Geschichtsverständnis der Apokalyptik liegen. Der Herr hat den Ablauf in einem Plan festgelegt. Auch die Drangsale der Endzeit unterliegen dem unausweichlichen »es muß geschehen«; der Geschichtsdeterminismus ist freilich durch die Rückführung auf den Willen Gottes, der aus Barmherzigkeit die Drangsale verkürzen kann, relativiert.«</w:t>
      </w:r>
    </w:p>
  </w:footnote>
  <w:footnote w:id="2023">
    <w:p>
      <w:pPr>
        <w:pStyle w:val="Funote"/>
        <w:rPr/>
      </w:pPr>
      <w:r>
        <w:rPr/>
        <w:footnoteRef/>
        <w:tab/>
        <w:t xml:space="preserve">W.: nicht ... jedes Fleisch; Kombination zweier Septuagintismen; vgl. Cranfield 1959, S. 404; Doudna 1961, S. 105f: nicht jeder = keiner; jedes Fleisch = jeder, also »absolut keiner«. In Mk 13 ist dies die einzige Stelle, die ich für einen eventuellen Semitismus halten würde. Dahin weist auch, dass </w:t>
      </w:r>
      <w:r>
        <w:rPr>
          <w:lang w:val="el-GR"/>
        </w:rPr>
        <w:t>κύριος</w:t>
      </w:r>
      <w:r>
        <w:rPr/>
        <w:t xml:space="preserve"> im NT nur in AT-Zitaten oder Nachahmungen des Septuaginta-Stils ohne Artikel verwendet wird; vgl. Mateos 1987, S. 287.</w:t>
      </w:r>
    </w:p>
  </w:footnote>
  <w:footnote w:id="2024">
    <w:p>
      <w:pPr>
        <w:pStyle w:val="Funote"/>
        <w:rPr/>
      </w:pPr>
      <w:r>
        <w:rPr/>
        <w:footnoteRef/>
        <w:tab/>
        <w:t xml:space="preserve">Bailey 2009, S. 360 hat die beiden Ausrufe sehr gut analysiert: Fokalisiert ist in beiden jeweils der Lokativ (Hier + dort); sie sind also konstruiert wie eine Antwort auf die unausgedrückte Frage »Wo ist der Christus?«. </w:t>
      </w:r>
      <w:r>
        <w:rPr>
          <w:lang w:val="el-GR"/>
        </w:rPr>
        <w:t>ἴδε</w:t>
      </w:r>
      <w:r>
        <w:rPr/>
        <w:t xml:space="preserve"> fungiert dabei als bloßer Fokuspartikel und sollte im Deutschen ausgespart werden. So jedenfalls wäre der Satz grammatisch zu analysieren. V. 22 macht aber deutlich, dass dieses Hier! und dort! auf die verschiedenen Pseudo-christusse verweisen soll; also sinngemäß eher »Dieser hier ist der Christus!« und »jener dort ist der Christus!«. Ich denke aber, dass das auch bei wörtlicher Übersetzung klar herauskommt.</w:t>
      </w:r>
    </w:p>
  </w:footnote>
  <w:footnote w:id="2025">
    <w:p>
      <w:pPr>
        <w:pStyle w:val="Funote"/>
        <w:rPr/>
      </w:pPr>
      <w:r>
        <w:rPr/>
        <w:footnoteRef/>
        <w:tab/>
        <w:t xml:space="preserve">Zur Bedeutung »darbieten« für </w:t>
      </w:r>
      <w:r>
        <w:rPr>
          <w:lang w:val="el-GR"/>
        </w:rPr>
        <w:t>δίδωμι</w:t>
      </w:r>
      <w:r>
        <w:rPr/>
        <w:t xml:space="preserve"> vgl. Mateos 1987, S. 288. Einige Hss haben </w:t>
      </w:r>
      <w:r>
        <w:rPr>
          <w:lang w:val="el-GR"/>
        </w:rPr>
        <w:t>ποιήσουσιν</w:t>
      </w:r>
      <w:r>
        <w:rPr/>
        <w:t xml:space="preserve"> statt </w:t>
      </w:r>
      <w:r>
        <w:rPr>
          <w:lang w:val="el-GR"/>
        </w:rPr>
        <w:t>δώσουσιν</w:t>
      </w:r>
      <w:r>
        <w:rPr/>
        <w:t xml:space="preserve">, aber die Kombination von </w:t>
      </w:r>
      <w:r>
        <w:rPr>
          <w:lang w:val="el-GR"/>
        </w:rPr>
        <w:t>σημεῖον</w:t>
      </w:r>
      <w:r>
        <w:rPr/>
        <w:t xml:space="preserve"> mit </w:t>
      </w:r>
      <w:r>
        <w:rPr>
          <w:lang w:val="el-GR"/>
        </w:rPr>
        <w:t>ποιέω</w:t>
      </w:r>
      <w:r>
        <w:rPr/>
        <w:t xml:space="preserve"> findet sich sonst nirgends in den synoptischen Evangelien (dafür häufiger in Joh); daher und wegen der weit besseren Bezeugung ist </w:t>
      </w:r>
      <w:r>
        <w:rPr>
          <w:lang w:val="el-GR"/>
        </w:rPr>
        <w:t>δώσουσιν</w:t>
      </w:r>
      <w:r>
        <w:rPr/>
        <w:t xml:space="preserve"> der Vorzug zu geben.</w:t>
      </w:r>
    </w:p>
  </w:footnote>
  <w:footnote w:id="2026">
    <w:p>
      <w:pPr>
        <w:pStyle w:val="Funote"/>
        <w:rPr/>
      </w:pPr>
      <w:r>
        <w:rPr/>
        <w:footnoteRef/>
        <w:tab/>
        <w:t xml:space="preserve">Zeichen und Wunder: pleonastischer formelhafter Ausdruck. Das Wort </w:t>
      </w:r>
      <w:r>
        <w:rPr>
          <w:lang w:val="el-GR"/>
        </w:rPr>
        <w:t>τέρας</w:t>
      </w:r>
      <w:r>
        <w:rPr/>
        <w:t xml:space="preserve"> Wunder wird von den Synoptikern einzig hier und in der Parallelstelle Mt 24,24 verwendet. Auffällig ist, dass es auch im Joh nur einmal (Joh 4,48), ebenfalls in Verbindung mit </w:t>
      </w:r>
      <w:r>
        <w:rPr>
          <w:lang w:val="el-GR"/>
        </w:rPr>
        <w:t>σημεῖον</w:t>
      </w:r>
      <w:r>
        <w:rPr/>
        <w:t xml:space="preserve"> und scheinbar ebenfalls in abwertender Weise, verwendet wird - »»Wunder« sind genau das, was man von Gott nicht erwarten darf. Die heidnischen Griechen verstanden unter </w:t>
      </w:r>
      <w:r>
        <w:rPr>
          <w:lang w:val="el-GR"/>
        </w:rPr>
        <w:t>τέρας</w:t>
      </w:r>
      <w:r>
        <w:rPr/>
        <w:t xml:space="preserve"> meist ein Staunen und Schrecken erregendes, exorbitantes Wunderzeichen, vor allem kosmischer Art [...].« (Fuller 1969, S. 23). Vielleicht kann man diese Konnotation des Exorbitanten und des Abwertenden besser übertragen durch etwas wie »Mirakel und Wunderwerke«; vielleicht sogar »Mirakel und Spektakel«, aber das geht vielleicht einen Schritt zu weit.</w:t>
      </w:r>
    </w:p>
  </w:footnote>
  <w:footnote w:id="2027">
    <w:p>
      <w:pPr>
        <w:pStyle w:val="Funote"/>
        <w:rPr/>
      </w:pPr>
      <w:r>
        <w:rPr/>
        <w:footnoteRef/>
        <w:tab/>
        <w:t xml:space="preserve">Das Verb </w:t>
      </w:r>
      <w:r>
        <w:rPr>
          <w:lang w:val="el-GR"/>
        </w:rPr>
        <w:t>ἀποπλανάω</w:t>
      </w:r>
      <w:r>
        <w:rPr/>
        <w:t xml:space="preserve"> hat hier »die Bedeutung eschatologischer Verführung« (EWNT III, S. 236)</w:t>
      </w:r>
    </w:p>
  </w:footnote>
  <w:footnote w:id="2028">
    <w:p>
      <w:pPr>
        <w:pStyle w:val="Funote"/>
        <w:rPr/>
      </w:pPr>
      <w:r>
        <w:rPr/>
        <w:footnoteRef/>
        <w:tab/>
        <w:t xml:space="preserve">Auch in V. 23 scheint </w:t>
      </w:r>
      <w:r>
        <w:rPr>
          <w:lang w:val="el-GR"/>
        </w:rPr>
        <w:t>δὲ</w:t>
      </w:r>
      <w:r>
        <w:rPr/>
        <w:t xml:space="preserve"> nur den Beginn eines neuen Satzes zu markieren. Möglich wäre aber auch dies: Der Einschub </w:t>
      </w:r>
      <w:r>
        <w:rPr>
          <w:lang w:val="el-GR"/>
        </w:rPr>
        <w:t>εἰ δυνατὸν</w:t>
      </w:r>
      <w:r>
        <w:rPr/>
        <w:t xml:space="preserve"> wenn möglich in V. 22 könnte theoretisch auch bedeuten wo/bei wem immer das möglich ist (=ihnen das gelingt); in diesem Fall würde das </w:t>
      </w:r>
      <w:r>
        <w:rPr>
          <w:lang w:val="el-GR"/>
        </w:rPr>
        <w:t>δὲ</w:t>
      </w:r>
      <w:r>
        <w:rPr/>
        <w:t xml:space="preserve"> in V. 23 die Jünger mit den Erwählten, bei denen das Irreführen gelingt, kontrastieren. Dann wäre außerdem das </w:t>
      </w:r>
      <w:r>
        <w:rPr>
          <w:lang w:val="el-GR"/>
        </w:rPr>
        <w:t>πρὸς</w:t>
      </w:r>
      <w:r>
        <w:rPr/>
        <w:t xml:space="preserve"> in V. 22 resultativ zu deuten, also etwa »falsche Christen und Propheten werden Mirakel und Spektakel veranstalten und so all jene Erwählten verführen, bei denen es ihnen gelingt. Ihr dagegen: Achtet auf euch selbst...« - So aber m.W. niemand und es ist diese Verwendung von </w:t>
      </w:r>
      <w:r>
        <w:rPr>
          <w:lang w:val="el-GR"/>
        </w:rPr>
        <w:t>εἰ</w:t>
      </w:r>
      <w:r>
        <w:rPr/>
        <w:t xml:space="preserve"> auch eher selten, daher können wir getrost bei der angegebenen Standard-übersetzung bleiben.</w:t>
      </w:r>
    </w:p>
  </w:footnote>
  <w:footnote w:id="2029">
    <w:p>
      <w:pPr>
        <w:pStyle w:val="Funote"/>
        <w:rPr/>
      </w:pPr>
      <w:r>
        <w:rPr/>
        <w:footnoteRef/>
        <w:tab/>
        <w:t xml:space="preserve">Die Bedeutung von </w:t>
      </w:r>
      <w:r>
        <w:rPr>
          <w:lang w:val="el-GR"/>
        </w:rPr>
        <w:t>πάντα</w:t>
      </w:r>
      <w:r>
        <w:rPr/>
        <w:t xml:space="preserve"> ist in der Exegese umstritten; vgl. dazu den Kommentar.</w:t>
      </w:r>
    </w:p>
  </w:footnote>
  <w:footnote w:id="2030">
    <w:p>
      <w:pPr>
        <w:pStyle w:val="Funote"/>
        <w:rPr/>
      </w:pPr>
      <w:r>
        <w:rPr/>
        <w:footnoteRef/>
        <w:tab/>
        <w:t xml:space="preserve">Die </w:t>
      </w:r>
      <w:r>
        <w:rPr>
          <w:lang w:val="el-GR"/>
        </w:rPr>
        <w:t>δυνάμεις</w:t>
      </w:r>
      <w:r>
        <w:rPr/>
        <w:t xml:space="preserve"> sind in der Bibel mythische kosmische Mächte. Wahrscheinlich ist diese Vorstellung noch ein Reflex aus der Zeit, als die Himmelskörper auch in Israel als göttlich angesehen wurden. In der nachbiblischen Zeit wurden sie als »Engel« interpretiert (bes. wichtig: Dionysius Areopagita: CH 8,1); heute stellen sie in der Engellehre sozusagen »ganz offiziell« einen der Neun Englischen Chöre: die virtutes, die dafür verantwortlich sind, in Gottes Auftrag Wunder zu wirken. Vermutlich stammt das Bild noch aus der Apokalypse-Schilderung in Jes 34,4.</w:t>
      </w:r>
    </w:p>
  </w:footnote>
  <w:footnote w:id="2031">
    <w:p>
      <w:pPr>
        <w:pStyle w:val="Funote"/>
        <w:rPr/>
      </w:pPr>
      <w:r>
        <w:rPr/>
        <w:footnoteRef/>
        <w:tab/>
        <w:t xml:space="preserve">W. werden sie sehen, aber impersonaler Plural (vgl. z.B. Martin 2009, S. 477), daher besser wird man sehen. Noch besser aber: </w:t>
      </w:r>
      <w:r>
        <w:rPr>
          <w:lang w:val="el-GR"/>
        </w:rPr>
        <w:t>ὁράω</w:t>
      </w:r>
      <w:r>
        <w:rPr/>
        <w:t xml:space="preserve"> im Medium ist ein formelhafter Offenbarungsterminus, der v.a. im Zhg. mit Christi Auferstehung verwendet wird; daher wird erscheinen. Ähnlich ist </w:t>
      </w:r>
      <w:r>
        <w:rPr>
          <w:lang w:val="el-GR"/>
        </w:rPr>
        <w:t>ἐρχόμενον</w:t>
      </w:r>
      <w:r>
        <w:rPr/>
        <w:t xml:space="preserve"> in der hierigen Verwendung ein eschatologischer Terminus (s. Mk 11,9f; 12,9; 13,35; 14,62; vgl. Kleist 1937, S. 183). Beide beziehen sich also auf die heilbringende Ankunft des Menschensohnes am Ende der Zeit; sehr gut wäre es daher, wenn das Zusammenspiel dieser beiden Vokabeln sich auch lexikalisch in der LF erkennen ließe.</w:t>
      </w:r>
    </w:p>
  </w:footnote>
  <w:footnote w:id="2032">
    <w:p>
      <w:pPr>
        <w:pStyle w:val="Funote"/>
        <w:rPr/>
      </w:pPr>
      <w:r>
        <w:rPr/>
        <w:footnoteRef/>
        <w:tab/>
        <w:t>Auch 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 Sohn in V. 32 ist sehr wahrscheinlich nur eine Kurzform von Menschensohn; vgl. z.B. Schenk 1997, S. 84</w:t>
      </w:r>
    </w:p>
  </w:footnote>
  <w:footnote w:id="2033">
    <w:p>
      <w:pPr>
        <w:pStyle w:val="Funote"/>
        <w:rPr/>
      </w:pPr>
      <w:r>
        <w:rPr/>
        <w:footnoteRef/>
        <w:tab/>
        <w:t xml:space="preserve">Im Singular (anders als im Plural, V. 25) ist die </w:t>
      </w:r>
      <w:r>
        <w:rPr>
          <w:lang w:val="el-GR"/>
        </w:rPr>
        <w:t>δύναμις</w:t>
      </w:r>
      <w:r>
        <w:rPr/>
        <w:t xml:space="preserve"> ein Attribut Gottes/Christi und bezeichnet deren (All)Macht.</w:t>
      </w:r>
    </w:p>
  </w:footnote>
  <w:footnote w:id="2034">
    <w:p>
      <w:pPr>
        <w:pStyle w:val="Funote"/>
        <w:rPr/>
      </w:pPr>
      <w:r>
        <w:rPr>
          <w:lang w:val="el-GR"/>
        </w:rPr>
        <w:footnoteRef/>
        <w:tab/>
        <w:t>δόξα</w:t>
      </w:r>
      <w:r>
        <w:rPr/>
        <w:t xml:space="preserve"> ist ein Begriff aus den Theophanietraditionen; es handelt sich um ein sichtbares Attribut des sich offenbarenden Gottes. Wo die Texte Rückschlüsse auf das Wesen der </w:t>
      </w:r>
      <w:r>
        <w:rPr>
          <w:lang w:val="el-GR"/>
        </w:rPr>
        <w:t>δόξα</w:t>
      </w:r>
      <w:r>
        <w:rPr/>
        <w:t xml:space="preserve"> zulassen, scheint man sich diese Herrlichkeit als eine Art »Lichtglanz«, »Glorie« vorstellen zu müssen (vgl. ähnlich EWNT I, S. 836). Mt 24,27 und Lk 17,24 explizieren das, indem sie die Parusie des Menschensohnes mit einem Wetterleuchten vergleichen: »Wie der Blitz [...] leuchtet, so wird es mit dem Menschensohn/der Ankunft des Menschensohns sein [...].« In V. 26 bildet es so einen Gegensatz mit der Schilderung der Finsternis in V. 25 und sollte in der LF daher besser mit etwas wie »herrlicher Lichtglanz« o.Ä. übersetzt werden.</w:t>
      </w:r>
    </w:p>
  </w:footnote>
  <w:footnote w:id="2035">
    <w:p>
      <w:pPr>
        <w:pStyle w:val="Funote"/>
        <w:rPr/>
      </w:pPr>
      <w:r>
        <w:rPr/>
        <w:footnoteRef/>
        <w:tab/>
        <w:t>zur Bedeutung »Himmelsrichtungen« vgl. EWNT I, S. 231</w:t>
      </w:r>
    </w:p>
  </w:footnote>
  <w:footnote w:id="2036">
    <w:p>
      <w:pPr>
        <w:pStyle w:val="Funote"/>
        <w:rPr/>
      </w:pPr>
      <w:r>
        <w:rPr/>
        <w:footnoteRef/>
        <w:tab/>
        <w:t>Eine schwierige Stelle. (i) Die Übersetzung im Fließtext ist die Standard-Deutung. Daneben hat (ii) Kleist 1937, S. 226 vorgeschlagen, dass es sich hier um die Konstruktion der »parallelen Orientierung« handeln könnte: Zwei zusammenhängende Ortsangaben werden mit der selben Präposition versehen, obwohl sie rein semantisch unterschiedlicher Präpositionen bedürften, also z.B. im Deutschen Ich gehe auf die Stadt auf dem Berg statt Ich gehe zur Stadt auf dem Berg und im Falle von Mk 13,27 Er wird die Auserwählten aus den vier Himmelsrichtungen am Ende der Erde sammeln zum Saum des Himmels. Diese Konstruktion gibt es wohl wirklich, obwohl ws. nicht alle von Kleist gelisteten Stellen derart zu analysieren sind (neben Mk 13,27 nennt er: Mk 1,28.38.39; 5,1.19; 6,45.51.56; 9,43; 11,1.11; 12,2; 14,3.9), aber in diesem Fall sollte man besser Schweizer folgen: (iii) Schweizer 1998, S. 150f erklärt die Formulierung vom Rand der Erde bis zum Rand des Himmels als »eine etwas unlogische Vermischung der beiden Bilder »von einem Rand des Himmels bis zum andern« (Dtn 30,4 LXX, wo vom Sammeln der versprengten Israeliten die Rede ist) und »von einem Rand der Erde bis zum anderen« (Dtn 13,8).«; sie ist dann als ein etwas schräger Ausdruck für »auf der ganzen Erde« aufzufassen. Mt 24,31 hat das geglättet; bei ihm heißt es nur noch wie in Dtn 30,4 »von einem Ende des Himmels bis zum andern«. V. 27 ist dann pleonastisch; aus den vier Himmelsrichtungen und auf der ganzen Erde beziehen sich beide darauf, dass der Menschensohn seine Auserwählten von überall her zusammensammeln wird. Zur Vorstellung vgl. noch Tg Ps-Jon Dt 30,4: »Wenn eure Zerstreuten wären an den Enden des Himmels, so wird euch von dort der Memra Jahves eures Gottes zusammenbringen durch Elias, den Hohenpriester, und euch von dort heranholen durch den König, den Messias.« (vgl. B/S IV/2. S. 797)</w:t>
      </w:r>
    </w:p>
  </w:footnote>
  <w:footnote w:id="2037">
    <w:p>
      <w:pPr>
        <w:pStyle w:val="Funote"/>
        <w:rPr/>
      </w:pPr>
      <w:r>
        <w:rPr/>
        <w:footnoteRef/>
        <w:tab/>
        <w:t xml:space="preserve">zu </w:t>
      </w:r>
      <w:r>
        <w:rPr>
          <w:lang w:val="el-GR"/>
        </w:rPr>
        <w:t>Ἀπὸ</w:t>
      </w:r>
      <w:r>
        <w:rPr/>
        <w:t xml:space="preserve"> i.S.v. über vgl. LSJ (Bed. A7)</w:t>
      </w:r>
    </w:p>
  </w:footnote>
  <w:footnote w:id="2038">
    <w:p>
      <w:pPr>
        <w:pStyle w:val="Funote"/>
        <w:rPr/>
      </w:pPr>
      <w:r>
        <w:rPr/>
        <w:footnoteRef/>
        <w:tab/>
        <w:t xml:space="preserve">zu </w:t>
      </w:r>
      <w:r>
        <w:rPr>
          <w:lang w:val="el-GR"/>
        </w:rPr>
        <w:t>ὅταν ἤδη</w:t>
      </w:r>
      <w:r>
        <w:rPr/>
        <w:t xml:space="preserve"> i.S.v. sobald vgl. ad loc. Grosvenor/Zerwick.</w:t>
      </w:r>
    </w:p>
  </w:footnote>
  <w:footnote w:id="2039">
    <w:p>
      <w:pPr>
        <w:pStyle w:val="Funote"/>
        <w:rPr/>
      </w:pPr>
      <w:r>
        <w:rPr/>
        <w:footnoteRef/>
        <w:tab/>
        <w:t>W. sein Zweig; kollektiver Singular</w:t>
      </w:r>
    </w:p>
  </w:footnote>
  <w:footnote w:id="2040">
    <w:p>
      <w:pPr>
        <w:pStyle w:val="Funote"/>
        <w:rPr/>
      </w:pPr>
      <w:r>
        <w:rPr/>
        <w:footnoteRef/>
        <w:tab/>
        <w:t>sicher i.S.v. Wenn der Saft in die Zweige steigt (so z.B. GN, NGÜ). Sehr schön BB: Wenn seine Zweige frisch austreiben und Blätter bekommen.</w:t>
      </w:r>
    </w:p>
  </w:footnote>
  <w:footnote w:id="2041">
    <w:p>
      <w:pPr>
        <w:pStyle w:val="Funote"/>
        <w:rPr/>
      </w:pPr>
      <w:r>
        <w:rPr/>
        <w:footnoteRef/>
        <w:tab/>
        <w:t>Zum Gleichnis vgl. den Kommentar</w:t>
      </w:r>
    </w:p>
  </w:footnote>
  <w:footnote w:id="2042">
    <w:p>
      <w:pPr>
        <w:pStyle w:val="Funote"/>
        <w:rPr/>
      </w:pPr>
      <w:r>
        <w:rPr>
          <w:lang w:val="el-GR"/>
        </w:rPr>
        <w:footnoteRef/>
        <w:tab/>
        <w:t>θύραις</w:t>
      </w:r>
      <w:r>
        <w:rPr/>
        <w:t xml:space="preserve"> Dativ Plural kann auch für die einzelne Tür verwendet werden. Wer sich für »die Tür« entscheidet lässt den Hörer/Leser eher an die Tür eines Hauses denken. Wird der Plural verwendet, wird das Bild von »Stadttoren« wachgerufen. Deshalb dann besser »vor den Toren«.</w:t>
      </w:r>
    </w:p>
  </w:footnote>
  <w:footnote w:id="2043">
    <w:p>
      <w:pPr>
        <w:pStyle w:val="Funote"/>
        <w:rPr/>
      </w:pPr>
      <w:r>
        <w:rPr/>
        <w:footnoteRef/>
        <w:tab/>
        <w:t>Dieses Geschlecht wird nicht vergehen heißt höchstwahrscheinlich, dass noch zu Lebzeiten der Zeitgenossen Jesu das Eschaton eintreten wird (s. den Kommentar). Diese mit diesem Begriff bezeichneten Zeitgenossen werden im Mk stets negativ beurteilt (so auch Dschulnigg 2007, S. 348; Gnilka 1978, S. 206; Schenke 2005, S. 299); wahrscheinlich wird man daher V. 30 als Drohwort auffassen müssen (vgl. bes. Mk 8,38). Das Amen, ich sage euch (-&gt;°Amen°) hätte dann hier eine ähnliche Funktion wie im Deutschen ein Drohungen einleitendes »Ich verspreche dir,...«, »ich sag's dir,...«.</w:t>
      </w:r>
    </w:p>
  </w:footnote>
  <w:footnote w:id="2044">
    <w:p>
      <w:pPr>
        <w:pStyle w:val="Funote"/>
        <w:rPr/>
      </w:pPr>
      <w:r>
        <w:rPr/>
        <w:footnoteRef/>
        <w:tab/>
        <w:t xml:space="preserve">Die Bedeutung von </w:t>
      </w:r>
      <w:r>
        <w:rPr>
          <w:lang w:val="el-GR"/>
        </w:rPr>
        <w:t>ταῦτα πάντα</w:t>
      </w:r>
      <w:r>
        <w:rPr/>
        <w:t xml:space="preserve"> dies alles ist in der Exegese umstritten; vgl. dazu den Kommentar</w:t>
      </w:r>
    </w:p>
  </w:footnote>
  <w:footnote w:id="2045">
    <w:p>
      <w:pPr>
        <w:pStyle w:val="Funote"/>
        <w:rPr/>
      </w:pPr>
      <w:r>
        <w:rPr/>
        <w:footnoteRef/>
        <w:tab/>
        <w:t>Kleist 1937, S. 226 kommentiert wunderbar diesen Vers, indem er seiner Unsicherheit sehr ehrlich Ausdruck verleiht: »Werden oder würden vergehen? Werden Himmel und Erde tatsächlich vergehen? Oder vielleicht in diesem Sinn: »Selbst wenn Himmel und Erde (von denen man ja eigentlich meinen würde, dass sie unzerstörbar sind) vergehen würde, würden meine Worte nicht vergehen; d.h. sich nicht als falsch erweisen«?«Das ist eine schöne Deutung, aber nicht nötig: Die Vorstellung, dass am Ende der Zeit Himmel und Erde vergehen würden, ist ein häufigerer Topos in der Bibel; vg. TRE 30, S. 290: »Die alttestamentlich-apokalyptische Tradition des Untergangs von Sonne, Mond, Sternen, Himmel und Erde fand in den Gerichtsszenen im Neuen Testament (vgl. Mk 13,24-26; Apg 6,12-17; Heb 12,26f. [...]) Wiederhall. [...] Am Tag des Herrn vergehen Himmel, Erde und Grundelemente in einem kosmischen Weltenbrand (vgl. 2Pet 3,10-13). Obwohl die Schöpfung, Himmel und Erde (vgl. Lk 16,17 [Q]; Mk 13,31), diese Welt (vgl. 1Kor 7,31b; 1Joh 2,17) vergehen werden, wäre das aber nicht das Ende.«</w:t>
      </w:r>
    </w:p>
  </w:footnote>
  <w:footnote w:id="2046">
    <w:p>
      <w:pPr>
        <w:pStyle w:val="Funote"/>
        <w:rPr/>
      </w:pPr>
      <w:r>
        <w:rPr/>
        <w:footnoteRef/>
        <w:tab/>
        <w:t xml:space="preserve">Die Formulierung </w:t>
      </w:r>
      <w:r>
        <w:rPr>
          <w:lang w:val="el-GR"/>
        </w:rPr>
        <w:t>Περὶ τῆς ἡμέρας ἐκείνης</w:t>
      </w:r>
      <w:r>
        <w:rPr/>
        <w:t xml:space="preserve"> über jenen Tag (</w:t>
      </w:r>
      <w:r>
        <w:rPr>
          <w:lang w:val="el-GR"/>
        </w:rPr>
        <w:t>περί</w:t>
      </w:r>
      <w:r>
        <w:rPr/>
        <w:t xml:space="preserve"> + Genitiv = über) klingt so, als wollte Jesus sagen, dass niemand etwas über die Geschehnisse am Ende der Zeit weiß - was aber keinen Sinn macht, da er ja selbst gerade lang und breit die Geschehnisse am Ende der Zeit referiert hat. Es muss daher gedeutet werden als Den Tag oder die Stunde kennt niemand, also den genauen Zeitpunkt allerdings kennt niemand. Vgl. ähnlich Schenke 2005, S. 299: »Antithetisch schließt 13,32 die Terminfrage ab: Über das hinaus, was Jesus angekündigt hat, kann niemand etwas zum Termin der Vollendung sagen. Sie wird sicher und noch vor dem Vergehen dieser Generation kommen, doch den genauen Tag oder gar die Stunde kennt außer Gott niemand, und Gott bewahrt ihn bei sich.« Das Motiv der Unbekanntheit des genauen Zeitpunktes findet sich auch in 2Bar 21,8 (»[Gott], der du [...] ganz allein der Zeiten Schluß vor seiner Ankunft kennst [...]« (Rießler)) (vgl. Gnilka 1978, S. 207). Vgl. noch V. 33.</w:t>
      </w:r>
    </w:p>
  </w:footnote>
  <w:footnote w:id="2047">
    <w:p>
      <w:pPr>
        <w:pStyle w:val="Funote"/>
        <w:rPr/>
      </w:pPr>
      <w:r>
        <w:rPr/>
        <w:footnoteRef/>
        <w:tab/>
        <w:t xml:space="preserve">Sowohl das hebräische </w:t>
      </w:r>
      <w:r>
        <w:rPr>
          <w:rtl w:val="true"/>
          <w:lang w:bidi="he-IL"/>
        </w:rPr>
        <w:t>מַלְאָך</w:t>
      </w:r>
      <w:r>
        <w:rPr/>
        <w:t xml:space="preserve"> </w:t>
      </w:r>
      <w:r>
        <w:rPr/>
        <w:t xml:space="preserve">als auch das griechische </w:t>
      </w:r>
      <w:r>
        <w:rPr>
          <w:lang w:val="el-GR"/>
        </w:rPr>
        <w:t>ἄγγελος</w:t>
      </w:r>
      <w:r>
        <w:rPr/>
        <w:t xml:space="preserve"> heißt ursprünglich nur »Bote«, wird aber in der Bibel eher selten von menschlichen Boten verwendet, sondern meist von himmlischen Geistwesen, für die sich im Deutschen die Bezeichnung »Engel« eingebürgert hat. Da sie hier durch »im Himmel« spezifiziert werden, ist klar, dass dass es sich um letztere handelt. Auch das Motiv des Nichtwissens der Engel findet sich häufiger; vgl. 1Pet 1,12; Eph 3,10; 4Esra 4,52 (»Er (=der Engel) sprach zu mir: / Zum Teil kann ich die Zeichen dir vermelden, / wonach du fragst. / Doch ward ich nicht gesandt, / von deiner Lebensdauer etwas dir zu sagen. / Ich weiß es selber nicht.« (Rießler)); vgl. Gnilka 1978, S. 207.</w:t>
      </w:r>
    </w:p>
  </w:footnote>
  <w:footnote w:id="2048">
    <w:p>
      <w:pPr>
        <w:pStyle w:val="Funote"/>
        <w:rPr/>
      </w:pPr>
      <w:r>
        <w:rPr/>
        <w:footnoteRef/>
        <w:tab/>
        <w:t>vgl. Kleist 1937, S. 226: »</w:t>
      </w:r>
      <w:r>
        <w:rPr>
          <w:lang w:val="el-GR"/>
        </w:rPr>
        <w:t>ὡς ἄνθρωπος</w:t>
      </w:r>
      <w:r>
        <w:rPr/>
        <w:t xml:space="preserve">: brachylogical; »it is as when...««. Vielleicht aber besser: Vv. 34f. sind ein °Gleichnis°; V. 34 ist dabei die Bild-, V. 35 die Sachhälfte. Vielleicht könnte man daher das </w:t>
      </w:r>
      <w:r>
        <w:rPr>
          <w:lang w:val="el-GR"/>
        </w:rPr>
        <w:t>ὡς ... οὖν</w:t>
      </w:r>
      <w:r>
        <w:rPr/>
        <w:t xml:space="preserve"> auch deuten als Versprachlichung der Relation von Bild- und Sachhälfte: So wie..., so (vgl. Louw/Nida 89.50 zu </w:t>
      </w:r>
      <w:r>
        <w:rPr>
          <w:lang w:val="el-GR"/>
        </w:rPr>
        <w:t>οὖν</w:t>
      </w:r>
      <w:r>
        <w:rPr/>
        <w:t xml:space="preserve">: »Resultats-marker; impliziert häufig die Konklusion einer Argumentation« (meine Übersetzung)). Dann also: Ebenso, wie wenn ein Mann auf Reisen geht ... und dem Torhüter aufträgt, wachsam zu sein, so sollt auch ihr wachsam sein .... Bisher habe ich aber kein gute Beispiel für ein derart verwendetes </w:t>
      </w:r>
      <w:r>
        <w:rPr>
          <w:lang w:val="el-GR"/>
        </w:rPr>
        <w:t>οὖν</w:t>
      </w:r>
      <w:r>
        <w:rPr/>
        <w:t xml:space="preserve"> gefunden, daher wird man wohl der Lösung von Kleist den Vorzug geben müssen.</w:t>
      </w:r>
    </w:p>
  </w:footnote>
  <w:footnote w:id="2049">
    <w:p>
      <w:pPr>
        <w:pStyle w:val="Funote"/>
        <w:rPr/>
      </w:pPr>
      <w:r>
        <w:rPr/>
        <w:footnoteRef/>
        <w:tab/>
        <w:t>meist: »Vollmacht«; es ist aber zweifellos gemeint, dass jedem Knecht eine bestimmte Tätigkeit zugewiesen wird (so wird es ja im nächsten Teilvers auch näher spezifiziert). Verantwortung nach Muraoka, S.255 (»authoritative responsibility«); so gut auch BB, EÜ, GN, NeÜ, NGÜ, Zink: »Verantwortung übertragen«</w:t>
      </w:r>
    </w:p>
  </w:footnote>
  <w:footnote w:id="2050">
    <w:p>
      <w:pPr>
        <w:pStyle w:val="Funote"/>
        <w:rPr/>
      </w:pPr>
      <w:r>
        <w:rPr/>
        <w:footnoteRef/>
        <w:tab/>
        <w:t>adverbiale Partizipien aufgelöst als temporale Nebensätze. So löst auch Kleist 1937 auf und so ist es viel sinnvoller; denn der Fokus liegt bei dem Gleichnis ja nicht darauf, dass der Hausherr seinen Dienern Tätigkeiten zuweist und unter anderem auch dem Torhüter die Tätigkeit des Wachehaltens; sondern allein die Tätigkeit des Wachehaltens steht im Fokus. Diese Auflösung entbindet auch von der Notwendigkeit, das Gleichnis für eine nicht gelungene Verschmelzung zweier verschiedener Quellen zu erklären, wie z.B. Weder 1978, S. 163 das tut.</w:t>
      </w:r>
    </w:p>
  </w:footnote>
  <w:footnote w:id="2051">
    <w:p>
      <w:pPr>
        <w:pStyle w:val="Funote"/>
        <w:rPr/>
      </w:pPr>
      <w:r>
        <w:rPr/>
        <w:footnoteRef/>
        <w:tab/>
        <w:t xml:space="preserve">partikularisierendes </w:t>
      </w:r>
      <w:r>
        <w:rPr>
          <w:lang w:val="el-GR"/>
        </w:rPr>
        <w:t>καὶ</w:t>
      </w:r>
      <w:r>
        <w:rPr/>
        <w:t>: Der Torhüter ist bereits in seinen Knechten inkludiert; nun wird noch einmal gesondert auf den Torhüter Bezug genommen</w:t>
      </w:r>
    </w:p>
  </w:footnote>
  <w:footnote w:id="2052">
    <w:p>
      <w:pPr>
        <w:pStyle w:val="Funote"/>
        <w:rPr/>
      </w:pPr>
      <w:r>
        <w:rPr/>
        <w:footnoteRef/>
        <w:tab/>
        <w:t>Das altjüdische Haus gehörte i.d.R. zu einem ummauerten Häuserverbund mit gemeinschaftlichen Innenhof, dessen vorderer Teil an die Straße reichte. Viele solcher Häuserverbünde hatten hier einen Torhüter postiert; größere und vornehmere Häuserverbünde sogar ein extra Torhäuschen. vgl. z.B. B/S ad loc.</w:t>
      </w:r>
    </w:p>
  </w:footnote>
  <w:footnote w:id="2053">
    <w:p>
      <w:pPr>
        <w:pStyle w:val="Funote"/>
        <w:rPr/>
      </w:pPr>
      <w:r>
        <w:rPr/>
        <w:footnoteRef/>
        <w:tab/>
        <w:t>Der Satz ist spannend, denn er steht sowohl auf der Bildseite als auch auf der Sachseite des Gleichnisses (-&gt;°Gleichnis°) und bezieht sich sowohl auf die Rückkehr des Hausherrn als auch als die eschatologisch zu verstehende (vgl. Fußnote bg) Wiederkunft des Herrn, also des Menschensohnes.</w:t>
      </w:r>
    </w:p>
  </w:footnote>
  <w:footnote w:id="2054">
    <w:p>
      <w:pPr>
        <w:pStyle w:val="Funote"/>
        <w:rPr/>
      </w:pPr>
      <w:r>
        <w:rPr/>
        <w:footnoteRef/>
        <w:tab/>
        <w:t>Abend, Mitternacht, Hahnenschrei und Morgengrauen sind die vier Nachtwachenzeiten der Römer (vgl. Thüsing 2011, S. 115); die Zeitangaben passen also ausgesprochen gut zur Aufgabe des Wache-haltens eines Torwächters.</w:t>
      </w:r>
    </w:p>
  </w:footnote>
  <w:footnote w:id="2055">
    <w:p>
      <w:pPr>
        <w:pStyle w:val="Funote"/>
        <w:rPr/>
      </w:pPr>
      <w:r>
        <w:rPr/>
        <w:footnoteRef/>
        <w:tab/>
        <w:t>sehr gut GN: »Was ich euch gesagt habe, gilt für alle«.</w:t>
      </w:r>
    </w:p>
  </w:footnote>
  <w:footnote w:id="2056">
    <w:p>
      <w:pPr>
        <w:pStyle w:val="Funote"/>
        <w:rPr/>
      </w:pPr>
      <w:r>
        <w:rPr/>
        <w:footnoteRef/>
        <w:tab/>
        <w:t>[Status: Zuverlässig]</w:t>
      </w:r>
    </w:p>
  </w:footnote>
  <w:footnote w:id="2057">
    <w:p>
      <w:pPr>
        <w:pStyle w:val="Funote"/>
        <w:rPr/>
      </w:pPr>
      <w:r>
        <w:rPr/>
        <w:footnoteRef/>
        <w:tab/>
        <w:t>Gen. abs., temporal aufgelöst</w:t>
      </w:r>
    </w:p>
  </w:footnote>
  <w:footnote w:id="2058">
    <w:p>
      <w:pPr>
        <w:pStyle w:val="Funote"/>
        <w:rPr/>
      </w:pPr>
      <w:r>
        <w:rPr/>
        <w:footnoteRef/>
        <w:tab/>
        <w:t>Bezeichnung der Mutter nach dem Sohn: BDR § 162,3</w:t>
      </w:r>
    </w:p>
  </w:footnote>
  <w:footnote w:id="2059">
    <w:p>
      <w:pPr>
        <w:pStyle w:val="Funote"/>
        <w:rPr/>
      </w:pPr>
      <w:r>
        <w:rPr/>
        <w:footnoteRef/>
        <w:tab/>
        <w:t>Die Salbung der Toten geschah mit Öl; Aromata wurden nur für die Salbung von Königen verwendet. Bei den Aromata handelt es sich um seltene, wohlriechende pflanzliche Essenzen. Ziel der Salbung ist die Erhaltung des Leichnams - diese Absicht bildet an dieser Stelle einen (gewollten) Kontrast. „Es scheint die Frauen nicht zu stören, dass die Salbung einer bereits eingewickelten Leiche ‚ein kühner Gedanke‘ (Wellhausen) ist“ (Gnilka 1979, 340).</w:t>
      </w:r>
    </w:p>
  </w:footnote>
  <w:footnote w:id="2060">
    <w:p>
      <w:pPr>
        <w:pStyle w:val="Funote"/>
        <w:rPr/>
      </w:pPr>
      <w:r>
        <w:rPr>
          <w:lang w:val="el-GR"/>
        </w:rPr>
        <w:footnoteRef/>
        <w:tab/>
        <w:t>μιᾴ</w:t>
      </w:r>
      <w:r>
        <w:rPr/>
        <w:t xml:space="preserve"> zur Angabe eines bestimmten Tages steht der einfache Dativ, BDR § 200, Anm. 4. Der erste Tag der Woche wird durch </w:t>
      </w:r>
      <w:r>
        <w:rPr>
          <w:lang w:val="el-GR"/>
        </w:rPr>
        <w:t>μιᾷ</w:t>
      </w:r>
      <w:r>
        <w:rPr/>
        <w:t xml:space="preserve"> bezeichnet; </w:t>
      </w:r>
      <w:r>
        <w:rPr>
          <w:lang w:val="el-GR"/>
        </w:rPr>
        <w:t>μιᾷ τῶν σαββάτων</w:t>
      </w:r>
      <w:r>
        <w:rPr/>
        <w:t xml:space="preserve"> = am Sonntag. Vorbild war das Hebräische, das die Wochentage durch Kardinalzahlen statt durch Ordinalzahlen bezeichnet, BDR § 247,1; B/S I, S. 1052-1054; Markus kannte aber noch keinen „Sonntag“, (Gnilka 1979, 341), daher als Übersetzung am besten „am ersten Tag der Woche“. Gemeint ist aber natürlich der Sonntag.</w:t>
      </w:r>
    </w:p>
  </w:footnote>
  <w:footnote w:id="2061">
    <w:p>
      <w:pPr>
        <w:pStyle w:val="Funote"/>
        <w:rPr/>
      </w:pPr>
      <w:r>
        <w:rPr/>
        <w:footnoteRef/>
        <w:tab/>
        <w:t>Gen. abs., temporal aufgelöst</w:t>
      </w:r>
    </w:p>
  </w:footnote>
  <w:footnote w:id="2062">
    <w:p>
      <w:pPr>
        <w:pStyle w:val="Funote"/>
        <w:rPr/>
      </w:pPr>
      <w:r>
        <w:rPr/>
        <w:footnoteRef/>
        <w:tab/>
        <w:t>Ptz. coni., temporal aufgelöst</w:t>
      </w:r>
    </w:p>
  </w:footnote>
  <w:footnote w:id="2063">
    <w:p>
      <w:pPr>
        <w:pStyle w:val="Funote"/>
        <w:rPr/>
      </w:pPr>
      <w:r>
        <w:rPr/>
        <w:footnoteRef/>
        <w:tab/>
        <w:t>Ptz. coni., temporal aufgelöst</w:t>
      </w:r>
    </w:p>
  </w:footnote>
  <w:footnote w:id="2064">
    <w:p>
      <w:pPr>
        <w:pStyle w:val="Funote"/>
        <w:rPr/>
      </w:pPr>
      <w:r>
        <w:rPr/>
        <w:footnoteRef/>
        <w:tab/>
        <w:t>Historisches Präsens.</w:t>
      </w:r>
    </w:p>
  </w:footnote>
  <w:footnote w:id="2065">
    <w:p>
      <w:pPr>
        <w:pStyle w:val="Funote"/>
        <w:rPr/>
      </w:pPr>
      <w:r>
        <w:rPr/>
        <w:footnoteRef/>
        <w:tab/>
        <w:t>Die rechte Seite war die glückverheißende Seite (Gnilka 1979, 341).</w:t>
      </w:r>
    </w:p>
  </w:footnote>
  <w:footnote w:id="2066">
    <w:p>
      <w:pPr>
        <w:pStyle w:val="Funote"/>
        <w:rPr/>
      </w:pPr>
      <w:r>
        <w:rPr/>
        <w:footnoteRef/>
        <w:tab/>
        <w:t>Die Stola, eine lange Stoffbahn, wurde nicht angezogen, sondern umgeworfen. Aber im dt. Sprachgebrauch werfen wir keine Kleidung um, sd. eine Jacke oder ein Tuch; das ist hier aber nicht gemeint: die Stola ist die normale Bekleidung</w:t>
      </w:r>
    </w:p>
  </w:footnote>
  <w:footnote w:id="2067">
    <w:p>
      <w:pPr>
        <w:pStyle w:val="Funote"/>
        <w:rPr/>
      </w:pPr>
      <w:r>
        <w:rPr/>
        <w:footnoteRef/>
        <w:tab/>
        <w:t>Die Botschaft des Engels wird präsentisch eingeführt, um darauf hinzuweisen, dass sie das Zentrum dieser Perikope ist(Gnilka 1979, 340).</w:t>
      </w:r>
    </w:p>
  </w:footnote>
  <w:footnote w:id="2068">
    <w:p>
      <w:pPr>
        <w:pStyle w:val="Funote"/>
        <w:rPr/>
      </w:pPr>
      <w:r>
        <w:rPr/>
        <w:footnoteRef/>
        <w:tab/>
        <w:t xml:space="preserve">Das Passiv von </w:t>
      </w:r>
      <w:r>
        <w:rPr>
          <w:lang w:val="el-GR"/>
        </w:rPr>
        <w:t>ἐγείρω</w:t>
      </w:r>
      <w:r>
        <w:rPr/>
        <w:t xml:space="preserve"> bedeutet auferstehen; man kann es aber auch passiv übersetzen: wurde auferweckt, um das Handeln Gottes zu betonen, so Gnilka 1979, 342.</w:t>
      </w:r>
    </w:p>
  </w:footnote>
  <w:footnote w:id="2069">
    <w:p>
      <w:pPr>
        <w:pStyle w:val="Funote"/>
        <w:rPr/>
      </w:pPr>
      <w:r>
        <w:rPr/>
        <w:footnoteRef/>
        <w:tab/>
        <w:t>Also Jesus.</w:t>
      </w:r>
    </w:p>
  </w:footnote>
  <w:footnote w:id="2070">
    <w:p>
      <w:pPr>
        <w:pStyle w:val="Funote"/>
        <w:rPr/>
      </w:pPr>
      <w:r>
        <w:rPr/>
        <w:footnoteRef/>
        <w:tab/>
        <w:t xml:space="preserve">Man kann das </w:t>
      </w:r>
      <w:r>
        <w:rPr>
          <w:lang w:val="el-GR"/>
        </w:rPr>
        <w:t>ὅτι</w:t>
      </w:r>
      <w:r>
        <w:rPr/>
        <w:t xml:space="preserve"> auch als </w:t>
      </w:r>
      <w:r>
        <w:rPr>
          <w:lang w:val="el-GR"/>
        </w:rPr>
        <w:t>Ὅτι</w:t>
      </w:r>
      <w:r>
        <w:rPr/>
        <w:t xml:space="preserve"> recitativum auffassen, das eine wörtliche Rede einleitet und dann nicht übersetzt wird: Er geht euch voran nach Galiläa</w:t>
      </w:r>
    </w:p>
  </w:footnote>
  <w:footnote w:id="2071">
    <w:p>
      <w:pPr>
        <w:pStyle w:val="Funote"/>
        <w:rPr/>
      </w:pPr>
      <w:r>
        <w:rPr/>
        <w:footnoteRef/>
        <w:tab/>
        <w:t>Ptz. coni., beiordnend aufgelöst</w:t>
      </w:r>
    </w:p>
  </w:footnote>
  <w:footnote w:id="2072">
    <w:p>
      <w:pPr>
        <w:pStyle w:val="Funote"/>
        <w:rPr/>
      </w:pPr>
      <w:r>
        <w:rPr/>
        <w:footnoteRef/>
        <w:tab/>
        <w:t>Vgl. auch Markus 4,41; 5,15.33.42</w:t>
      </w:r>
    </w:p>
  </w:footnote>
  <w:footnote w:id="2073">
    <w:p>
      <w:pPr>
        <w:pStyle w:val="Funote"/>
        <w:rPr/>
      </w:pPr>
      <w:r>
        <w:rPr/>
        <w:footnoteRef/>
        <w:tab/>
        <w:t>oder: nämlich (dann am Schluss des Satzes: sie fürchteten sich nämlich)</w:t>
      </w:r>
    </w:p>
  </w:footnote>
  <w:footnote w:id="2074">
    <w:p>
      <w:pPr>
        <w:pStyle w:val="Funote"/>
        <w:rPr/>
      </w:pPr>
      <w:r>
        <w:rPr/>
        <w:footnoteRef/>
        <w:tab/>
        <w:t xml:space="preserve">Mit Vers 8 endet das Markusevangelium in den ältesten Quellen (4. Jh.: </w:t>
      </w:r>
      <w:r>
        <w:rPr>
          <w:rtl w:val="true"/>
          <w:lang w:bidi="he-IL"/>
        </w:rPr>
        <w:t>א</w:t>
      </w:r>
      <w:r>
        <w:rPr/>
        <w:t xml:space="preserve"> </w:t>
      </w:r>
      <w:r>
        <w:rPr/>
        <w:t>und B). Vermutlich ist das abrupte Ende Absicht, um die verstörende Unbegreiflichkeit der Auferstehung zu betonen (Collins 2007, 800) oder um den Leser durch das offene Ende in die erzählte Geschichte hineinzuziehen (Fußnote der NET-Übersetzung zu Mk 16,8). Man kann es außerdem als Aufforderung an die Leser verstehen, von Jesu Auferstehung zu erzählen. Die anderen, später geschriebenen Evangelien enthalten am Ende noch zusätzliche Erscheinungsberichte, was das Markus-Ende im Vergleich hierzu noch abrupter wirken lässt (Collins 2007, 800–801). Es entstanden darum verschiedene Fortsetzungen, die das vermeintlich fehlende Ende des Markus-Evangeliums ergänzen sollten (Fußnote der NET-Übersetzung zu Mk 16,8). Die kürzere Ergänzung lautet: „All diese Nachrichten verkündeten sie sogleich denen, die bei Petrus weilten. Sodann sandte auch Jesus selbst von Osten bis Westen durch sie die heilige und unvergängliche Botschaft der ewigen Rettung aus. Amen“. Sie findet sich in einer sehr frühen lateinische Übersetzung (4./5. Jh.: k). Ansonsten ist sie in wenigen Handschriften zusammen mit dem längeren Ende belegt. Das längere Ende, das später die Versnummern 9 bis 16 erhielt, fasst Passagen anderer Evangelien summarisch zusammen und unterscheidet sich dabei sprachlich vom Rest der Evangeliums (Fußnote der NET-Übersetzung zu Mk 16,8). Es ist ab dem 5. Jh. (A, C und D) sowie in den meisten späten Handschriften belegt. Oft ist es durch einen kurzen Hinweistext oder durch textkritische Zeichen als unsicher markiert. Dass die sehr frühen Handschriften fast alle nach Vers 8 aufhörten, lässt sich auch durch Aussagen von Eusebius (3./4. Jh.) und Hieronymus (4./5. Jh.) belegen. Es wird in der wissenschaftlichen Literatur gelegentlich überlegt, ob nach Vers 8 vielleicht ursprünglich ein anderes Ende folgte, dass bereits sehr früh verloren ging. Dagegen spricht, dass das Evangelium im 1. Jh. wohl auf einer Schriftrolle und nicht auf Einzelblättern geschrieben wurde (Fußnote der NET-Übersetzung zu Mk 16,8).</w:t>
      </w:r>
    </w:p>
  </w:footnote>
  <w:footnote w:id="2075">
    <w:p>
      <w:pPr>
        <w:pStyle w:val="Funote"/>
        <w:rPr/>
      </w:pPr>
      <w:r>
        <w:rPr/>
        <w:footnoteRef/>
        <w:tab/>
        <w:t>Partizip aufgelöst</w:t>
      </w:r>
    </w:p>
  </w:footnote>
  <w:footnote w:id="2076">
    <w:p>
      <w:pPr>
        <w:pStyle w:val="Funote"/>
        <w:rPr/>
      </w:pPr>
      <w:r>
        <w:rPr/>
        <w:footnoteRef/>
        <w:tab/>
        <w:t>Nach griechischer Tischsitte war es üblich, beim Essen zu liegen.</w:t>
      </w:r>
    </w:p>
  </w:footnote>
  <w:footnote w:id="2077">
    <w:p>
      <w:pPr>
        <w:pStyle w:val="Funote"/>
        <w:rPr/>
      </w:pPr>
      <w:r>
        <w:rPr/>
        <w:footnoteRef/>
        <w:tab/>
        <w:t>Generisches Maskulinum</w:t>
      </w:r>
    </w:p>
  </w:footnote>
  <w:footnote w:id="2078">
    <w:p>
      <w:pPr>
        <w:pStyle w:val="Funote"/>
        <w:rPr/>
      </w:pPr>
      <w:r>
        <w:rPr/>
        <w:footnoteRef/>
        <w:tab/>
        <w:t>Viele Handschriften haben zusätzlich die Worte »Und mit ihren Händen …«.</w:t>
      </w:r>
    </w:p>
  </w:footnote>
  <w:footnote w:id="2079">
    <w:p>
      <w:pPr>
        <w:pStyle w:val="Funote"/>
        <w:rPr/>
      </w:pPr>
      <w:r>
        <w:rPr/>
        <w:footnoteRef/>
        <w:tab/>
        <w:t>Absoluter Genitiv</w:t>
      </w:r>
    </w:p>
  </w:footnote>
  <w:footnote w:id="2080">
    <w:p>
      <w:pPr>
        <w:pStyle w:val="Funote"/>
        <w:rPr/>
      </w:pPr>
      <w:r>
        <w:rPr/>
        <w:footnoteRef/>
        <w:tab/>
        <w:t>[Status: Zuverlässig]</w:t>
      </w:r>
    </w:p>
  </w:footnote>
  <w:footnote w:id="2081">
    <w:p>
      <w:pPr>
        <w:pStyle w:val="Funote"/>
        <w:rPr/>
      </w:pPr>
      <w:r>
        <w:rPr/>
        <w:footnoteRef/>
        <w:tab/>
        <w:t xml:space="preserve">Textkritik: Drei altlateinische Handschriften (ms. a (4. Jh.), b (5. Jh.) und 1* (7./8. Jh. - hier allerdings nachträglich wieder korrigiert zu „Maria“)) haben statt „Maria“ „Elisabeth“; zudem sprechen auch zwei Mss. von Irenäus´ „Adv. Haer.“ 4,7,1 von Elisabeth als der Sängerin des Magnifikats (aber auch hier haben die restlichen Mss. „Maria“; und selbst in diesen bessagten zwei Mss. heißt es an anderer Stelle, dass Maria die Sängerin wäre). Auch eine Origines-Übersetzung des Hieronymus ist überliefert, die erkennen lässt, dass wohl auch Origines diese Elisabeth-Variante kannte, und auch in einer Predigt von Nicetas von Remesiana findet sich diese Tradition. Diese textkritische Evidenz ist sehr gering; dennoch wird seit Loisy 1907 und Harnack 1900 immer wieder darüber diskutiert. Drei Positionen haben sich im Laufe der Zeit herauskristallisiert (vgl. die Übersicht in Metzger 109): # Der ursprüngliche Text hat „Maria“ und in einigen Handschriften wurde dies nachträglich in „Elisabeth“ geändert (In der neueren Forschung die fast ausschließlich vertretene) # Der ursprüngliche Text hat „Elisabeth“ und wurde nachträglich zu „Maria“ geändert (diese Position wird fast gar nicht vertreten) # Explizit wird im ursprünglichen Text überhaupt keine Sprecherin des Magnifikats identifiziert; ursprünglich habe dort einfach </w:t>
      </w:r>
      <w:r>
        <w:rPr>
          <w:lang w:val="el-GR"/>
        </w:rPr>
        <w:t>καῖ εἰπεν</w:t>
      </w:r>
      <w:r>
        <w:rPr/>
        <w:t xml:space="preserve"> („und sie sprach“) gestanden. Sowohl „Maria“ als auch „Elisabeth“ sind nachträgliche Hinzufügungen (so z.B. ausführlichst Benko 1967) - die Position hat aber die entscheidende Schwäche, dass keine einzige Handschrift überliefert ist, in der diese Textversion überliefert wäre. Für eine Textänderung wie in (2) oder (3) reicht die Evidenz nicht ansatzweise aus; natürlich ist Variante (1) beizubehalten.</w:t>
      </w:r>
    </w:p>
  </w:footnote>
  <w:footnote w:id="2082">
    <w:p>
      <w:pPr>
        <w:pStyle w:val="Funote"/>
        <w:rPr/>
      </w:pPr>
      <w:r>
        <w:rPr/>
        <w:footnoteRef/>
        <w:tab/>
        <w:t>Sehr gebräuchlicher Semitismus; »Seele« und »Geist« dient nur als Wechselbegriff für »ich« (vgl. Wolff 1973, S. 25f; ad. loc. auch Bovon 1989, S. 87; Culy et al. 2010, S. 42; Noland 1989) - eine hebräische Stileigentümlichkeit, die es im Deutschen nicht gibt und die daher in der LF als »ich preise« übertragen werden muss. Sehr ähnliche Stellen finden sich in der Bibel z.B. in Ps 34,3; 35,9; 103,1f.22; 104,1.35; 146,2; Tob 13,15.</w:t>
      </w:r>
    </w:p>
  </w:footnote>
  <w:footnote w:id="2083">
    <w:p>
      <w:pPr>
        <w:pStyle w:val="Funote"/>
        <w:rPr/>
      </w:pPr>
      <w:r>
        <w:rPr/>
        <w:footnoteRef/>
        <w:tab/>
        <w:t xml:space="preserve">So eine häufig gewählte und auch durchaus zulässige Übersetzung von </w:t>
      </w:r>
      <w:r>
        <w:rPr>
          <w:lang w:val="el-GR"/>
        </w:rPr>
        <w:t>μεγαλύνειν</w:t>
      </w:r>
      <w:r>
        <w:rPr/>
        <w:t xml:space="preserve"> (vgl. BA 1007; BAG 497; Gemoll 518; LSJ; Muraoka 445; Pape 108; Thayer). Sie macht aber in unserem Zusammenhang nicht viel Sinn, denn sicher will der Autor nicht sagen, dass Gottes »Groß-Sein« der Seele Mariens geschuldet wäre.</w:t>
      </w:r>
    </w:p>
  </w:footnote>
  <w:footnote w:id="2084">
    <w:p>
      <w:pPr>
        <w:pStyle w:val="Funote"/>
        <w:rPr/>
      </w:pPr>
      <w:r>
        <w:rPr/>
        <w:footnoteRef/>
        <w:tab/>
        <w:t xml:space="preserve">Vv. 46f. verdichten einen weiteren Semitismus: »X preist Y, denn Z« ist im Hebräischen eine formelhafte Wendung für »X dankt Y für Z« (vgl. Lande 1949, S. 106f). Hier lässt sich sich besonders leicht ins Deutsche übertragen: Da </w:t>
      </w:r>
      <w:r>
        <w:rPr>
          <w:lang w:val="el-GR"/>
        </w:rPr>
        <w:t>ἠγαλλίασεν</w:t>
      </w:r>
      <w:r>
        <w:rPr/>
        <w:t xml:space="preserve"> im synonymen Parallelismus zu </w:t>
      </w:r>
      <w:r>
        <w:rPr>
          <w:lang w:val="el-GR"/>
        </w:rPr>
        <w:t>μεγαλύνει</w:t>
      </w:r>
      <w:r>
        <w:rPr/>
        <w:t xml:space="preserve"> steht, kann eines der beiden Glieder ohne semantische Einbußen problemlos durch »danken« ersetzt werden. Übersetze: »Ich preise den Herrn / und danke ihm dafür, dass...«.</w:t>
      </w:r>
    </w:p>
  </w:footnote>
  <w:footnote w:id="2085">
    <w:p>
      <w:pPr>
        <w:pStyle w:val="Funote"/>
        <w:rPr/>
      </w:pPr>
      <w:r>
        <w:rPr>
          <w:lang w:val="el-GR"/>
        </w:rPr>
        <w:footnoteRef/>
        <w:tab/>
        <w:t>ἠγαλλίασεν</w:t>
      </w:r>
      <w:r>
        <w:rPr/>
        <w:t xml:space="preserve"> steht im Gegensatz zu </w:t>
      </w:r>
      <w:r>
        <w:rPr>
          <w:lang w:val="el-GR"/>
        </w:rPr>
        <w:t>μεγαλύνει</w:t>
      </w:r>
      <w:r>
        <w:rPr/>
        <w:t xml:space="preserve"> (Präsens) im Aorist, weshalb z.B. NET hier ingressiv übersetzen will mit »has begun to rejoice«; ebenso Bovon 1989; Nolland 1989. Vermutlich ist aber auch dies als stilistischer Semitismus zu verstehen, nämlich als (bedeutungsloser) T-Shift (so die Mehrheit, z.B. Grosvenor/Zerwick 1993, S. 173; Gunkel 1921, S. 46; NSS; Schürmann 1969, S. 73; Weiss 1901, S. 285).</w:t>
      </w:r>
    </w:p>
  </w:footnote>
  <w:footnote w:id="2086">
    <w:p>
      <w:pPr>
        <w:pStyle w:val="Funote"/>
        <w:rPr/>
      </w:pPr>
      <w:r>
        <w:rPr/>
        <w:footnoteRef/>
        <w:tab/>
        <w:t xml:space="preserve">Meist: „Niedrigkeit“. Die zweite Alternative, „Demut“, ist recht unwahrscheinlich, denn hierfür stehen in LXX und NT eigene Begriffe bereit. </w:t>
      </w:r>
      <w:r>
        <w:rPr>
          <w:lang w:val="el-GR"/>
        </w:rPr>
        <w:t>Ταπείνωσις</w:t>
      </w:r>
      <w:r>
        <w:rPr/>
        <w:t xml:space="preserve"> ist hier relativ sicher sozial bzw. wirtschaftlich als „Armut“ zu verstehen (Bovon 1989, S. 88; Clines 2011, S. 5; Krüger 2005, S. 2; Plummer 1903, S. 32), da es gut zusammenstimmt mit dem folgenden </w:t>
      </w:r>
      <w:r>
        <w:rPr>
          <w:lang w:val="el-GR"/>
        </w:rPr>
        <w:t>δούλη</w:t>
      </w:r>
      <w:r>
        <w:rPr/>
        <w:t xml:space="preserve"> und auch dadurch nahegelegt wird, dass in V. 52 </w:t>
      </w:r>
      <w:r>
        <w:rPr>
          <w:lang w:val="el-GR"/>
        </w:rPr>
        <w:t>ταπεινούς</w:t>
      </w:r>
      <w:r>
        <w:rPr/>
        <w:t xml:space="preserve"> kontrastiert wird mit </w:t>
      </w:r>
      <w:r>
        <w:rPr>
          <w:lang w:val="el-GR"/>
        </w:rPr>
        <w:t>δυνάστας</w:t>
      </w:r>
      <w:r>
        <w:rPr/>
        <w:t>; zudem ist der Gegensatz von Reichen und Armen ein häufigeres lukanisches Theologumenon (vgl. z.B. Lk 4,18f). Schnackenburg 1965, S. 346f. glaubt außerdem, zusätzlich Parallelen von hier zum Motiv der Armenfrömmigkeit in Qumran ziehen zu können. „Niedrigkeit“ ist eine unnötige Verallgemeinerung. Einige denken aufgrund der Parallelen des Verses zu 1Sam 1,11; Ps 113 und 4Esra 9,45 daran, dass es sich hier um einen stehenden Ausdruck für Unfruchtbarkeit handeln würde (z.B. Zorell 1928, S. 288f.; ähnlich Klein 2006, S. 108f). Aus dem Mund Mariens macht das aber keinen Sinn und es spricht auch nichts gegen und einiges für die Lesart „Armut“, weshalb diese auf jeden Fall vorzuziehen ist (vgl. auch Bossuet / Weiß 1917, S. 404; Schürmann 1969, S. 73f.). Vgl. außerdem die nächste Fußnote.</w:t>
      </w:r>
    </w:p>
  </w:footnote>
  <w:footnote w:id="2087">
    <w:p>
      <w:pPr>
        <w:pStyle w:val="Funote"/>
        <w:rPr/>
      </w:pPr>
      <w:r>
        <w:rPr/>
        <w:footnoteRef/>
        <w:tab/>
        <w:t xml:space="preserve">Meist: „Magd“; </w:t>
      </w:r>
      <w:r>
        <w:rPr>
          <w:lang w:val="el-GR"/>
        </w:rPr>
        <w:t>δούλη</w:t>
      </w:r>
      <w:r>
        <w:rPr/>
        <w:t xml:space="preserve"> bedeutet aber „Sklavin“ und nur in Einzelfällen wird es allgemein für soziale Rangunterschiede verwendet (aber auch hierfür wäre „Magd“ eine eher unpassende Übersetzung). Sowohl die Rede von der „Armut“ als auch vom „Sklave-seins“ Mariens ist hier aber merkwürdig funktionslos, abgesehen davon, dass es in Kombination mit der Rede von Gott als Mariens „Herrn“ eine klare Hierarchie verdichtet. Das ist wohl auch der Schlüssel zum richtigen Verständnis der beiden Ausdrücke: Wie auch in 1Sam 1,11 ist die Rede von der „Sklavin Gottes“ wohl nicht wörtlich, sondern als Höflichkeitsstrategie zu verstehen (vgl. z.B. Warren-Rothlin 2007, S. 61f; Dahood 1970, S. 374 zu Ps 19,14; 27,9; 31,17; 69,18; 86,2; 119,135). Man bezeichnet das als „soziale Deixis“: Aus Höflichkeitsgründen wird ein Rangunterschied vom niedriger Gestellten besonders betont (ähnlich, wie man z.B. auch im Deutschen früher einen Brief an einen König unterschrieb mit „Ewr. Maj. untertänigster und gehorsamster Diener“). Das selbe gilt vermutlich auch für V. 54a. Eine wörtliche Übersetzung würde dies aber verschleiern, so dass man in der Lesefassung vielleicht besser auf andere Übersetzungsweisen zurückgreifen sollte, z.B. schlicht auf die Streichung von „seiner Sklavin in ihrer Armut“ in V. 48a (denn das hierarchische Gefüge wird ja schon durch den Ausdruck „Herr“ in V. 47 deutlich genug).</w:t>
      </w:r>
    </w:p>
  </w:footnote>
  <w:footnote w:id="2088">
    <w:p>
      <w:pPr>
        <w:pStyle w:val="Funote"/>
        <w:rPr/>
      </w:pPr>
      <w:r>
        <w:rPr/>
        <w:footnoteRef/>
        <w:tab/>
        <w:t xml:space="preserve">Biblizismus: Die Rede von Gottes auf-etwas-Blicken steht im AT metaphorisch für gnädige Akte Gottes wie etwa Gebetserhörungen (vgl. z.B. TLOT 1263f.). Das Verb </w:t>
      </w:r>
      <w:r>
        <w:rPr>
          <w:lang w:val="el-GR"/>
        </w:rPr>
        <w:t>ἐπέβλεψεν</w:t>
      </w:r>
      <w:r>
        <w:rPr/>
        <w:t xml:space="preserve"> einfach wörtlich zu übersetzen, würde diese eigentliche Bedeutung des Verses verdunkeln. Besser wäre eine Paraphrase wie „Er hat sich seiner Sklavin in ihrer Armut angenommen“; zu „seiner Sklavin in ihrer Armut“ s. aber noch die vorige FN.</w:t>
      </w:r>
    </w:p>
  </w:footnote>
  <w:footnote w:id="2089">
    <w:p>
      <w:pPr>
        <w:pStyle w:val="Funote"/>
        <w:rPr/>
      </w:pPr>
      <w:r>
        <w:rPr>
          <w:lang w:val="el-GR"/>
        </w:rPr>
        <w:footnoteRef/>
        <w:tab/>
        <w:t>ἰδοὺ</w:t>
      </w:r>
      <w:r>
        <w:rPr/>
        <w:t xml:space="preserve"> i.d.R. (wie auch hier) nicht mehr als bloße Fokuspartikel.</w:t>
      </w:r>
    </w:p>
  </w:footnote>
  <w:footnote w:id="2090">
    <w:p>
      <w:pPr>
        <w:pStyle w:val="Funote"/>
        <w:rPr/>
      </w:pPr>
      <w:r>
        <w:rPr/>
        <w:footnoteRef/>
        <w:tab/>
        <w:t xml:space="preserve">Allzu viele Übersetzungen und Kommentare denken, dass diese Aussage bedeute, Maria sähe hier bereits ihre Verehrung durch künftige Generationen voraus und übersetzen etwa »preisen mich selig« (vgl. z.B. Bovon 1989, S. 88; Klein 2006, S. 113; Schürmann 1969, S. 74; R-S u.ö.). Aber </w:t>
      </w:r>
      <w:r>
        <w:rPr>
          <w:lang w:val="el-GR"/>
        </w:rPr>
        <w:t>μακαρίζειν</w:t>
      </w:r>
      <w:r>
        <w:rPr/>
        <w:t xml:space="preserve"> bedeutet wahrscheinlich auch hier (wie auch sonst öfters) einfach, dass sie für glücklich gehalten wird oder aufgrund dieses für-glücklich-gehalten-Werdens als glücklich bezeichnet wird - vielleicht ein Semitismus: Die hebräische Entsprechung von </w:t>
      </w:r>
      <w:r>
        <w:rPr>
          <w:lang w:val="el-GR"/>
        </w:rPr>
        <w:t>μακαρίζειν</w:t>
      </w:r>
      <w:r>
        <w:rPr/>
        <w:t xml:space="preserve"> ist </w:t>
      </w:r>
      <w:r>
        <w:rPr>
          <w:rtl w:val="true"/>
          <w:lang w:bidi="he-IL"/>
        </w:rPr>
        <w:t>אָשַר</w:t>
      </w:r>
      <w:r>
        <w:rPr/>
        <w:t xml:space="preserve"> </w:t>
      </w:r>
      <w:r>
        <w:rPr/>
        <w:t xml:space="preserve">II, was von SDBH folgendermaßen näher bestimmt wird: »[to] communicate to someone else that you consider him/her or someone else fortunate and blessed by God« (SDBH). Diesem wohl falschen Verständnis der Stelle soll mit obiger Übersetzung vorgebeugt werden.Wegen </w:t>
      </w:r>
      <w:r>
        <w:rPr>
          <w:lang w:val="el-GR"/>
        </w:rPr>
        <w:t>ἀπὸ τοῦ νῦν</w:t>
      </w:r>
      <w:r>
        <w:rPr/>
        <w:t xml:space="preserve"> (v. 48) ist die in der Klammer angegebene futurische Wiedergabe die hier einzig Sinnvolle.</w:t>
      </w:r>
    </w:p>
  </w:footnote>
  <w:footnote w:id="2091">
    <w:p>
      <w:pPr>
        <w:pStyle w:val="Funote"/>
        <w:rPr/>
      </w:pPr>
      <w:r>
        <w:rPr/>
        <w:footnoteRef/>
        <w:tab/>
        <w:t xml:space="preserve">V 48a steht mit V 54a, V 49b mit V 50a und V 49a mit V 51a im Parallelismus. Solche Parallelismen markieren in der biblischen Poesie häufig Strophenübergänge (vgl. z.B. van der Lugt 2006, S. 53) und sind damit ein starkes Indiz dafür, dass man an diesen Stellen das Magnifikat in Strophen aufzuteilen hat: Die Parallelismen würden dann den letzten Vers der ersten Strophe(V 48), den ersten und letzten Vers der der zweiten Strophe (V 49.50), den ersten Vers der dritten Strophe (V 51) und den ersten Vers der vierten Strophe (V 54) markieren. Das </w:t>
      </w:r>
      <w:r>
        <w:rPr>
          <w:lang w:val="el-GR"/>
        </w:rPr>
        <w:t>ὅτι</w:t>
      </w:r>
      <w:r>
        <w:rPr/>
        <w:t xml:space="preserve"> denn in V. 49 ist dann mit Gunkel 1921, S. 47 dentsprechend dem hebräischen </w:t>
      </w:r>
      <w:r>
        <w:rPr>
          <w:rtl w:val="true"/>
          <w:lang w:bidi="he-IL"/>
        </w:rPr>
        <w:t>כִי</w:t>
      </w:r>
      <w:r>
        <w:rPr/>
        <w:t xml:space="preserve"> </w:t>
      </w:r>
      <w:r>
        <w:rPr/>
        <w:t>als »allergeläufigste Uebergang, mit dem im Hymnus das Hauptstück dem Anfange hinzutritt.«, aufzufassen und im Deutschen auszusparen; etwa: »... von nun an wird jeder mich für glücklich halten: / Denn Der Mächtige hat Großes an mir getan!...«.</w:t>
      </w:r>
    </w:p>
  </w:footnote>
  <w:footnote w:id="2092">
    <w:p>
      <w:pPr>
        <w:pStyle w:val="Funote"/>
        <w:rPr/>
      </w:pPr>
      <w:r>
        <w:rPr/>
        <w:footnoteRef/>
        <w:tab/>
        <w:t xml:space="preserve">Einige Exegeten halten dies für ein relatives </w:t>
      </w:r>
      <w:r>
        <w:rPr>
          <w:lang w:val="el-GR"/>
        </w:rPr>
        <w:t>καὶ</w:t>
      </w:r>
      <w:r>
        <w:rPr/>
        <w:t xml:space="preserve"> (vgl. BDR §442) und übersetzen mit »der Mächtige ..., dessen Name heilig ist.« (so z.B. NSS; Schürmann 1969, S. 74; vgl. auch GN; KAM; LUT84; ähnlich NeÜ); andere fassen es koordinierend auf und schließen es mit einem »und« an den vorherigen Satz an. Letzteres ist wahrscheinlicher (vgl. z.B. Culy et al. 2010, S. 44); da aber </w:t>
      </w:r>
      <w:r>
        <w:rPr>
          <w:lang w:val="el-GR"/>
        </w:rPr>
        <w:t>καὶ</w:t>
      </w:r>
      <w:r>
        <w:rPr/>
        <w:t xml:space="preserve"> im Griechischen, anders als im Deutschen, auch einen mit dem vorigen Satz (relativ) unkoordinierten Satz einleiten kann, ist es stiltreuer, das »und« in der deutschen Übersetzung ganz zu streichen.</w:t>
      </w:r>
    </w:p>
  </w:footnote>
  <w:footnote w:id="2093">
    <w:p>
      <w:pPr>
        <w:pStyle w:val="Funote"/>
        <w:rPr/>
      </w:pPr>
      <w:r>
        <w:rPr/>
        <w:footnoteRef/>
        <w:tab/>
        <w:t xml:space="preserve">Biblizismus: Der »Name Gottes« steht in der Bibel fast stets für Gott selbst; man bezeichnet damit »Gott im Menschenmund«. Übersetze: »Heilig ist er«.Alternativ könnte es sich hier um ein jüdisches Idiom handeln: »Gottes Namen heiligen« steht in jüdischen Texten häufig dafür, dass »Gott als Herr anerkannt wird und daher seinen Geboten gefolgt wird« (vgl. FN e zu Mt 6,9); dann vielleicht »Geheiligt werde sein Name« i.S.v. »Man erkenne ihn als Herrn an und folge seinen Geboten«. Das </w:t>
      </w:r>
      <w:r>
        <w:rPr>
          <w:lang w:val="el-GR"/>
        </w:rPr>
        <w:t>καὶ</w:t>
      </w:r>
      <w:r>
        <w:rPr/>
        <w:t xml:space="preserve"> in 50a wäre dann wohl kausales </w:t>
      </w:r>
      <w:r>
        <w:rPr>
          <w:lang w:val="el-GR"/>
        </w:rPr>
        <w:t>καὶ</w:t>
      </w:r>
      <w:r>
        <w:rPr/>
        <w:t xml:space="preserve"> (dazu z.B. Reiser 1983, S. 126-128): »Man erkenne ihn als Herrn an, denn seine Huld wird auf ewig für jene währen, die ihn fürchten (i.e. als Herrn anerkennen).« Doch ist das m.W. noch nie vorgeschlagen worden.</w:t>
      </w:r>
    </w:p>
  </w:footnote>
  <w:footnote w:id="2094">
    <w:p>
      <w:pPr>
        <w:pStyle w:val="Funote"/>
        <w:rPr/>
      </w:pPr>
      <w:r>
        <w:rPr/>
        <w:footnoteRef/>
        <w:tab/>
        <w:t>S. zu {und} in V. 49.</w:t>
      </w:r>
    </w:p>
  </w:footnote>
  <w:footnote w:id="2095">
    <w:p>
      <w:pPr>
        <w:pStyle w:val="Funote"/>
        <w:rPr/>
      </w:pPr>
      <w:r>
        <w:rPr/>
        <w:footnoteRef/>
        <w:tab/>
        <w:t xml:space="preserve">Meist: „Erbarmen“ oder „Barmherzigkeit“. </w:t>
      </w:r>
      <w:r>
        <w:rPr>
          <w:lang w:val="el-GR"/>
        </w:rPr>
        <w:t>ἔλεος</w:t>
      </w:r>
      <w:r>
        <w:rPr/>
        <w:t xml:space="preserve"> ist in der LXX aber häufig die Übertragung von </w:t>
      </w:r>
      <w:r>
        <w:rPr>
          <w:rtl w:val="true"/>
          <w:lang w:bidi="he-IL"/>
        </w:rPr>
        <w:t>חֵסֵד</w:t>
      </w:r>
      <w:r>
        <w:rPr/>
        <w:t xml:space="preserve">, und daraus, dass es hier als etwas dargestellt wird, demgemäß sich Gott (1) schon Abraham gegenüber verhalten hat (V. 54f), das (2) jenen gilt, die ihn „fürchten“ (V. 50) und das (3) ebenso wie </w:t>
      </w:r>
      <w:r>
        <w:rPr>
          <w:rtl w:val="true"/>
          <w:lang w:bidi="he-IL"/>
        </w:rPr>
        <w:t>חֵסֵד</w:t>
      </w:r>
      <w:r>
        <w:rPr/>
        <w:t xml:space="preserve"> </w:t>
      </w:r>
      <w:r>
        <w:rPr/>
        <w:t xml:space="preserve">etwas ist, das meist von Höhergestellten niedriger Gestellten entgegengebracht wird, wird klar, dass wir auch hier an dies </w:t>
      </w:r>
      <w:r>
        <w:rPr>
          <w:rtl w:val="true"/>
          <w:lang w:bidi="he-IL"/>
        </w:rPr>
        <w:t>חֵסֵד</w:t>
      </w:r>
      <w:r>
        <w:rPr/>
        <w:t xml:space="preserve"> </w:t>
      </w:r>
      <w:r>
        <w:rPr/>
        <w:t xml:space="preserve">denken müssen (vgl. Clines 2011, S. 2f). </w:t>
      </w:r>
      <w:r>
        <w:rPr>
          <w:rtl w:val="true"/>
          <w:lang w:bidi="he-IL"/>
        </w:rPr>
        <w:t>חֵסֵד</w:t>
      </w:r>
      <w:r>
        <w:rPr/>
        <w:t xml:space="preserve"> </w:t>
      </w:r>
      <w:r>
        <w:rPr/>
        <w:t>bezeichnet aber nicht etwa (wie es oft falsch heißt) die „weiche Seite“ Gottes, sondern steht für Gottes Bündnistreue und wird bes. in Situationen verwendet, in denen davon die Rede ist, dass ein niedriger Gestellter der Hilfe Gottes bedarf und Gott ihm diese Hilfe - getreu seinem Bund - auch gnädig gewährt (vgl. z.B. Waltke 2010, S. 443). Die treffendste Übertragung ist daher ohne Zweifel „Huld, Gnade“.</w:t>
      </w:r>
    </w:p>
  </w:footnote>
  <w:footnote w:id="2096">
    <w:p>
      <w:pPr>
        <w:pStyle w:val="Funote"/>
        <w:rPr/>
      </w:pPr>
      <w:r>
        <w:rPr/>
        <w:footnoteRef/>
        <w:tab/>
        <w:t xml:space="preserve">Verbloser Satz, der als PP fungiert und gelesen werden könnte als PP temporis, PP commodi oder PP relationis (vgl. Culy et al. 2010, S. 44). Weil der Ausdruck </w:t>
      </w:r>
      <w:r>
        <w:rPr>
          <w:lang w:val="el-GR"/>
        </w:rPr>
        <w:t>γενεὰς καὶ γενεὰς</w:t>
      </w:r>
      <w:r>
        <w:rPr/>
        <w:t xml:space="preserve"> aber wohl idiomatisch ist für „alle Generationen“ (ebd.; vgl. auch das Testament des Levi 18,8), liegt eine andere Lesart als die temporale recht fern. Eine freie, „deutschere“ und funktional äquivalentere Übertragung wäre wohl „Seine Huld währt auf ewig.“Wegen </w:t>
      </w:r>
      <w:r>
        <w:rPr>
          <w:lang w:val="el-GR"/>
        </w:rPr>
        <w:t>εἰς γενεὰς καὶ γενεὰς</w:t>
      </w:r>
      <w:r>
        <w:rPr/>
        <w:t xml:space="preserve"> ist die futurische Wiedergabe die hier einzig Sinnvolle.</w:t>
      </w:r>
    </w:p>
  </w:footnote>
  <w:footnote w:id="2097">
    <w:p>
      <w:pPr>
        <w:pStyle w:val="Funote"/>
        <w:rPr/>
      </w:pPr>
      <w:r>
        <w:rPr/>
        <w:footnoteRef/>
        <w:tab/>
        <w:t>W.: »den ihn Fürchtenden«; Ptz. mit der Funktion des dativus commodi (daher: »für«) (vgl. Culy et al. 2010, S. 44; NSS).</w:t>
      </w:r>
    </w:p>
  </w:footnote>
  <w:footnote w:id="2098">
    <w:p>
      <w:pPr>
        <w:pStyle w:val="Funote"/>
        <w:rPr/>
      </w:pPr>
      <w:r>
        <w:rPr/>
        <w:footnoteRef/>
        <w:tab/>
        <w:t>VV. 51-54 stehen sechs Aoriste, über deren Semantik man sich in der Forschung den Kopf zerbricht. Theoretisch könnten sie sich beziehen # auf Vergangenes - etwa vergangene Heilstaten Gottes („historischer Aorist“), # auf Gottes übliche und überzeitliche Weise des Handelns („gnomischer Aorist“), # auf Gottes zukünftiges Handeln („futurischer Aorist“) oder # auf Sachverhalte, die zum Zeitpunkt des Betens bereits angebrochen sind, deren Vollendung aber noch aussteht („ingressiver Aorist“) (vgl. auch Grosvenor / Zerwick 1993, S. 173; NSS). Jede dieser vier Deutungen ist in der Forschung schon mehrfach vertreten worden. Da Vv. 51-54 aber immer noch zum selben Dankgebet gehört, zu denen auch die vorherigen Verse gehören, ist es sehr wahrscheinlich, dass die Tat, mit der Gott sich seines „Knechtes Israel“ angenommen hat (V. 54) die selbe ist, mit denen er sich auch seiner „Sklavin“ Maria angenommen hat (V. 48) - ein recht eindeutiger Parallelismus -, nämlich die Tatsache, dass er Maria trotz ihrer „Armut“ (V. 48) zur Mutter des Messias gemacht hat (vgl. ähnlich z.B. Nolland 1989). Jede Deutung neben der ingressiven würde diesen Zusammenhang zerstören und das Magnificat in zwei nur lose zusammenhängende Hälften reißen. Der obige Übersetzungsvorschlag versucht, durch die Hinzufügung des „so“ den Bezug des Folgenden auf das zuvor Geschilderte ausdrücklich zu machen und durch die des „er hatte begonnen“ den ingressiven Charakter des Folgenden zum Ausdruck zu bringen. Eine andere (allerdings weniger genaue, da nicht wirklich ingressive) Möglichkeit, die wahrscheinlich leichter zu einer gefälligen Lesefassung führt, wäre die Einleitung mit „Nun“ und der futurischen Wiedergabe des Folgenden.</w:t>
      </w:r>
    </w:p>
  </w:footnote>
  <w:footnote w:id="2099">
    <w:p>
      <w:pPr>
        <w:pStyle w:val="Funote"/>
        <w:rPr/>
      </w:pPr>
      <w:r>
        <w:rPr/>
        <w:footnoteRef/>
        <w:tab/>
        <w:t xml:space="preserve">weder (1) </w:t>
      </w:r>
      <w:r>
        <w:rPr>
          <w:lang w:val="el-GR"/>
        </w:rPr>
        <w:t>Ἐποίησεν κράτος</w:t>
      </w:r>
      <w:r>
        <w:rPr/>
        <w:t xml:space="preserve"> („Machttaten hat er getan“) noch (2) </w:t>
      </w:r>
      <w:r>
        <w:rPr>
          <w:lang w:val="el-GR"/>
        </w:rPr>
        <w:t>ἐν βραχίονι αὐτοῦ</w:t>
      </w:r>
      <w:r>
        <w:rPr/>
        <w:t xml:space="preserve"> („mit seinem Arm“) ist natürliches Griechisch. Beide Male handelt es sich wieder um Semitismen; vermutlich um Zitate aus dem Psalter (vgl. zu (1) Ps 60,14; 108,14; 118,15f; zu (2) Ps 89,11; beide Male auch Culy et al. 2010, S. 45; Plummer 1903, S. 33). Der „Arm“ wird aber im Hebräischen häufiger verwendet als Symbol für Macht und Stärke (vgl. z.B. Clines 2011, S. 1f.; Wolff 1973, S. 108; ad loc. auch Culy et al. 2010, S. 45; NSS), so dass der Sinn in etwa ist: „Er hat Mächtiges mit seiner Macht gewirkt.“ Übersetze vielleicht: „Gewaltiges hat er mit seiner Macht vollbracht“.</w:t>
      </w:r>
    </w:p>
  </w:footnote>
  <w:footnote w:id="2100">
    <w:p>
      <w:pPr>
        <w:pStyle w:val="Funote"/>
        <w:rPr/>
      </w:pPr>
      <w:r>
        <w:rPr/>
        <w:footnoteRef/>
        <w:tab/>
        <w:t>Doppelpunkt sehr gut mit EÜ, Schneider 1977, S. 54 und dem unrevidierten NTL (leider nicht mehr im revidierten): Was folgt, sind einzelne Ausfaltungen des Sammelbegriffs „Machttaten“ in V. 51a.</w:t>
      </w:r>
    </w:p>
  </w:footnote>
  <w:footnote w:id="2101">
    <w:p>
      <w:pPr>
        <w:pStyle w:val="Funote"/>
        <w:rPr/>
      </w:pPr>
      <w:r>
        <w:rPr/>
        <w:footnoteRef/>
        <w:tab/>
        <w:t>»zerstreuen« ist im AT ein Ausdruck, der vor Allem verwendet wird, wenn davon die Rede ist, dass eine Armee vernichtend geschlagen wird (vgl. die Parallelstellen).</w:t>
      </w:r>
    </w:p>
  </w:footnote>
  <w:footnote w:id="2102">
    <w:p>
      <w:pPr>
        <w:pStyle w:val="Funote"/>
        <w:rPr/>
      </w:pPr>
      <w:r>
        <w:rPr/>
        <w:footnoteRef/>
        <w:tab/>
        <w:t>zur »Hochmut« im alten Judentum vgl. das in B/S 1924, S. 101ff. zusammengetragene Material</w:t>
      </w:r>
    </w:p>
  </w:footnote>
  <w:footnote w:id="2103">
    <w:p>
      <w:pPr>
        <w:pStyle w:val="Funote"/>
        <w:rPr/>
      </w:pPr>
      <w:r>
        <w:rPr/>
        <w:footnoteRef/>
        <w:tab/>
        <w:t>W. »Hochmütige an der Gesinnung ihrer Herzen«; idiomatischer Plural, daher als Sg. zu übersetzen. Das Herz ist in der hebräischen Vorstellung Sitz v.a. der Stimmungen und Gestimmtheiten (vgl. Wolff 1973, S. 74f.) und entspricht damit am ehesten unserem Wort »Gemüt« - eine wörtliche Übertragung wäre hier irreführend. Ohnehin muss hier freier übersetzt werden: »Hochmütig an der Stimmung des Gemüts« meint einfach »hochmütig gestimmt«, »von hochmütigem Charakter«; übersetze besser schlicht: »Hochmütige«</w:t>
      </w:r>
    </w:p>
  </w:footnote>
  <w:footnote w:id="2104">
    <w:p>
      <w:pPr>
        <w:pStyle w:val="Funote"/>
        <w:rPr/>
      </w:pPr>
      <w:r>
        <w:rPr/>
        <w:footnoteRef/>
        <w:tab/>
        <w:t xml:space="preserve">Da Gott die </w:t>
      </w:r>
      <w:r>
        <w:rPr>
          <w:lang w:val="el-GR"/>
        </w:rPr>
        <w:t>δυνάστας</w:t>
      </w:r>
      <w:r>
        <w:rPr/>
        <w:t xml:space="preserve"> von ihren Thronen stürzt, ist „Machthaber“ hier die kontextuell wesentlich passendere Übertragung.</w:t>
      </w:r>
    </w:p>
  </w:footnote>
  <w:footnote w:id="2105">
    <w:p>
      <w:pPr>
        <w:pStyle w:val="Funote"/>
        <w:rPr/>
      </w:pPr>
      <w:r>
        <w:rPr/>
        <w:footnoteRef/>
        <w:tab/>
        <w:t>V. 52b kontrastiert eine Aufwärtsbewegung mit der hieriegen Abwärtsbewegung des „Stürzens“; im Deutschen besser ausdrücklich zu machen, etwa als „herabstürzen“.</w:t>
      </w:r>
    </w:p>
  </w:footnote>
  <w:footnote w:id="2106">
    <w:p>
      <w:pPr>
        <w:pStyle w:val="Funote"/>
        <w:rPr/>
      </w:pPr>
      <w:r>
        <w:rPr/>
        <w:footnoteRef/>
        <w:tab/>
        <w:t>die Wortstellung VV 52-53 sollte beibehalten werden, da sie eine chiastische Doppelstruktur hat: V 52: V - S / V - S; V 53: S - V / S - V</w:t>
      </w:r>
    </w:p>
  </w:footnote>
  <w:footnote w:id="2107">
    <w:p>
      <w:pPr>
        <w:pStyle w:val="Funote"/>
        <w:rPr/>
      </w:pPr>
      <w:r>
        <w:rPr/>
        <w:footnoteRef/>
        <w:tab/>
        <w:t xml:space="preserve">W.: „füllt“; häufig freier übertragen mit „sättigen“, was aber hier ein Wortspiel vernichtet: </w:t>
      </w:r>
      <w:r>
        <w:rPr>
          <w:lang w:val="el-GR"/>
        </w:rPr>
        <w:t>ἐνέπλησεν</w:t>
      </w:r>
      <w:r>
        <w:rPr/>
        <w:t xml:space="preserve"> („füllen“) (53a) bildet einen Gegensatz mit </w:t>
      </w:r>
      <w:r>
        <w:rPr>
          <w:lang w:val="el-GR"/>
        </w:rPr>
        <w:t>κενούς</w:t>
      </w:r>
      <w:r>
        <w:rPr/>
        <w:t xml:space="preserve"> („leer, mit leeren Händen“ (BA 870)) (53b) und ist etymologisch verwandt mit </w:t>
      </w:r>
      <w:r>
        <w:rPr>
          <w:lang w:val="el-GR"/>
        </w:rPr>
        <w:t>πλουτοῦντας</w:t>
      </w:r>
      <w:r>
        <w:rPr/>
        <w:t xml:space="preserve"> („reich seiende, Reiche“), außerdem ist eines der Wortbildungsmorpheme (</w:t>
      </w:r>
      <w:r>
        <w:rPr>
          <w:lang w:val="el-GR"/>
        </w:rPr>
        <w:t>ἐν</w:t>
      </w:r>
      <w:r>
        <w:rPr/>
        <w:t xml:space="preserve">- („ein-, hinein-“)) das Gegensätzliche zu </w:t>
      </w:r>
      <w:r>
        <w:rPr>
          <w:lang w:val="el-GR"/>
        </w:rPr>
        <w:t>ἐξ</w:t>
      </w:r>
      <w:r>
        <w:rPr/>
        <w:t xml:space="preserve">- in </w:t>
      </w:r>
      <w:r>
        <w:rPr>
          <w:lang w:val="el-GR"/>
        </w:rPr>
        <w:t>ἐξαπέστειλεν</w:t>
      </w:r>
      <w:r>
        <w:rPr/>
        <w:t xml:space="preserve"> („fortsenden“) (53b). Eine rein an diesen Wortspielen orientierte Übertragung würde ungefähr lauten: „in Hungernde füllt er Gutes hinein / und Befüllte schickt er ungefüllt hinaus“, was natürlich keine gute Übersetzung ist und auch dem Wortsinn gar nicht gerecht wird. Ich bin bisher zu noch keiner Lösung gekommen, wie dieser Vers gleichzeitig kommunikativ und inhaltlich und stilistisch äquivalent übertragen werden könnte.</w:t>
      </w:r>
    </w:p>
  </w:footnote>
  <w:footnote w:id="2108">
    <w:p>
      <w:pPr>
        <w:pStyle w:val="Funote"/>
        <w:rPr/>
      </w:pPr>
      <w:r>
        <w:rPr/>
        <w:footnoteRef/>
        <w:tab/>
        <w:t>»Mit leeren Händen« nach BA 870</w:t>
      </w:r>
    </w:p>
  </w:footnote>
  <w:footnote w:id="2109">
    <w:p>
      <w:pPr>
        <w:pStyle w:val="Funote"/>
        <w:rPr/>
      </w:pPr>
      <w:r>
        <w:rPr/>
        <w:footnoteRef/>
        <w:tab/>
        <w:t xml:space="preserve">Schwierige Stelle. V 54b besteht aus einem Infinitiv und einem Akkusativ und lautete wörtlich übersetzt etwa „sich erinnern/denken an Huld“ (zu „Huld“ s.o.). Die Hauptschwierigkeit ist, wie dieser Teilvers mit dem vorigen zusammenhängt. Syntaktisch sinnvolle Vorschläge in der Exegese sind v.a. die Deutung als kausaler Infinitiv („Er hat sich Israels angenommen, weil er an seine Huld gedacht hat“) oder als weiterführender Infinitiv („Er hat sich Israels angenommen, wobei er an seine Huld gedacht hat“). Sinnvoller jedoch: </w:t>
      </w:r>
      <w:r>
        <w:rPr>
          <w:lang w:val="el-GR"/>
        </w:rPr>
        <w:t>μνησθῆναι</w:t>
      </w:r>
      <w:r>
        <w:rPr/>
        <w:t xml:space="preserve"> gedenken steht in der LXX häufig als Übersetzung von </w:t>
      </w:r>
      <w:r>
        <w:rPr>
          <w:rtl w:val="true"/>
          <w:lang w:bidi="he-IL"/>
        </w:rPr>
        <w:t>זָכַר</w:t>
      </w:r>
      <w:r>
        <w:rPr/>
        <w:t xml:space="preserve">. Dies </w:t>
      </w:r>
      <w:r>
        <w:rPr>
          <w:rtl w:val="true"/>
          <w:lang w:bidi="he-IL"/>
        </w:rPr>
        <w:t>זָכַר</w:t>
      </w:r>
      <w:r>
        <w:rPr/>
        <w:t xml:space="preserve"> </w:t>
      </w:r>
      <w:r>
        <w:rPr/>
        <w:t xml:space="preserve">hat, wenn Gott das Subjekt ist, oft die Sonderbedeutung „sich gnädig zuwenden“ (vgl. z.B. TWAT I, S. 513f) und bezeichnet z.B. Gottes gnädige Gewährung eines Kindersegens an Kinderlose (Gen 30,22; 1Sam 1,11.19; vgl. ebd.). Dahin, dass das Verb auch hier so zu verstehen ist, weist erstens das Substantiv </w:t>
      </w:r>
      <w:r>
        <w:rPr>
          <w:lang w:val="el-GR"/>
        </w:rPr>
        <w:t>ἔλεος</w:t>
      </w:r>
      <w:r>
        <w:rPr/>
        <w:t xml:space="preserve"> Huld, in dem ähnliches zum Ausdruck kommt wie im hebräischen </w:t>
      </w:r>
      <w:r>
        <w:rPr>
          <w:rtl w:val="true"/>
          <w:lang w:bidi="he-IL"/>
        </w:rPr>
        <w:t>זָכַר</w:t>
      </w:r>
      <w:r>
        <w:rPr/>
        <w:t xml:space="preserve">; zweitens folgt direkt auf den Teilvers die Rede davon, dass er sich auch Israels „erbarmt“ habe; drittens ist V. 54a parallel zu V. 48a, in dem - wie bereits gesagt - vermutlich auf die selbe Heilstat wie in V. 54a Bezug genommen wird, nämlich auf die, dass Gott Maria mit dem Messias „geschwängert“ hat, und gerade in diesem Kontext ist im AT häufiger die Rede von der </w:t>
      </w:r>
      <w:r>
        <w:rPr>
          <w:rtl w:val="true"/>
          <w:lang w:bidi="he-IL"/>
        </w:rPr>
        <w:t>זָכַר</w:t>
      </w:r>
      <w:r>
        <w:rPr/>
        <w:t>(/</w:t>
      </w:r>
      <w:r>
        <w:rPr>
          <w:lang w:val="el-GR"/>
        </w:rPr>
        <w:t>μνησθῆναι</w:t>
      </w:r>
      <w:r>
        <w:rPr/>
        <w:t>)-Tätigkeit Gottes. Wenn erst erkannt ist, dass V 54b wohl vom selben spricht wie V 54a, ist der Rest relativ einfach: Der Infinitiv ist dann als epexegetischer Infinitiv zu deuten (daher Anschluss mit Doppelpunkt, vgl. ähnlich Culy et al. 2010, S. 46) und der Akkusativ entweder als accusativus respectus (daher die Alternative „was seine Huld angeht“) oder, wesentlich besser, als adverbialer Akkusativ (daher die Alternativen „huldvoll, mit Huld“).</w:t>
      </w:r>
    </w:p>
  </w:footnote>
  <w:footnote w:id="2110">
    <w:p>
      <w:pPr>
        <w:pStyle w:val="Funote"/>
        <w:rPr/>
      </w:pPr>
      <w:r>
        <w:rPr/>
        <w:footnoteRef/>
        <w:tab/>
        <w:t>Ein weiterer grammatischer Zweifelsfall: Es ist fraglich, wie V 54b, 55a und 55b sich zueinander verhalten. Vorgeschlagen wurde, # dass V 55a Parenthese ist und V 55b nicht mehr, sondern dativus commodi zu 54b (»Gott hat sich erbarmt - wie er ja auch schon unseren Vätern verheißen hat - zugunsten von Abraham und seinen Nachkommen.«) - dies ist heute die Mehrheitsmeinung, # dass V 55a eine Art »Nachsatz« ist, V 55b zu diesem Nachsatz gehört und »verheißen hat« näher bestimmt (»Gott hat sich erbarmt - wie er ja auch schon unseren Väter zugunsten von Abraham und seinen Nachfahren auf ewig verheißen hat«), oder # dass V 55b inkongruente Apposition zu V 55a ist (»Gott hat sich erbarmt - wie er unseren Vätern (d.h. Abraham und seinen Nachkommen auf ewig) verheißen hat«). Möglichkeit (3) ist eher unwahrscheinlich, da inkongruente Appositionen auch im Griechischen recht selten sind; Möglichkeit (2) würde den Übersetzer zwingen, ein Objekt von Gottes Erbarmen zu ergänzen (z.B. »Gott hat sich [ihm (=Israel, seinem Knecht] erbarmt...«). Vorzuziehen ist daher Möglichkeit (1). Der Sinn ist dann, dass mit Mariens Empfängnis des Messias die Verheißung Gottes an Abraham in Erfüllung geht, dass er sich ihm und seinen Nachfahren gegenüber gemäß seiner Bundestreue verhalten würde.</w:t>
      </w:r>
    </w:p>
  </w:footnote>
  <w:footnote w:id="2111">
    <w:p>
      <w:pPr>
        <w:pStyle w:val="Funote"/>
        <w:rPr/>
      </w:pPr>
      <w:r>
        <w:rPr/>
        <w:footnoteRef/>
        <w:tab/>
        <w:t>wörtl.: „gesagt hat“. Semitismus; im Hebräischen steht auch für „verheißen“ das gewöhnliche „sagen“ (vgl. Grosvenor/Zerwick 1993, S. 174).</w:t>
      </w:r>
    </w:p>
  </w:footnote>
  <w:footnote w:id="2112">
    <w:p>
      <w:pPr>
        <w:pStyle w:val="Funote"/>
        <w:rPr/>
      </w:pPr>
      <w:r>
        <w:rPr/>
        <w:footnoteRef/>
        <w:tab/>
        <w:t>[Status: Zuverlässig]</w:t>
      </w:r>
    </w:p>
  </w:footnote>
  <w:footnote w:id="2113">
    <w:p>
      <w:pPr>
        <w:pStyle w:val="Funote"/>
        <w:rPr/>
      </w:pPr>
      <w:r>
        <w:rPr/>
        <w:footnoteRef/>
        <w:tab/>
        <w:t>Partizip Präsens Aktiv zu Nebensatz aufgelöst</w:t>
      </w:r>
    </w:p>
  </w:footnote>
  <w:footnote w:id="2114">
    <w:p>
      <w:pPr>
        <w:pStyle w:val="Funote"/>
        <w:rPr/>
      </w:pPr>
      <w:r>
        <w:rPr/>
        <w:footnoteRef/>
        <w:tab/>
        <w:t>Nach dem Tod von Herodes dem Großen (4 v. Chr.) wurde sein Herrschaftgebiet in mehrere Fürstentümer aufgeteilt, deren Herrscher Tetrarchen (Vierfürsten) genannt wurden.</w:t>
      </w:r>
    </w:p>
  </w:footnote>
  <w:footnote w:id="2115">
    <w:p>
      <w:pPr>
        <w:pStyle w:val="Funote"/>
        <w:rPr/>
      </w:pPr>
      <w:r>
        <w:rPr/>
        <w:footnoteRef/>
        <w:tab/>
        <w:t>Partizip Präsens Aktiv gleichgeordnet aufgelöst</w:t>
      </w:r>
    </w:p>
  </w:footnote>
  <w:footnote w:id="2116">
    <w:p>
      <w:pPr>
        <w:pStyle w:val="Funote"/>
        <w:rPr/>
      </w:pPr>
      <w:r>
        <w:rPr/>
        <w:footnoteRef/>
        <w:tab/>
        <w:t>Der Septuaginta-Text von Jesaja 40,3–4 stimmt fast wörtlich mit dem folgenden Zitat überein. Bei Jesaja steht der zusätzliche Satz: „Dann wird sich die Herrlichkeit JHWHs zeigen“. Auch heißt es hier bei Lukas (und Parralelstellen) nicht „die Straßen Gottes“, sondern „seine Straßen“. Diese Textvarianten ermöglichen einen Bezug auf Jesus. In Kombination mit Lk 1,17.76 wird so die Vorbereitung auf das Kommen Jesu in den Hauptfokus des Textes gestellt.</w:t>
      </w:r>
    </w:p>
  </w:footnote>
  <w:footnote w:id="2117">
    <w:p>
      <w:pPr>
        <w:pStyle w:val="Funote"/>
        <w:rPr/>
      </w:pPr>
      <w:r>
        <w:rPr/>
        <w:footnoteRef/>
        <w:tab/>
        <w:t>Partizip Präsens Medium/Passiv zu einem Nebensatz aufgelöst</w:t>
      </w:r>
    </w:p>
  </w:footnote>
  <w:footnote w:id="2118">
    <w:p>
      <w:pPr>
        <w:pStyle w:val="Funote"/>
        <w:rPr/>
      </w:pPr>
      <w:r>
        <w:rPr/>
        <w:footnoteRef/>
        <w:tab/>
        <w:t>Oder: Wer hat euch angewiesen, vor dem kommenden Zorn die Flucht zu ergreifen?</w:t>
      </w:r>
    </w:p>
  </w:footnote>
  <w:footnote w:id="2119">
    <w:p>
      <w:pPr>
        <w:pStyle w:val="Funote"/>
        <w:rPr/>
      </w:pPr>
      <w:r>
        <w:rPr/>
        <w:footnoteRef/>
        <w:tab/>
        <w:t>Oder: Tut also Werke, die der Reue angemessen sind / Bringt also Früchte, wie es der Umkehr entspricht</w:t>
      </w:r>
    </w:p>
  </w:footnote>
  <w:footnote w:id="2120">
    <w:p>
      <w:pPr>
        <w:pStyle w:val="Funote"/>
        <w:rPr/>
      </w:pPr>
      <w:r>
        <w:rPr/>
        <w:footnoteRef/>
        <w:tab/>
        <w:t>Wörtlich: Antwortend {aber} sagte er ihnen. Das „fragen“ in Vers 10 und in Vers 14 steht im Imperfekt, was andeutet, dass die Fragen über einen längeren Zeitraum hinweg immer wieder gestellt wurden (durativer bzw. iterativer Aspekt). Demgegenüber steht Vers 12 im Aorist (einmaliges Geschehen). Es handelt sich also von der Form her wohl nicht um eine Predigt, sondern eher um Beispiele für typische Fragen, die Johannes immer wieder gestellt wurden.</w:t>
      </w:r>
    </w:p>
  </w:footnote>
  <w:footnote w:id="2121">
    <w:p>
      <w:pPr>
        <w:pStyle w:val="Funote"/>
        <w:rPr/>
      </w:pPr>
      <w:r>
        <w:rPr/>
        <w:footnoteRef/>
        <w:tab/>
        <w:t>Substantiviertes Adjektiv als Satzsubjekt zu einem Nebensatz aufgelöst.</w:t>
      </w:r>
    </w:p>
  </w:footnote>
  <w:footnote w:id="2122">
    <w:p>
      <w:pPr>
        <w:pStyle w:val="Funote"/>
        <w:rPr/>
      </w:pPr>
      <w:r>
        <w:rPr/>
        <w:footnoteRef/>
        <w:tab/>
        <w:t>Relativischer Anschluss</w:t>
      </w:r>
    </w:p>
  </w:footnote>
  <w:footnote w:id="2123">
    <w:p>
      <w:pPr>
        <w:pStyle w:val="Funote"/>
        <w:rPr/>
      </w:pPr>
      <w:r>
        <w:rPr/>
        <w:footnoteRef/>
        <w:tab/>
        <w:t>Das Lösen von Schuhriemen galt als Sklavenarbeit</w:t>
      </w:r>
    </w:p>
  </w:footnote>
  <w:footnote w:id="2124">
    <w:p>
      <w:pPr>
        <w:pStyle w:val="Funote"/>
        <w:rPr/>
      </w:pPr>
      <w:r>
        <w:rPr/>
        <w:footnoteRef/>
        <w:tab/>
        <w:t>Beim Worfeln wurde gedroschenes Getreide hochgeworfen, damit der Wind die Spreu fortwehte. Zum Zeitpunkt des Worfelns ist das Dreschen (Trennung von Getreide und Stroh) bereits geschehen, während die Trennung von Korn und Spreu noch erfolgt. Das Worfeln ist also der letzte Arbeitsschritt, bevor das Getreide endgültig gereinigt ist. In diesem Bildwort steht es inhaltlich wohl für eine abschließende Prüfung vor dem Heilsgeschehen.</w:t>
      </w:r>
    </w:p>
  </w:footnote>
  <w:footnote w:id="2125">
    <w:p>
      <w:pPr>
        <w:pStyle w:val="Funote"/>
        <w:rPr/>
      </w:pPr>
      <w:r>
        <w:rPr/>
        <w:footnoteRef/>
        <w:tab/>
        <w:t>Genitivus absolutus mit Partizip Aorist Passiv und Partizip Präsens Medium/Passiv zu einem gemeinsamen Nebensatz aufgelöst</w:t>
      </w:r>
    </w:p>
  </w:footnote>
  <w:footnote w:id="2126">
    <w:p>
      <w:pPr>
        <w:pStyle w:val="Funote"/>
        <w:rPr/>
      </w:pPr>
      <w:r>
        <w:rPr/>
        <w:footnoteRef/>
        <w:tab/>
        <w:t>Partizip Präsens gleichgeordnet aufgelöst</w:t>
      </w:r>
    </w:p>
  </w:footnote>
  <w:footnote w:id="2127">
    <w:p>
      <w:pPr>
        <w:pStyle w:val="Funote"/>
        <w:rPr/>
      </w:pPr>
      <w:r>
        <w:rPr/>
        <w:footnoteRef/>
        <w:tab/>
        <w:t>[Status: Zuverlässig]</w:t>
      </w:r>
    </w:p>
  </w:footnote>
  <w:footnote w:id="2128">
    <w:p>
      <w:pPr>
        <w:pStyle w:val="Funote"/>
        <w:rPr/>
      </w:pPr>
      <w:r>
        <w:rPr/>
        <w:footnoteRef/>
        <w:tab/>
        <w:t>Lokativer Genitiv.</w:t>
      </w:r>
    </w:p>
  </w:footnote>
  <w:footnote w:id="2129">
    <w:p>
      <w:pPr>
        <w:pStyle w:val="Funote"/>
        <w:rPr/>
      </w:pPr>
      <w:r>
        <w:rPr/>
        <w:footnoteRef/>
        <w:tab/>
        <w:t xml:space="preserve">Die Variante in der Klammer folgt der NGÜ, die das griechische Idiom „ein Boot besteigen“ seiner Verwendung gemäß mit „ablegen“ (oder „in See stechen“, „sich einschiffen“) übersetzt. Weil das intransitiv ist, zieht die NGÜ die griechische Präpositionalphrase </w:t>
      </w:r>
      <w:r>
        <w:rPr>
          <w:lang w:val="el-GR"/>
        </w:rPr>
        <w:t>εἰς τὸ πλοῖον</w:t>
      </w:r>
      <w:r>
        <w:rPr/>
        <w:t xml:space="preserve"> „in das Boot“ dann elegant mit dem ersten Prädikat „hinausgehen“ zusammen.</w:t>
      </w:r>
    </w:p>
  </w:footnote>
  <w:footnote w:id="2130">
    <w:p>
      <w:pPr>
        <w:pStyle w:val="Funote"/>
        <w:rPr/>
      </w:pPr>
      <w:r>
        <w:rPr/>
        <w:footnoteRef/>
        <w:tab/>
        <w:t xml:space="preserve">Textkritik: Ein in der Literatur oft gemachter Vorschlag ist die Änderung des durch </w:t>
      </w:r>
      <w:r>
        <w:rPr>
          <w:rtl w:val="true"/>
          <w:lang w:bidi="he-IL"/>
        </w:rPr>
        <w:t>א</w:t>
      </w:r>
      <w:r>
        <w:rPr/>
        <w:t xml:space="preserve">, D, W, </w:t>
      </w:r>
      <w:r>
        <w:rPr>
          <w:lang w:val="el-GR"/>
        </w:rPr>
        <w:t>Θ, Ψ</w:t>
      </w:r>
      <w:r>
        <w:rPr/>
        <w:t xml:space="preserve"> und die Mehrheit später Manuskripte bezeugten Aorists </w:t>
      </w:r>
      <w:r>
        <w:rPr>
          <w:lang w:val="el-GR"/>
        </w:rPr>
        <w:t>γενομένης</w:t>
      </w:r>
      <w:r>
        <w:rPr/>
        <w:t xml:space="preserve"> in den nicht ganz so gut bezeugten Präsens </w:t>
      </w:r>
      <w:r>
        <w:rPr>
          <w:lang w:val="el-GR"/>
        </w:rPr>
        <w:t>γινομένης</w:t>
      </w:r>
      <w:r>
        <w:rPr/>
        <w:t xml:space="preserve">. Der Gebrauch von </w:t>
      </w:r>
      <w:r>
        <w:rPr>
          <w:lang w:val="el-GR"/>
        </w:rPr>
        <w:t>ἤδη</w:t>
      </w:r>
      <w:r>
        <w:rPr/>
        <w:t xml:space="preserve"> stützt jedoch eher den Aorist. Vgl. J. Ramsey Michaels, The Gospel of JOHN, 2010, S. 1031.</w:t>
      </w:r>
    </w:p>
  </w:footnote>
  <w:footnote w:id="2131">
    <w:p>
      <w:pPr>
        <w:pStyle w:val="Funote"/>
        <w:rPr/>
      </w:pPr>
      <w:r>
        <w:rPr/>
        <w:footnoteRef/>
        <w:tab/>
        <w:t>war Gr. „ist“</w:t>
      </w:r>
    </w:p>
  </w:footnote>
  <w:footnote w:id="2132">
    <w:p>
      <w:pPr>
        <w:pStyle w:val="Funote"/>
        <w:rPr/>
      </w:pPr>
      <w:r>
        <w:rPr/>
        <w:footnoteRef/>
        <w:tab/>
        <w:t>Historisches Präsens.</w:t>
      </w:r>
    </w:p>
  </w:footnote>
  <w:footnote w:id="2133">
    <w:p>
      <w:pPr>
        <w:pStyle w:val="Funote"/>
        <w:rPr/>
      </w:pPr>
      <w:r>
        <w:rPr/>
        <w:footnoteRef/>
        <w:tab/>
        <w:t xml:space="preserve">Männer (Kinder) W. </w:t>
      </w:r>
      <w:r>
        <w:rPr>
          <w:lang w:val="el-GR"/>
        </w:rPr>
        <w:t>παιδία</w:t>
      </w:r>
      <w:r>
        <w:rPr/>
        <w:t xml:space="preserve"> »Kinder« ist eine freundliche Gruppenanrede wie »Männer«, »Leute«, »Jungs« (Englisch: »guys«, »lads«, so Carson 1991, 670). Dementsprechend wurde hier nicht missverständlich wörtlich, sondern dieser Funktion entsprechend übersetzt.</w:t>
      </w:r>
    </w:p>
  </w:footnote>
  <w:footnote w:id="2134">
    <w:p>
      <w:pPr>
        <w:pStyle w:val="Funote"/>
        <w:rPr/>
      </w:pPr>
      <w:r>
        <w:rPr/>
        <w:footnoteRef/>
        <w:tab/>
        <w:t>Ihr habt keinen Happen zu essen, oder? Die Frage ist auf Griechisch so formuliert, dass sie eine verneinende Antwort erwartet. Altbacken könnte man auf Deutsch also formulieren: „Habt ihr etwa einen Happen zu essen?“. Wir versuchen hier eine zeitgemäße deutsche Formulierung. Die meisten deutschen Übersetzungen übersetzen den Fragepartikel mit „nicht“ (REB „wohl“). Wollte man wie sie etwas neutraler formulieren, könnte Jesus fragen: „Habt ihr vielleicht/zufällig einen Happen zu essen?“ Doch Jesus scheint die Antwort – der Formulierung nach zu schließen – schon zu kennen. einen Happen zu essen Diese etwas sinngemäße Übersetzung ist vielleicht die genaueste. Ein „Happen zu essen“ bestand in Galiläa häufig aus Fisch, es handelt sich hier auch um ein anderes Wort für „Fisch“ (Carson 1991, 670). Jesus fragt also nicht, ob die Jünger Fisch gefangen haben, sondern ob sie etwas zu essen dabei bzw. für ihn übrig haben.</w:t>
      </w:r>
    </w:p>
  </w:footnote>
  <w:footnote w:id="2135">
    <w:p>
      <w:pPr>
        <w:pStyle w:val="Funote"/>
        <w:rPr/>
      </w:pPr>
      <w:r>
        <w:rPr/>
        <w:footnoteRef/>
        <w:tab/>
        <w:t>[doch einmal] auf der rechten Seite des Bootes Die Einfügung [doch einmal] soll wie die griechische Wortstellung die von Jesus vorgeschlagene Alternative hervorheben.</w:t>
      </w:r>
    </w:p>
  </w:footnote>
  <w:footnote w:id="2136">
    <w:p>
      <w:pPr>
        <w:pStyle w:val="Funote"/>
        <w:rPr/>
      </w:pPr>
      <w:r>
        <w:rPr/>
        <w:footnoteRef/>
        <w:tab/>
        <w:t>Als Simon Petrus hörte Temporales, als Nebensatz aufgelöstes Ptc. coni.</w:t>
      </w:r>
    </w:p>
  </w:footnote>
  <w:footnote w:id="2137">
    <w:p>
      <w:pPr>
        <w:pStyle w:val="Funote"/>
        <w:rPr/>
      </w:pPr>
      <w:r>
        <w:rPr/>
        <w:footnoteRef/>
        <w:tab/>
        <w:t>er war nämlich (denn) nackt Das griechische Wort lässt offen, ob Petrus ganz nackt oder nur teilweise entkleidet war. Daher wäre auch die etwas freiere Alternativübersetzung denkbar: „er hatte es nämlich abgelegt“ o.ä. (vgl. NGÜ).</w:t>
      </w:r>
    </w:p>
  </w:footnote>
  <w:footnote w:id="2138">
    <w:p>
      <w:pPr>
        <w:pStyle w:val="Funote"/>
        <w:rPr/>
      </w:pPr>
      <w:r>
        <w:rPr/>
        <w:footnoteRef/>
        <w:tab/>
        <w:t>Die Juden nannten den See Tiberias das „Meer von Galiläa“.</w:t>
      </w:r>
    </w:p>
  </w:footnote>
  <w:footnote w:id="2139">
    <w:p>
      <w:pPr>
        <w:pStyle w:val="Funote"/>
        <w:rPr/>
      </w:pPr>
      <w:r>
        <w:rPr/>
        <w:footnoteRef/>
        <w:tab/>
        <w:t>[mit] dem Boot Instrumentaler Dativ.</w:t>
      </w:r>
    </w:p>
  </w:footnote>
  <w:footnote w:id="2140">
    <w:p>
      <w:pPr>
        <w:pStyle w:val="Funote"/>
        <w:rPr/>
      </w:pPr>
      <w:r>
        <w:rPr/>
        <w:footnoteRef/>
        <w:tab/>
        <w:t>Dabei zogen sie das Netz [mit] den Fischen [hinter sich] her Als modaler HS aufgelöstes Ptc. coni. Netz [mit] den Fischen W. „Netz der Fische“, wohl appositiver Genitiv.</w:t>
      </w:r>
    </w:p>
  </w:footnote>
  <w:footnote w:id="2141">
    <w:p>
      <w:pPr>
        <w:pStyle w:val="Funote"/>
        <w:rPr/>
      </w:pPr>
      <w:r>
        <w:rPr/>
        <w:footnoteRef/>
        <w:tab/>
        <w:t>vorbereitetes und daraufgelegt AcP mit zwei Partizipien, im ersten Fall adjektivisch, im zweiten Fall als eigenständig angehängter NS übersetzt. Auch möglich wäre eine Konstruktion mit einem doppelten Infinitiv-NS.</w:t>
      </w:r>
    </w:p>
  </w:footnote>
  <w:footnote w:id="2142">
    <w:p>
      <w:pPr>
        <w:pStyle w:val="Funote"/>
        <w:rPr/>
      </w:pPr>
      <w:r>
        <w:rPr/>
        <w:footnoteRef/>
        <w:tab/>
        <w:t>Genitivus partitivus.</w:t>
      </w:r>
    </w:p>
  </w:footnote>
  <w:footnote w:id="2143">
    <w:p>
      <w:pPr>
        <w:pStyle w:val="Funote"/>
        <w:rPr/>
      </w:pPr>
      <w:r>
        <w:rPr/>
        <w:footnoteRef/>
        <w:tab/>
        <w:t>obwohl es so viele waren Als konzessiver NS aufgelöster Gen. abs.</w:t>
      </w:r>
    </w:p>
  </w:footnote>
  <w:footnote w:id="2144">
    <w:p>
      <w:pPr>
        <w:pStyle w:val="Funote"/>
        <w:rPr/>
      </w:pPr>
      <w:r>
        <w:rPr/>
        <w:footnoteRef/>
        <w:tab/>
        <w:t>[von] den Jüngern Genitivus partitivus.</w:t>
      </w:r>
    </w:p>
  </w:footnote>
  <w:footnote w:id="2145">
    <w:p>
      <w:pPr>
        <w:pStyle w:val="Funote"/>
        <w:rPr/>
      </w:pPr>
      <w:r>
        <w:rPr/>
        <w:footnoteRef/>
        <w:tab/>
        <w:t>kam und nahm Jew. Historisches Präsens.</w:t>
      </w:r>
    </w:p>
  </w:footnote>
  <w:footnote w:id="2146">
    <w:p>
      <w:pPr>
        <w:pStyle w:val="Funote"/>
        <w:rPr/>
      </w:pPr>
      <w:r>
        <w:rPr/>
        <w:footnoteRef/>
        <w:tab/>
        <w:t>Part. Aor. pass.</w:t>
      </w:r>
    </w:p>
  </w:footnote>
  <w:footnote w:id="2147">
    <w:p>
      <w:pPr>
        <w:pStyle w:val="Funote"/>
        <w:rPr/>
      </w:pPr>
      <w:r>
        <w:rPr/>
        <w:footnoteRef/>
        <w:tab/>
        <w:t>Simon, [Sohn] von Johannes Textkritik: Eine relativ starke Tradition (A C², westliche und byzantinische) bezeugt einheitlich die Anrede »Simon [Sohn von] Jona« in den Versen 15.16.17. Das ist wohl eine Angleichung an Mt 16,17, dagegen steht Johannes auch in Joh 1,42. Die meisten wichtigen Zeugen erhalten dann auch die vorgezogene Lesart (vgl. Barrett 1990, 558).</w:t>
      </w:r>
    </w:p>
  </w:footnote>
  <w:footnote w:id="2148">
    <w:p>
      <w:pPr>
        <w:pStyle w:val="Funote"/>
        <w:rPr/>
      </w:pPr>
      <w:r>
        <w:rPr/>
        <w:footnoteRef/>
        <w:tab/>
        <w:t>Jesus Textkritik: [</w:t>
      </w:r>
      <w:r>
        <w:rPr>
          <w:lang w:val="el-GR"/>
        </w:rPr>
        <w:t>ὁ Ἰησοῦς</w:t>
      </w:r>
      <w:r>
        <w:rPr/>
        <w:t xml:space="preserve">] ist in NA28 als unsichere Lesart in eckige Klammern gesetzt. Es existieren drei Varianten: </w:t>
      </w:r>
      <w:r>
        <w:rPr>
          <w:lang w:val="el-GR"/>
        </w:rPr>
        <w:t>ὁ Ἰησοῦς</w:t>
      </w:r>
      <w:r>
        <w:rPr/>
        <w:t xml:space="preserve"> (A K N </w:t>
      </w:r>
      <w:r>
        <w:rPr>
          <w:lang w:val="el-GR"/>
        </w:rPr>
        <w:t>Γ Δ</w:t>
      </w:r>
      <w:r>
        <w:rPr/>
        <w:t xml:space="preserve">, einige Minuskeln, Mehrheitstext), </w:t>
      </w:r>
      <w:r>
        <w:rPr>
          <w:lang w:val="el-GR"/>
        </w:rPr>
        <w:t>Ἰησοῦς</w:t>
      </w:r>
      <w:r>
        <w:rPr/>
        <w:t xml:space="preserve"> (B C) sowie – (: </w:t>
      </w:r>
      <w:r>
        <w:rPr>
          <w:rtl w:val="true"/>
          <w:lang w:bidi="he-IL"/>
        </w:rPr>
        <w:t>א</w:t>
      </w:r>
      <w:r>
        <w:rPr/>
        <w:t xml:space="preserve"> </w:t>
      </w:r>
      <w:r>
        <w:rPr/>
        <w:t xml:space="preserve">D W f1 33 sowie diversen alten Übersetzungen: lat sy bohairisch). Weil es keinen Grund für die Einfügung des Subjekts gibt, aber die Auslassung in Anpassung an V. 15 und 16 plausibel wäre, ist die dritte Variante wahrscheinlich sekundär. Für die Lesart mit Artikel </w:t>
      </w:r>
      <w:r>
        <w:rPr>
          <w:lang w:val="el-GR"/>
        </w:rPr>
        <w:t>ὁ</w:t>
      </w:r>
      <w:r>
        <w:rPr/>
        <w:t xml:space="preserve"> spricht ihre breite Bezeugung, für die zweite immerhin noch das Gewicht von B und C, sodass NA28 vermutlich richtig liegt.</w:t>
      </w:r>
    </w:p>
  </w:footnote>
  <w:footnote w:id="2149">
    <w:p>
      <w:pPr>
        <w:pStyle w:val="Funote"/>
        <w:rPr/>
      </w:pPr>
      <w:r>
        <w:rPr/>
        <w:footnoteRef/>
        <w:tab/>
        <w:t>nachdem er das gesagt hatte Als temporaler Nebensatz aufgelöstes Ptc. coni.</w:t>
      </w:r>
    </w:p>
  </w:footnote>
  <w:footnote w:id="2150">
    <w:p>
      <w:pPr>
        <w:pStyle w:val="Funote"/>
        <w:rPr/>
      </w:pPr>
      <w:r>
        <w:rPr/>
        <w:footnoteRef/>
        <w:tab/>
        <w:t>Als er sich umwandte Als temporaler Nebensatz aufgelöstes Ptc. coni.</w:t>
      </w:r>
    </w:p>
  </w:footnote>
  <w:footnote w:id="2151">
    <w:p>
      <w:pPr>
        <w:pStyle w:val="Funote"/>
        <w:rPr/>
      </w:pPr>
      <w:r>
        <w:rPr/>
        <w:footnoteRef/>
        <w:tab/>
        <w:t>sah, dass … folgte AcP.</w:t>
      </w:r>
    </w:p>
  </w:footnote>
  <w:footnote w:id="2152">
    <w:p>
      <w:pPr>
        <w:pStyle w:val="Funote"/>
        <w:rPr/>
      </w:pPr>
      <w:r>
        <w:rPr/>
        <w:footnoteRef/>
        <w:tab/>
        <w:t xml:space="preserve">also Textkritik: </w:t>
      </w:r>
      <w:r>
        <w:rPr>
          <w:lang w:val="el-GR"/>
        </w:rPr>
        <w:t>οὖν</w:t>
      </w:r>
      <w:r>
        <w:rPr/>
        <w:t xml:space="preserve"> fehlt in einigen alexandrinischen, westlichen Handschriften und im Mehrheitstext. Maßgebliche frühe Zeugen enthalten es jedoch. Weil es sich bei dem </w:t>
      </w:r>
      <w:r>
        <w:rPr>
          <w:lang w:val="el-GR"/>
        </w:rPr>
        <w:t>οὖν</w:t>
      </w:r>
      <w:r>
        <w:rPr/>
        <w:t xml:space="preserve"> als zweitem Wort im Satz um eine typische johanneische Formulierung handelt, mit der der Evangelist seine häufigen erklärenden Parenthesen (wie hier die Identifizierung des Lieblingsjüngers) beendet und zur Erzählung zurückkehrt, hat sie hier ihre Berechtigung. Aber das wäre die längere Lesart und könnte auch eine stilistische Anpassung sein. Darauf, dass es sich auch nicht um eine solche Harmonisierung handelt, weist seine Position in der Wortfolge </w:t>
      </w:r>
      <w:r>
        <w:rPr>
          <w:lang w:val="el-GR"/>
        </w:rPr>
        <w:t>τοῦτον οὖν ἰδὼν</w:t>
      </w:r>
      <w:r>
        <w:rPr/>
        <w:t xml:space="preserve"> „diesen also sah“ hin. Alle drei Wörter enden ähnlich: „...ton uhn idon“ (Homoioteleuton), da könnte das mittlere, unwesentliche früh durch einen Lese- oder Hörfehler (Parablepsis) weggefallen sein. Das leichte interne Gewicht zur längeren Lesart hin wird durch die relativ klare externe Bezeugung entschieden.</w:t>
      </w:r>
    </w:p>
  </w:footnote>
  <w:footnote w:id="2153">
    <w:p>
      <w:pPr>
        <w:pStyle w:val="Funote"/>
        <w:rPr/>
      </w:pPr>
      <w:r>
        <w:rPr/>
        <w:footnoteRef/>
        <w:tab/>
        <w:t>will, dass er bleibt AcI.</w:t>
      </w:r>
    </w:p>
  </w:footnote>
  <w:footnote w:id="2154">
    <w:p>
      <w:pPr>
        <w:pStyle w:val="Funote"/>
        <w:rPr/>
      </w:pPr>
      <w:r>
        <w:rPr/>
        <w:footnoteRef/>
        <w:tab/>
        <w:t>[Status: Zuverlässig]</w:t>
      </w:r>
    </w:p>
  </w:footnote>
  <w:footnote w:id="2155">
    <w:p>
      <w:pPr>
        <w:pStyle w:val="Funote"/>
        <w:rPr/>
      </w:pPr>
      <w:r>
        <w:rPr/>
        <w:footnoteRef/>
        <w:tab/>
        <w:t>Wörtlich mehr in Richtung „jedes Mal, wenn...“, „bei jeder Gelegenheit“, was hier aber missverständlich wäre.</w:t>
      </w:r>
    </w:p>
  </w:footnote>
  <w:footnote w:id="2156">
    <w:p>
      <w:pPr>
        <w:pStyle w:val="Funote"/>
        <w:rPr/>
      </w:pPr>
      <w:r>
        <w:rPr/>
        <w:footnoteRef/>
        <w:tab/>
        <w:t>Gen. epexegeticus.</w:t>
      </w:r>
    </w:p>
  </w:footnote>
  <w:footnote w:id="2157">
    <w:p>
      <w:pPr>
        <w:pStyle w:val="Funote"/>
        <w:rPr/>
      </w:pPr>
      <w:r>
        <w:rPr/>
        <w:footnoteRef/>
        <w:tab/>
        <w:t>der herumführt und bekannt macht Auflösung zweier attr. Ptz.</w:t>
      </w:r>
    </w:p>
  </w:footnote>
  <w:footnote w:id="2158">
    <w:p>
      <w:pPr>
        <w:pStyle w:val="Funote"/>
        <w:rPr/>
      </w:pPr>
      <w:r>
        <w:rPr/>
        <w:footnoteRef/>
        <w:tab/>
        <w:t>Duft ist in der Regel nicht sichtbar, deshalb wurde das Wort in einem allgemeineren Sinn übersetzt. „Sichtbar machen“ ist allerdings ebenso denkbar, weil Paulus hier vielleicht an Weihrauch denkt.</w:t>
      </w:r>
    </w:p>
  </w:footnote>
  <w:footnote w:id="2159">
    <w:p>
      <w:pPr>
        <w:pStyle w:val="Funote"/>
        <w:rPr/>
      </w:pPr>
      <w:r>
        <w:rPr/>
        <w:footnoteRef/>
        <w:tab/>
        <w:t>Oder als Dativus commodi: „für Gott“; eine mögliche Übersetzung der Stelle wäre dann „wir leben für Gott als Wohlgeruch Christi“ (nach Mofatt bei Harris).</w:t>
      </w:r>
    </w:p>
  </w:footnote>
  <w:footnote w:id="2160">
    <w:p>
      <w:pPr>
        <w:pStyle w:val="Funote"/>
        <w:rPr/>
      </w:pPr>
      <w:r>
        <w:rPr/>
        <w:footnoteRef/>
        <w:tab/>
        <w:t>Auflösung zweier subst. Ptz.</w:t>
      </w:r>
    </w:p>
  </w:footnote>
  <w:footnote w:id="2161">
    <w:p>
      <w:pPr>
        <w:pStyle w:val="Funote"/>
        <w:rPr/>
      </w:pPr>
      <w:r>
        <w:rPr/>
        <w:footnoteRef/>
        <w:tab/>
        <w:t>Auflösung eines subst. Ptz. Alternativ nach Harris periphrastisches Verständnis durch direkten Bezug auf „wir sind“. Die Übersetzung lautete dann „wir machen nicht, wie so viele, Geschäfte...“</w:t>
      </w:r>
    </w:p>
  </w:footnote>
  <w:footnote w:id="2162">
    <w:p>
      <w:pPr>
        <w:pStyle w:val="Funote"/>
        <w:rPr/>
      </w:pPr>
      <w:r>
        <w:rPr/>
        <w:footnoteRef/>
        <w:tab/>
        <w:t>D.h. wohl „von Gott [Beauftragte]“</w:t>
      </w:r>
    </w:p>
  </w:footnote>
  <w:footnote w:id="2163">
    <w:p>
      <w:pPr>
        <w:pStyle w:val="Funote"/>
        <w:rPr/>
      </w:pPr>
      <w:r>
        <w:rPr/>
        <w:footnoteRef/>
        <w:tab/>
        <w:t>D.h. wohl „[in der Verantwortung] vor Gott“</w:t>
      </w:r>
    </w:p>
  </w:footnote>
  <w:footnote w:id="2164">
    <w:p>
      <w:pPr>
        <w:pStyle w:val="Funote"/>
        <w:rPr/>
      </w:pPr>
      <w:r>
        <w:rPr/>
        <w:footnoteRef/>
        <w:tab/>
        <w:t>So wörtlich. Der semantische Bezug zum „Wort Gottes“ ist im Griechischen wohl zumindest andeutungsweise vorhanden, wird bei wörtlicher Übersetzung (als „sprechen wir“) aber unberücksichtigt gelassen.</w:t>
      </w:r>
    </w:p>
  </w:footnote>
  <w:footnote w:id="2165">
    <w:p>
      <w:pPr>
        <w:pStyle w:val="Funote"/>
        <w:rPr/>
      </w:pPr>
      <w:r>
        <w:rPr/>
        <w:footnoteRef/>
        <w:tab/>
        <w:t>[Status: Zuverlässig]</w:t>
      </w:r>
    </w:p>
  </w:footnote>
  <w:footnote w:id="2166">
    <w:p>
      <w:pPr>
        <w:pStyle w:val="Funote"/>
        <w:rPr/>
      </w:pPr>
      <w:r>
        <w:rPr/>
        <w:footnoteRef/>
        <w:tab/>
        <w:t>Timotheus war ein enger Mitarbeiter des Apostels Paulus, der auch in 2Kor 1,1; Phil 1,1; Phlm 1 als Mitverfasser erwähnt wird; zusammen mit Silvanus auch in 1Thess 1,1; 2Thess 1,1. Nach den Angaben der Apostelgeschichte nahm Paulus ihn aufgrund seines guten Rufs unter den Gläubigen während seiner zweiten Missionsreise in Derbe in sein Mitarbeiterteam auf (Apg 16,1-3). Er war Paulus meistgeschätzter Mitarbeiter (O'Brien 1982, 3). Es ist unklar, welche Rolle er bei der Abfassung des Briefes spielte, wenn die Angabe nicht pseudepigraphisch ist. Gut denkbare Gründe für seine Erwähnung (oder Beteiligung) sind, dass er den Adressaten persönlich bekannt war (Moo 2008, 76) oder die Zuverlässigkeit seiner Lehre garantiert werden sollte (O'Brien 1982, 3).</w:t>
      </w:r>
    </w:p>
  </w:footnote>
  <w:footnote w:id="2167">
    <w:p>
      <w:pPr>
        <w:pStyle w:val="Funote"/>
        <w:rPr/>
      </w:pPr>
      <w:r>
        <w:rPr/>
        <w:footnoteRef/>
        <w:tab/>
        <w:t>die Heiligen Die Mehrzahl der Übersetzungen (Ausnahmen: REB, SLT, Menge, EÜ) interpretieren „heilig“ wie hier als substantiviert, sodass die Adressaten nicht als „heilige Geschwister“, sondern als „Heilige“ etc. angesprochen werden. Diese Übersetzung beruht auf Parallelen zu anderen Präskripten von Paulusbriefen (Röm, 1Kor, Phil, Eph), wo „heilig“ immer substantiviert gebraucht wird (O'Brien 1982, 3). Die Bezeichnung der Empfänger als „Heilige“ spielt auf die atl. Tradition (so Ex 19,6; Lev 11,44 und mehrfach in Daniel 7) von Israel als heiligem Volk an (vgl. NGÜ, NIV, NLT), die nun auf die Gläubigen angewandt wird (Moo 2008, 78).</w:t>
      </w:r>
    </w:p>
  </w:footnote>
  <w:footnote w:id="2168">
    <w:p>
      <w:pPr>
        <w:pStyle w:val="Funote"/>
        <w:rPr/>
      </w:pPr>
      <w:r>
        <w:rPr/>
        <w:footnoteRef/>
        <w:tab/>
        <w:t>Vgl. die entsprechende Fußnote zu Eph 1,1.</w:t>
      </w:r>
    </w:p>
  </w:footnote>
  <w:footnote w:id="2169">
    <w:p>
      <w:pPr>
        <w:pStyle w:val="Funote"/>
        <w:rPr/>
      </w:pPr>
      <w:r>
        <w:rPr/>
        <w:footnoteRef/>
        <w:tab/>
        <w:t>Generisches Maskulinum.</w:t>
      </w:r>
    </w:p>
  </w:footnote>
  <w:footnote w:id="2170">
    <w:p>
      <w:pPr>
        <w:pStyle w:val="Funote"/>
        <w:rPr/>
      </w:pPr>
      <w:r>
        <w:rPr/>
        <w:footnoteRef/>
        <w:tab/>
        <w:t>in Christus (sowie das ausführlichere „in Christus Jesus“, Kol 1,4) ist bei Paulus ein Lieblingsattribut, das häufig und in den verschiedensten Kontexten Anwendung findet (vgl. etwa analog Eph 1,1). In Kol kommt es sonst nur noch in 1,28 vor. Wegen dieser Vielfalt ist seine genaue Aussageabsicht unmöglich zu definieren; es scheint jedoch insgesamt eine Zugehörigkeit zu Christus und der neuen Realität zu signalisieren (den „geistlichen Aufenthaltsort“ (Moo 2008, 77)), die er geschaffen hat. Wer diesem neuen Zeitalter noch nicht angehört, ist noch „in Adam“ (etwa 1Kor 15,22; 2Kor 5,14-17; Röm 5,12-21) (Moo 2008, 77, vgl. O'Brien 1982, 4).</w:t>
      </w:r>
    </w:p>
  </w:footnote>
  <w:footnote w:id="2171">
    <w:p>
      <w:pPr>
        <w:pStyle w:val="Funote"/>
        <w:rPr/>
      </w:pPr>
      <w:r>
        <w:rPr/>
        <w:footnoteRef/>
        <w:tab/>
        <w:t xml:space="preserve">Einige Handschriften (u.a. die wichtigen alexandrinischen </w:t>
      </w:r>
      <w:r>
        <w:rPr>
          <w:rtl w:val="true"/>
          <w:lang w:bidi="he-IL"/>
        </w:rPr>
        <w:t>א</w:t>
      </w:r>
      <w:r>
        <w:rPr/>
        <w:t>, A sowie der Mehrheitstext) ergänzen „und des Herrn Jesus Christus“, vielleicht in direkter Anlehnung an Eph 2,2, weswegen er in NA27 wohl als sekundär eingestuft wird. Der Teil fehlt u.a. in B, D, 33, 1739.</w:t>
      </w:r>
    </w:p>
  </w:footnote>
  <w:footnote w:id="2172">
    <w:p>
      <w:pPr>
        <w:pStyle w:val="Funote"/>
        <w:rPr/>
      </w:pPr>
      <w:r>
        <w:rPr/>
        <w:footnoteRef/>
        <w:tab/>
        <w:t>Temporal aufgelöstes Ptz. coni. SLT löst stattdessen modal auf: „indem wir allezeit für euch beten“. Nicht nur „für euch“, sondern theoretisch auch „immer wieder“ könnte sich neben „danken“ auch auf „beten“ beziehen (vgl. Moo 2008, 83; so etwa NASB). Solche Danksagungsformeln wie hier sind in der griechischen Antike am Anfang von Briefen verbreitet und finden sich u.a. in Eph 1,16 &amp; 1Thess 1,2 (O'Brien 1982, 8).</w:t>
      </w:r>
    </w:p>
  </w:footnote>
  <w:footnote w:id="2173">
    <w:p>
      <w:pPr>
        <w:pStyle w:val="Funote"/>
        <w:rPr/>
      </w:pPr>
      <w:r>
        <w:rPr/>
        <w:footnoteRef/>
        <w:tab/>
        <w:t>Vgl. die Fußnote in V. 2 bei „in Christus“.</w:t>
      </w:r>
    </w:p>
  </w:footnote>
  <w:footnote w:id="2174">
    <w:p>
      <w:pPr>
        <w:pStyle w:val="Funote"/>
        <w:rPr/>
      </w:pPr>
      <w:r>
        <w:rPr/>
        <w:footnoteRef/>
        <w:tab/>
        <w:t>Kausal aufgelöstes Ptz. coni. (vgl. Moo 2008, 84). Möglich theoretisch auch temporal: „seit“</w:t>
      </w:r>
    </w:p>
  </w:footnote>
  <w:footnote w:id="2175">
    <w:p>
      <w:pPr>
        <w:pStyle w:val="Funote"/>
        <w:rPr/>
      </w:pPr>
      <w:r>
        <w:rPr/>
        <w:footnoteRef/>
        <w:tab/>
        <w:t xml:space="preserve">Der Bezugspunkt dieser Präposition ist im gr. Urtext nicht eindeutig. Gewöhnlich wird V. 5 auf die „Liebe“ (V. 4) bezogen (also Liebe aufgrund der Hoffnung), aber auch ein Rückbezug auf „danken“ (V. 3) ist möglich (also: „Wir danken Gott (3) … wegen der Hoffnung“). Die erste Möglichkeit ist wegen des unmittelbareren Kontexts wahrscheinlicher und natürlicher, zudem hat der Autor bereits mit V. 4 einen Grund für seinen Dank genannt (dass das Partizip </w:t>
      </w:r>
      <w:r>
        <w:rPr>
          <w:lang w:val="el-GR"/>
        </w:rPr>
        <w:t>ἀκούσαντες</w:t>
      </w:r>
      <w:r>
        <w:rPr/>
        <w:t xml:space="preserve"> so gemeint ist, geht aus der Diskursstruktur klar hervor)(Moo 2008, 85).</w:t>
      </w:r>
    </w:p>
  </w:footnote>
  <w:footnote w:id="2176">
    <w:p>
      <w:pPr>
        <w:pStyle w:val="Funote"/>
        <w:rPr/>
      </w:pPr>
      <w:r>
        <w:rPr/>
        <w:footnoteRef/>
        <w:tab/>
        <w:t>Wörtlich ein Plural.</w:t>
      </w:r>
    </w:p>
  </w:footnote>
  <w:footnote w:id="2177">
    <w:p>
      <w:pPr>
        <w:pStyle w:val="Funote"/>
        <w:rPr/>
      </w:pPr>
      <w:r>
        <w:rPr/>
        <w:footnoteRef/>
        <w:tab/>
        <w:t>Wenn eine gezielte Betonung des „vorher“ (im Gegensatz zu „schon“) intendiert ist, dann bezieht sich das vielleicht auf die Zeit, wo Epaphras in Kolossä evangelisierte, vor dem Aufkommen der Irrlehre, die mit dem Brief bekämpft wird (so seit Moule 1898, 67; vgl. Moo 2008, 86).</w:t>
      </w:r>
    </w:p>
  </w:footnote>
  <w:footnote w:id="2178">
    <w:p>
      <w:pPr>
        <w:pStyle w:val="Funote"/>
        <w:rPr/>
      </w:pPr>
      <w:r>
        <w:rPr/>
        <w:footnoteRef/>
        <w:tab/>
        <w:t xml:space="preserve">W: „Wort der Wahrheit des Evangeliums“. Wie die drei Begriffe durch die beiden Genitive semantisch verknüpft werden sollen, geht nicht aus ihnen hervor. Die gewählte Auflösung – mit „Evangelium“ als Apposition – ist die häufigste (ESV, NET, NRSV, LEB, HCSB). Die 1. alternative Deutung in der Klammer (nach NIV) versteht „der Wahrheit“ als attributiven Genitiv, also wie ein Adjektiv. Es ist auch möglich, jeden der Genitive als näher bestimmende Apposition zu verstehen, dann sinngemäß: „Wort/Botschaft, das die Wahrheit ist, nämlich das Evangelium“ (so Moo 2008, 86f., vgl. O'Brien 1982, 12). </w:t>
      </w:r>
      <w:r>
        <w:rPr>
          <w:lang w:val="el-GR"/>
        </w:rPr>
        <w:t>ἐν</w:t>
      </w:r>
      <w:r>
        <w:rPr/>
        <w:t xml:space="preserve"> („in“ (lokal), „durch“ (instr.)) kann hier entweder instrumental gemeint sein (und betont dann die Weise, auf die sie die Hoffnung bekamen) oder lokal (dann wäre hervorgehoben, dass die Hoffnung inhaltlicher Teil des Evangeliums ist).</w:t>
      </w:r>
    </w:p>
  </w:footnote>
  <w:footnote w:id="2179">
    <w:p>
      <w:pPr>
        <w:pStyle w:val="Funote"/>
        <w:rPr/>
      </w:pPr>
      <w:r>
        <w:rPr/>
        <w:footnoteRef/>
        <w:tab/>
        <w:t>Attributives Ptz. Aor., als Relativsatz aufgelöst.</w:t>
      </w:r>
    </w:p>
  </w:footnote>
  <w:footnote w:id="2180">
    <w:p>
      <w:pPr>
        <w:pStyle w:val="Funote"/>
        <w:rPr/>
      </w:pPr>
      <w:r>
        <w:rPr/>
        <w:footnoteRef/>
        <w:tab/>
        <w:t>Mit der „ganzen Welt“ ist im Denken des Verfassers zunächst die zivilisierte, bekannte Welt der städtischen Zentren des römischen Reichs samt angrenzenden Gebieten gemeint. Oder es ist ganz einfach eine Übertreibung, die er gebraucht, um den Erfolg des Evangeliums zu unterstreichen (vgl. Moo 2008, 89; O'Brien 1982, 13).</w:t>
      </w:r>
    </w:p>
  </w:footnote>
  <w:footnote w:id="2181">
    <w:p>
      <w:pPr>
        <w:pStyle w:val="Funote"/>
        <w:rPr/>
      </w:pPr>
      <w:r>
        <w:rPr/>
        <w:footnoteRef/>
        <w:tab/>
        <w:t xml:space="preserve">Vers 6 wird durch die doppelte Verwendung von </w:t>
      </w:r>
      <w:r>
        <w:rPr>
          <w:lang w:val="el-GR"/>
        </w:rPr>
        <w:t>καθώς</w:t>
      </w:r>
      <w:r>
        <w:rPr/>
        <w:t xml:space="preserve"> („(genau) wie“) stilistisch holprig (vgl. Moo 2008, 87f.). Viele Übersetzungen lassen deshalb mit dem ersten „wie“ einen neuen Satz beginnen, sodass sich der folgende Satzteil nicht auf den vorhergehenden, sondern auf den darauffolgenden bezieht (so EÜ, NGÜ, Menge, Zürcher, NET, NRSV, HCSB), etwa so: „... das zu euch gekommen ist. So wie es auch auf der ganzen Welt Frucht bringt und sich verbreitet, so [geschieht es] auch unter euch...“ Gestützt wird das durch einige unwichtige Textzeugen, die an der Stelle noch ein „und“ einfügen, wo der Satz getrennt wird. Dabei wird allerdings das zweite </w:t>
      </w:r>
      <w:r>
        <w:rPr>
          <w:lang w:val="el-GR"/>
        </w:rPr>
        <w:t>καθώς</w:t>
      </w:r>
      <w:r>
        <w:rPr/>
        <w:t xml:space="preserve"> als „so“ übersetzt – eigentlich würde man in diesem Fall </w:t>
      </w:r>
      <w:r>
        <w:rPr>
          <w:lang w:val="el-GR"/>
        </w:rPr>
        <w:t>οὕτως</w:t>
      </w:r>
      <w:r>
        <w:rPr/>
        <w:t xml:space="preserve"> („so“) erwarten (Wilson 2005, 91). Das möchte Wilson mit der Textstruktur erklären (ebd.). S.a. die Fußnote bei „wie“ in V. 7.</w:t>
      </w:r>
    </w:p>
  </w:footnote>
  <w:footnote w:id="2182">
    <w:p>
      <w:pPr>
        <w:pStyle w:val="Funote"/>
        <w:rPr/>
      </w:pPr>
      <w:r>
        <w:rPr/>
        <w:footnoteRef/>
        <w:tab/>
        <w:t xml:space="preserve">wirklich (in Wahrheit) Explizit so NIV, NRSV, vgl. Moo 2008, 89, den Sinn von „wirklich, tatsächlich“ hat </w:t>
      </w:r>
      <w:r>
        <w:rPr>
          <w:lang w:val="el-GR"/>
        </w:rPr>
        <w:t>ἐν ἀληθείᾳ</w:t>
      </w:r>
      <w:r>
        <w:rPr/>
        <w:t xml:space="preserve"> („in Wahrheit“) u.a. in Mt 22,16; Joh 17,19; 2Joh 1; 3Joh 1 sowie Tob 14,7; Ps 144,18 (LXX) (vgl. LN 70.4). Für den Sinn als „wahr“ in „[als] wahr erkannt“ (Klammer, vgl. GNB) vgl. etwa 2Kor 7,14.</w:t>
      </w:r>
    </w:p>
  </w:footnote>
  <w:footnote w:id="2183">
    <w:p>
      <w:pPr>
        <w:pStyle w:val="Funote"/>
        <w:rPr/>
      </w:pPr>
      <w:r>
        <w:rPr/>
        <w:footnoteRef/>
        <w:tab/>
        <w:t>„</w:t>
      </w:r>
      <w:r>
        <w:rPr/>
        <w:t>gehört“ lässt sich auch nach vorne beziehen, dann: „seit dem Tag, als ihr die Gnade Gottes gehört und wirklich verstanden habt“. „hören“ bezieht sich jedoch eher auf das Evangelium, das man als eine Botschaft tatsächlich hören kann, wohingegen Gottes Gnade nur aus gehörtem abzuleiten oder zu erfahren wäre.</w:t>
      </w:r>
    </w:p>
  </w:footnote>
  <w:footnote w:id="2184">
    <w:p>
      <w:pPr>
        <w:pStyle w:val="Funote"/>
        <w:rPr/>
      </w:pPr>
      <w:r>
        <w:rPr>
          <w:lang w:val="el-GR"/>
        </w:rPr>
        <w:footnoteRef/>
        <w:tab/>
        <w:t>καθώς</w:t>
      </w:r>
      <w:r>
        <w:rPr/>
        <w:t xml:space="preserve"> („(genau) wie“) scheint hier die beiden Sätze auf sehr allgemeine Weise zu verbinden (Moo 2008, 89), viele Übersetzungen lassen es weg. Hier wurde analog zu 6b übersetzt, um die parallele Struktur zu unterstreichen.</w:t>
      </w:r>
    </w:p>
  </w:footnote>
  <w:footnote w:id="2185">
    <w:p>
      <w:pPr>
        <w:pStyle w:val="Funote"/>
        <w:rPr/>
      </w:pPr>
      <w:r>
        <w:rPr/>
        <w:footnoteRef/>
        <w:tab/>
        <w:t>Epaphras wird sonst nur in Kol 4,12f. und Phlm 23 erwähnt, entsprechend wenig ist über ihn bekannt. Man kann nur vermuten, dass er aus Kolossä stammte und vielleicht durch Paulus zum Glauben gefunden hatte, bevor er dort evangelisierte. Es handelt sich bei dem Namen um eine zu einem eigenständigen Namen gewordene Kurzform von „Epaphroditus“. Epaphras ist deshalb vermutlich nicht mit dem in Phil 2,25; 4,18 genannten Paulus-Mitarbeiter identisch (Moo 2008, 90).</w:t>
      </w:r>
    </w:p>
  </w:footnote>
  <w:footnote w:id="2186">
    <w:p>
      <w:pPr>
        <w:pStyle w:val="Funote"/>
        <w:rPr/>
      </w:pPr>
      <w:r>
        <w:rPr/>
        <w:footnoteRef/>
        <w:tab/>
        <w:t>Hier ist textkritisch nicht klar, ob „für uns“ (</w:t>
      </w:r>
      <w:r>
        <w:rPr>
          <w:lang w:val="el-GR"/>
        </w:rPr>
        <w:t>ὑπὲρ ἡμῶν</w:t>
      </w:r>
      <w:r>
        <w:rPr/>
        <w:t>) oder „für euch“ (</w:t>
      </w:r>
      <w:r>
        <w:rPr>
          <w:lang w:val="el-GR"/>
        </w:rPr>
        <w:t>ὑπὲρ ὑμῶν</w:t>
      </w:r>
      <w:r>
        <w:rPr/>
        <w:t xml:space="preserve">) zu lesen sein sollte. Der Unterschied besteht aus einem Buchstaben. Die interne Evidenz ist ausgeglichen. „euch“ wäre schwieriger zu verstehen, aber der Kontext scheint klar für „uns“ zu sprechen (Wilson 2005, 96). NA27 (mit den meisten dt. Übersetzungen) zieht „euch“ vor, weil „uns“ einen Flüchtigkeitsfehler aufgrund des schon kurz vorher vorkommenden </w:t>
      </w:r>
      <w:r>
        <w:rPr>
          <w:lang w:val="el-GR"/>
        </w:rPr>
        <w:t>ἡμῶν</w:t>
      </w:r>
      <w:r>
        <w:rPr/>
        <w:t xml:space="preserve"> vermutet. Die externe Evidenz (?46 </w:t>
      </w:r>
      <w:r>
        <w:rPr>
          <w:rtl w:val="true"/>
          <w:lang w:bidi="he-IL"/>
        </w:rPr>
        <w:t>א</w:t>
      </w:r>
      <w:r>
        <w:rPr/>
        <w:t xml:space="preserve">* A B D* F G 326* 1505, dagegen u.a. </w:t>
      </w:r>
      <w:r>
        <w:rPr>
          <w:rtl w:val="true"/>
          <w:lang w:bidi="he-IL"/>
        </w:rPr>
        <w:t>א</w:t>
      </w:r>
      <w:r>
        <w:rPr/>
        <w:t>²</w:t>
      </w:r>
      <w:r>
        <w:rPr/>
        <w:t xml:space="preserve"> C D 33 1739) spricht jedoch für „uns“, entsprechend die Präferenz in SBLGNT (zudem EÜ, Menge; vgl. Wilson 2005, 95f.; Moo 2008, 91; NET Kol 1,7 Fußnote 16; O'Brien 1982, 16). Deshalb wurde „uns“ bzw. „an unserer Stelle“ der Vorzug gegeben.</w:t>
      </w:r>
    </w:p>
  </w:footnote>
  <w:footnote w:id="2187">
    <w:p>
      <w:pPr>
        <w:pStyle w:val="Funote"/>
        <w:rPr/>
      </w:pPr>
      <w:r>
        <w:rPr>
          <w:lang w:val="el-GR"/>
        </w:rPr>
        <w:footnoteRef/>
        <w:tab/>
        <w:t>ἐν</w:t>
      </w:r>
      <w:r>
        <w:rPr/>
        <w:t xml:space="preserve"> („in“ (örtl.), „durch“ (instr.)) ist hier wohl instrumental gemeint. Die demonstrierte Liebe wird also durch den Heiligen Geist verursacht (Moo 2008, 91f., vgl. EÜ, NGÜ, Menge).</w:t>
      </w:r>
    </w:p>
  </w:footnote>
  <w:footnote w:id="2188">
    <w:p>
      <w:pPr>
        <w:pStyle w:val="Funote"/>
        <w:rPr/>
      </w:pPr>
      <w:r>
        <w:rPr/>
        <w:footnoteRef/>
        <w:tab/>
        <w:t>Auflösung eines attributiven Ptz. Aor. als Relativsatz. Möglich wäre auch eine „und“-Kombination.</w:t>
      </w:r>
    </w:p>
  </w:footnote>
  <w:footnote w:id="2189">
    <w:p>
      <w:pPr>
        <w:pStyle w:val="Funote"/>
        <w:rPr/>
      </w:pPr>
      <w:r>
        <w:rPr/>
        <w:footnoteRef/>
        <w:tab/>
        <w:t xml:space="preserve">und [auch] euch Nach unserem Verständnis hängt </w:t>
      </w:r>
      <w:r>
        <w:rPr>
          <w:lang w:val="el-GR"/>
        </w:rPr>
        <w:t>καὶ ὑμᾶς</w:t>
      </w:r>
      <w:r>
        <w:rPr/>
        <w:t xml:space="preserve"> „und/auch euch“ als Objekt von dem Prädikat </w:t>
      </w:r>
      <w:r>
        <w:rPr>
          <w:lang w:val="el-GR"/>
        </w:rPr>
        <w:t>ἀποκαταλλάξαι</w:t>
      </w:r>
      <w:r>
        <w:rPr/>
        <w:t xml:space="preserve"> in V. 20 ab (so z.B. Moule 1898, 86, auch NLB, NGÜ, NEÜ). Es wäre auch möglich, es mit dem Prädikat </w:t>
      </w:r>
      <w:r>
        <w:rPr>
          <w:lang w:val="el-GR"/>
        </w:rPr>
        <w:t>ἀποκατηλλάγητε</w:t>
      </w:r>
      <w:r>
        <w:rPr/>
        <w:t xml:space="preserve"> des nächsten Verses (22) in Verbindung zu bringen, aber das würde einen sehr komplizierten Satzbau voraussetzen (so die meisten Exegeten). Denkbar wird das nur im Zusammenhang mit der von den meisten Übersetzungen bevorzugten textkritischen Lesart des Prädikats in V. 22, wo es als dessen Objekt nötig ist (Warum wir eine andere Lesart vorziehen, steht in der Fußnote dort). Wäre dieses Verständnis korrekt, dann führte der Verfasser den hier begonnenen Satz (nach dem unmittelbar folgenden Einschub) in V. 22 auf andere Weise fort, nämlich adversativ (also durch „aber“) damit verknüpft (vgl. die übersichtliche Aufstellung der möglichen Deutungen bei Williams 1907, 55f.).</w:t>
      </w:r>
    </w:p>
  </w:footnote>
  <w:footnote w:id="2190">
    <w:p>
      <w:pPr>
        <w:pStyle w:val="Funote"/>
        <w:rPr/>
      </w:pPr>
      <w:r>
        <w:rPr/>
        <w:footnoteRef/>
        <w:tab/>
        <w:t xml:space="preserve">Fremde Als Substantiv gebrauchtes Ptz. Pf. Pass., w. also „entfremdet“. Im NT nur 3x und nur im Ptz. Pf. Pass., immer resultativ und im Zusammenhang mit der Bundesgemeinschaft bzw. Beziehung mit Gott gebraucht (Eph 2,12; 4,18, vgl. TWNT, </w:t>
      </w:r>
      <w:r>
        <w:rPr>
          <w:lang w:val="el-GR"/>
        </w:rPr>
        <w:t>ἀπαλλοτριόω</w:t>
      </w:r>
      <w:r>
        <w:rPr/>
        <w:t>). Auffällig ist, dass hier das erwartete Lokal-Objekt fehlt: wir also nicht erfahren, wovon die Adressaten einmal entfremdet waren.</w:t>
      </w:r>
    </w:p>
  </w:footnote>
  <w:footnote w:id="2191">
    <w:p>
      <w:pPr>
        <w:pStyle w:val="Funote"/>
        <w:rPr/>
      </w:pPr>
      <w:r>
        <w:rPr/>
        <w:footnoteRef/>
        <w:tab/>
        <w:t xml:space="preserve">innerlich Der Dativ </w:t>
      </w:r>
      <w:r>
        <w:rPr>
          <w:lang w:val="el-GR"/>
        </w:rPr>
        <w:t>τῇ διανοίᾳ</w:t>
      </w:r>
      <w:r>
        <w:rPr/>
        <w:t xml:space="preserve"> gibt entweder den Ort oder den Bezug dieser Einstellung an (Moo 2008, 140). </w:t>
      </w:r>
      <w:r>
        <w:rPr>
          <w:lang w:val="el-GR"/>
        </w:rPr>
        <w:t>διάνοια</w:t>
      </w:r>
      <w:r>
        <w:rPr/>
        <w:t xml:space="preserve"> steht im Griechischen eigentlich zunächst für den Verstand, übersetzt jedoch im AT gelegentlich das hebräische Wort für Herz (BA). Im NT werden die beiden Begriffe sogar austauschbar gebraucht (O'Brien 1982, 66f.). Es bezeichnet den Sitz und Ursprung menschlichen Fühlens und Denkens. Dagegen tendiert LN 30.15 eher zu „Denkweise“.</w:t>
      </w:r>
    </w:p>
  </w:footnote>
  <w:footnote w:id="2192">
    <w:p>
      <w:pPr>
        <w:pStyle w:val="Funote"/>
        <w:rPr/>
      </w:pPr>
      <w:r>
        <w:rPr/>
        <w:footnoteRef/>
        <w:tab/>
        <w:t>aufgrund (in) Kausale Interpretation von „in“, vgl. EÜ. Nicht klar ist, ob das böse Verhalten Grundlage oder Zeugnis der feindlichen Geisteshaltung ist. Darum alternativ: „[wie es] in [eurem] bösen Verhalten [zum Ausdruck kommt]“.</w:t>
      </w:r>
    </w:p>
  </w:footnote>
  <w:footnote w:id="2193">
    <w:p>
      <w:pPr>
        <w:pStyle w:val="Funote"/>
        <w:rPr/>
      </w:pPr>
      <w:r>
        <w:rPr/>
        <w:footnoteRef/>
        <w:tab/>
        <w:t>Als konzessiv verbundener Hauptsatz aufgelöstes Participium coniunctum (Ptz. Präs. Akk.). Möglich wäre auch eine Auflösung als Relativsatz, eine stärkere konzessive („obwohl“) oder temporale Deutung („während, als“). S.a. V. 21, Fußnote 1.</w:t>
      </w:r>
    </w:p>
  </w:footnote>
  <w:footnote w:id="2194">
    <w:p>
      <w:pPr>
        <w:pStyle w:val="Funote"/>
        <w:rPr/>
      </w:pPr>
      <w:r>
        <w:rPr/>
        <w:footnoteRef/>
        <w:tab/>
        <w:t xml:space="preserve">kraft </w:t>
      </w:r>
      <w:r>
        <w:rPr>
          <w:lang w:val="el-GR"/>
        </w:rPr>
        <w:t>ἐν</w:t>
      </w:r>
      <w:r>
        <w:rPr/>
        <w:t xml:space="preserve"> + Dat. wird hier instrumental gebraucht (LN 90.10). Nur durch die hier gebrauchte Umschreibung lässt es sich im Deutschen vom kurz darauf mit „durch“ übersetzten </w:t>
      </w:r>
      <w:r>
        <w:rPr>
          <w:lang w:val="el-GR"/>
        </w:rPr>
        <w:t>διὰ</w:t>
      </w:r>
      <w:r>
        <w:rPr/>
        <w:t xml:space="preserve"> (LN 89.76) unterscheiden. REB, SLT (vgl. ZÜR, Menge) wörtlich, aber ungenau: „in dem Leib seines Fleisches durch den Tod“</w:t>
      </w:r>
    </w:p>
  </w:footnote>
  <w:footnote w:id="2195">
    <w:p>
      <w:pPr>
        <w:pStyle w:val="Funote"/>
        <w:rPr/>
      </w:pPr>
      <w:r>
        <w:rPr/>
        <w:footnoteRef/>
        <w:tab/>
        <w:t>W: „seinen Körper des Fleisches“. Der attr. Genitiv drückt die Beschaffenheit des Bezugsworts aus. Gemeint ist mit dem „fleischlichen Körper“ wohl ein „sterblicher“ (Moo 2008, 142), der gedanklich klar von der Gemeinde als „Körper Christi“ abgegrenzt werden soll (Schweizer 21980, 76).</w:t>
      </w:r>
    </w:p>
  </w:footnote>
  <w:footnote w:id="2196">
    <w:p>
      <w:pPr>
        <w:pStyle w:val="Funote"/>
        <w:rPr/>
      </w:pPr>
      <w:r>
        <w:rPr/>
        <w:footnoteRef/>
        <w:tab/>
        <w:t xml:space="preserve">Textkritik: Die meisten Zeugen lesen Pf. Akt. </w:t>
      </w:r>
      <w:r>
        <w:rPr>
          <w:lang w:val="el-GR"/>
        </w:rPr>
        <w:t>ἀποκατήλλαξεν</w:t>
      </w:r>
      <w:r>
        <w:rPr/>
        <w:t xml:space="preserve"> „er hat euch versöhnt“. Mit der Passivform </w:t>
      </w:r>
      <w:r>
        <w:rPr>
          <w:lang w:val="el-GR"/>
        </w:rPr>
        <w:t>ἀποκατηλλάγητε</w:t>
      </w:r>
      <w:r>
        <w:rPr/>
        <w:t xml:space="preserve"> „ihr wurde versöhnt“ folgen wir B (auch P46, 33 mit dem Schreibfehler </w:t>
      </w:r>
      <w:r>
        <w:rPr>
          <w:lang w:val="el-GR"/>
        </w:rPr>
        <w:t>ἀποκαταλλάγητε</w:t>
      </w:r>
      <w:r>
        <w:rPr/>
        <w:t xml:space="preserve">; mit SBLGNT, LEB, H.Moule 1898, 86f., J.Lightfoot 1875, 317f. und B.Metzger, Textual Commentary, London 21975, 622)). Trotz der geringen Bezeugung ist das für uns die wahrscheinlichere, weil schwierigere Lesart, die vor allen Dingen die Entstehung der übrigen erklären kann (auch Alter und Qualität der Zeugen überzeugen). Allerdings stellt sie einen Abbruch des in 21 mit </w:t>
      </w:r>
      <w:r>
        <w:rPr>
          <w:lang w:val="el-GR"/>
        </w:rPr>
        <w:t>καὶ ὑμᾶς</w:t>
      </w:r>
      <w:r>
        <w:rPr/>
        <w:t xml:space="preserve"> „und ihr“ begonnenen Satzes dar (Anakoluth; für unser alternatives Verständnis vgl. Fußnote dort) und nimmt auch dem folgenden Infinitivsatz das Subjekt. Für viele Ausleger ist das zu schwer vorstellbar. (Vgl. Wilson 2005, 159f.; Metzger 21975, 621f.; NET Kol 1,21, Fußnote 42; O'Brien 1982, 64).</w:t>
      </w:r>
    </w:p>
  </w:footnote>
  <w:footnote w:id="2197">
    <w:p>
      <w:pPr>
        <w:pStyle w:val="Funote"/>
        <w:rPr/>
      </w:pPr>
      <w:r>
        <w:rPr/>
        <w:footnoteRef/>
        <w:tab/>
        <w:t>unbescholten (vgl. ZÜR, E.Schweizer). Im Gegensatz zum vorhergehenden Wort geht es um rechtliche Tadellosigkeit (dort eher um moralische bzw. geistliche). Die Übersetzungen geben eine gute Vorstellung des Konzepts. Menge (vgl. SLT): „unanklagbar“, REB: „unsträflich“, LUT, NLB, NEÜ: „makellos“, EÜ: „schuldlos“, NGÜ: „gegen die keine Anklage mehr erhoben werden kann“</w:t>
      </w:r>
    </w:p>
  </w:footnote>
  <w:footnote w:id="2198">
    <w:p>
      <w:pPr>
        <w:pStyle w:val="Funote"/>
        <w:rPr/>
      </w:pPr>
      <w:r>
        <w:rPr/>
        <w:footnoteRef/>
        <w:tab/>
        <w:t xml:space="preserve">zu präsentieren So die englischen Übersetzungen; NEÜ. hinzustellen So die meisten deutschen Übersetzungen. zu machen So LN 13.11, NGÜ. Das Verb </w:t>
      </w:r>
      <w:r>
        <w:rPr>
          <w:lang w:val="el-GR"/>
        </w:rPr>
        <w:t>παρίστημι</w:t>
      </w:r>
      <w:r>
        <w:rPr/>
        <w:t xml:space="preserve"> wird im NT häufig im Zusammenhang mit Gottes Endgericht gebraucht (vgl. Parallelstellen; Moo 2008, 142). Die Interpretation von </w:t>
      </w:r>
      <w:r>
        <w:rPr>
          <w:lang w:val="el-GR"/>
        </w:rPr>
        <w:t>κατενώπιον αὐτοῦ</w:t>
      </w:r>
      <w:r>
        <w:rPr/>
        <w:t xml:space="preserve"> (entweder „in seinen Augen“ oder „vor sich“) hängt von der Übersetzung des Verbs ab.</w:t>
      </w:r>
    </w:p>
  </w:footnote>
  <w:footnote w:id="2199">
    <w:p>
      <w:pPr>
        <w:pStyle w:val="Funote"/>
        <w:rPr/>
      </w:pPr>
      <w:r>
        <w:rPr/>
        <w:footnoteRef/>
        <w:tab/>
        <w:t>Adv. Ptz. Pf. Pass., zeigt die Art und Weise (modal) oder die Ursache (kausal) des Verweilens „im Glauben“ an. Hier (modal) direkt als Artangabe aufgelöst; denkbar wären auch ein verdeutlichendes „[und zwar]“ oder „[indem]“</w:t>
      </w:r>
    </w:p>
  </w:footnote>
  <w:footnote w:id="2200">
    <w:p>
      <w:pPr>
        <w:pStyle w:val="Funote"/>
        <w:rPr/>
      </w:pPr>
      <w:r>
        <w:rPr/>
        <w:footnoteRef/>
        <w:tab/>
        <w:t>Adv. Ptz. Präs. Pass., zeigt die Art und Weise (modal) oder die Ursache (kausal) an. Hier als gleichwertiger Hauptsatz modal mit „und“-Kombination aufgelöst. Anhand der Wortwahl ist erkennbar, dass es als Erweiterung der Bedingung „im Glauben bleiben“ und nicht als Kontrast zu „fest gegründet und sicher“ zu verstehen ist (Williams 1907, 61).</w:t>
      </w:r>
    </w:p>
  </w:footnote>
  <w:footnote w:id="2201">
    <w:p>
      <w:pPr>
        <w:pStyle w:val="Funote"/>
        <w:rPr/>
      </w:pPr>
      <w:r>
        <w:rPr/>
        <w:footnoteRef/>
        <w:tab/>
        <w:t>Die Wiedergabe dieser Nebensatzreihe stößt im Deutschen an Grenzen. Der zweite Relativsatz „das in der ganzen Schöpfung...“ ist mit einem attributiven Partizip eng an das Objekt (das Evangelium) gebunden, wird aber durch den ersten Relativsatz „</w:t>
      </w:r>
      <w:r>
        <w:rPr>
          <w:lang w:val="el-GR"/>
        </w:rPr>
        <w:t>οὗ ἠκούσατε</w:t>
      </w:r>
      <w:r>
        <w:rPr/>
        <w:t>“ („das ihr gehört habt“) davon getrennt. Im Deutschen deshalb die Einfügung, die, dem Griechischen ähnlich, neu beim Objekt ansetzt. (Mit neuen Hauptsatz, aber ähnlich bei ZÜR, NGÜ, NEÜ, NET, HCSB)</w:t>
      </w:r>
    </w:p>
  </w:footnote>
  <w:footnote w:id="2202">
    <w:p>
      <w:pPr>
        <w:pStyle w:val="Funote"/>
        <w:rPr/>
      </w:pPr>
      <w:r>
        <w:rPr/>
        <w:footnoteRef/>
        <w:tab/>
        <w:t>Es gibt mehrere Möglichkeiten, wie diese problematische Aussage gewertet werden könnte (denn wörtlich genommen, ist sie nicht wahr): 1. Es könnte sich um eine Vorgangsbeschreibung handeln (das Ptz. Aor. muss keine Vergangenheitsbedeutung haben), 2. Es könnte sich um einen Bezug auf die „allgemeine Offenbarung“ Gottes in der Schöpfung handeln, 3. Es handelt sich um eine Übertreibung (so Moo 2008, 146.). Vgl. V. 6, Fußnote o, dann als Entsprechung zu Versöhnung aller Dinge in V. 20 (Moo 2008, 147).</w:t>
      </w:r>
    </w:p>
  </w:footnote>
  <w:footnote w:id="2203">
    <w:p>
      <w:pPr>
        <w:pStyle w:val="Funote"/>
        <w:rPr/>
      </w:pPr>
      <w:r>
        <w:rPr/>
        <w:footnoteRef/>
        <w:tab/>
        <w:t>[Status: Zuverlässig]</w:t>
      </w:r>
    </w:p>
  </w:footnote>
  <w:footnote w:id="2204">
    <w:p>
      <w:pPr>
        <w:pStyle w:val="Funote"/>
        <w:rPr/>
      </w:pPr>
      <w:r>
        <w:rPr/>
        <w:footnoteRef/>
        <w:tab/>
        <w:t>die zwölf Stämme in der Zerstreuung (Diaspora) – Der Ausdruck lässt sich auf zwei Weisen verstehen: (1) „Zerstreuung (Diaspora)“ bezeichnet die Orte, an denen die Angehörigen der „zwölf Stämme“ zerstreut sind; die Phrase ist dann restriktiv zu lesen: „[Nur] an diejenigen Angehörigen der zwölf Stämme Israels, die in der Diaspora leben.“ – der Brief richtete sich dann v.a. an die Heidenchristen außerhalb Israels. (2) „Zerstreuung (Diaspora)“ bezeichnet den Zustand des Zerstreut-seins; die Phrase ist dann deskriptiv zu lesen: „An die Angehörigen der zerstreuten zwölf Stämme“. Hier ist sehr wahrscheinlich letzteres die richtige Deutung; denn im Hintergrund steht eine etwas komplexere Vorstellung: Die „Zerstreuung“ eines Volkes war der Inbegriff seiner Niederlage und Vernichtung. In der Folge der verschiedenen Zerstreuungen Israels – v.a. der babylonischen Gefangenschaft – entwickelte sich daher im alten Judentum die Hoffnung, Gott würde am Ende der Zeiten das zerstreute Israel von „allen Enden der Erde“ wieder zusammensammeln und dann mit ihnen ein „Reich Gottes“ errichten, eine Art „Himmel auf Erden“ (s. z.B. Ps 147,2; Jes 11,12; 14,1; 54,5f; Jer 31,10; Ez 28,25 u.ö.). Diese Vorstellung wurde im Laufe der Zeit erweitert: (a) Der Zustand der Zerstreuung wurde als Strafe Gottes für die Sündhaftigkeit Israels verstanden (s. z.B. Neh 1,8f), (b) Jesus bringt die Sammlung des zerstreuten Israels mit seiner - des Menschensohns - Wiederkunft am Ende der Zeiten in Zusammenhang. Diese Vorstellung steht im Hintergrund des Jakobusbriefs; der weitere Inhalt besteht dann in einer Reihe ethischer Anweisungen, denen, anstatt zu sündigen, „geduldig bis zur Wiederkunft des Herrn“ (5,7) Folge zu leisten ist, damit ein so sich Bewährender am nahe bevorstehenden Ende der Zeit „das Leben als Siegeskranz empfangen“ wird (1,12). Unsicher allerdings ist, ob der Brief sich dann allgemein an alle Angehörigen der zwölf Stämme richtet, oder ob diese Vorstellung von der Sammlung der zwölf Stämme im Jakobusbrief auf die Christusgläubigen übertragen wird.</w:t>
      </w:r>
    </w:p>
  </w:footnote>
  <w:footnote w:id="2205">
    <w:p>
      <w:pPr>
        <w:pStyle w:val="Funote"/>
        <w:rPr/>
      </w:pPr>
      <w:r>
        <w:rPr/>
        <w:footnoteRef/>
        <w:tab/>
        <w:t>Jakobus eröffnet seinen Brief mit dem Standard-Briefpräskript seiner Zeit, der in etwa dem Briefkopf heutiger Briefe entspricht: Absender (Nominativ), Adressat (Dativ), Gruß (imperativischer Infinitiv) (vgl. z.B. Burchard 2000, S. 47). In die LF muss das freier übersetzt werden; sehr gut z.B. BB: „Jakobus, Diener Gottes und des Herrn Jesus Christus. An das Volk Gottes, das wie die zwölf Stämme Israels über die ganze Welt verstreut lebt. Ich grüße euch.“</w:t>
      </w:r>
    </w:p>
  </w:footnote>
  <w:footnote w:id="2206">
    <w:p>
      <w:pPr>
        <w:pStyle w:val="Funote"/>
        <w:rPr/>
      </w:pPr>
      <w:r>
        <w:rPr/>
        <w:footnoteRef/>
        <w:tab/>
        <w:t>Entsprechend dem Stil seiner Zeit spricht Jakobus hier nur die männlichen „Brüder“ an; die weiblichen „Schwestern“ sind aber sehr sicher mitgemeint (-&gt; Generisches Maskulinum). Der Begriff bezeichnet Mit-angehörige der selben Gesellschaftsgruppe, zu der auch der Sprecher/Schreiber gehört, und stellt sie mit sich auf eine Stufe (so gut Hartin 2003, S. 56: „He does not address them from the status of authority, but from their own level“). Besonders interessant ist in unserem Kontext, dass mit diesem Begriff bisweilen auch die Zusammengehörigkeit gerade weit entfernter Personen oder Gruppen unterstrichen werden kann; s. z.B. 2Makk 1,1 (dazu vgl. ebd.). Gerade in einem Brief an die zerstreuten zwölf Stämme ist er daher besonders passend.</w:t>
      </w:r>
    </w:p>
  </w:footnote>
  <w:footnote w:id="2207">
    <w:p>
      <w:pPr>
        <w:pStyle w:val="Funote"/>
        <w:rPr/>
      </w:pPr>
      <w:r>
        <w:rPr/>
        <w:footnoteRef/>
        <w:tab/>
        <w:t xml:space="preserve">Hinter dem Begriff </w:t>
      </w:r>
      <w:r>
        <w:rPr>
          <w:lang w:val="el-GR"/>
        </w:rPr>
        <w:t>πειρασμός</w:t>
      </w:r>
      <w:r>
        <w:rPr/>
        <w:t xml:space="preserve"> Versuchung steht die altjüdische Vorstellung, dass Gott immer wieder Unheil über den gläubigen Menschen bringt, damit dieser sich in diesen Bewährungsproben als rechter Gottesdiener bewähren kann (s. z.B. Gen 22,1; Ex 16,4; Ri 3,1-4; Ps 26,2; Sir 2,1; vgl. auch Mt 6,12 FN m). Jakobus führt weiter aus: Wer diese Bewährungsproben besteht, gewinnt damit „Standhaftigkeit“, und impliziert ist wohl: Wer standhaft bleibt und sich außerdem „vollkommener Werke“ befleißigt, wird dann am Ende der Zeit auch aus der Zerstreuung gesammelt werden (s.o.; s. z.B. auch Mk 13,13; 1Pet 1,6f; ähnlich Röm 5,3-5). In Vv. 13-15 wandelt Jakobus diese Vorstellung jedoch ab: Es ist gerade nicht Gott, der diese Versuchungen über einen Menschen bringt; sie erwachsen allein aus den sündhaften Begierden des Menschen (vgl. z.B. Kloppenborg 2010, S. 68f; Wilson 2002, S. 159). Entsprechend wird Jakobus dann im Folgenden auch v.a. vor menschlichen Schwächen warnen (z.B.: Impulsivität (1,19-21), Voreingenommenheit (2,1-9), lose Zunge (3,2-12), Streitsucht (3,13-18), Liebe zur Welt (4,1-4) usw.) und ihnen tugendhaftes Verhalten entgegenstellen. Besonders wichtig: Es ist gerade nicht allein die Standhaftigkeit im Glauben (V. 3), die gerecht macht (wie z.B. Mk 13,4-13.21-23 das nahelegen könnte) - unabdingbar sind außerdem die Werke des Glaubens (2,14-26).</w:t>
      </w:r>
    </w:p>
  </w:footnote>
  <w:footnote w:id="2208">
    <w:p>
      <w:pPr>
        <w:pStyle w:val="Funote"/>
        <w:rPr/>
      </w:pPr>
      <w:r>
        <w:rPr/>
        <w:footnoteRef/>
        <w:tab/>
        <w:t>Ptz. coni., hier als kausaler Nebensatz aufgelöst (oder als Präpositionalphrase, so Klammer). Einige Ausleger verstehen das Partizip auch imperativisches Partizip („wisst“).</w:t>
      </w:r>
    </w:p>
  </w:footnote>
  <w:footnote w:id="2209">
    <w:p>
      <w:pPr>
        <w:pStyle w:val="Funote"/>
        <w:rPr/>
      </w:pPr>
      <w:r>
        <w:rPr/>
        <w:footnoteRef/>
        <w:tab/>
        <w:t>Der Begriff hat eine sehr aktive Bedeutung – es wird nicht nur abgewartet, sondern auch entsprechend gehandelt (Dibelius 1964, 101; Blomberg 2008, 49; Mußner 1964, 65f.).</w:t>
      </w:r>
    </w:p>
  </w:footnote>
  <w:footnote w:id="2210">
    <w:p>
      <w:pPr>
        <w:pStyle w:val="Funote"/>
        <w:rPr/>
      </w:pPr>
      <w:r>
        <w:rPr>
          <w:lang w:val="el-GR"/>
        </w:rPr>
        <w:footnoteRef/>
        <w:tab/>
        <w:t>δέ</w:t>
      </w:r>
      <w:r>
        <w:rPr/>
        <w:t xml:space="preserve"> aber zur Markierung der Klimax (Grosvenor/Zerwick): Es folgt nun die zentrale Aussage dieses ersten Abschnitts Vv. 2-4. In der LF sollte das kommunikativer übersetzt werden; gut z.B. NeÜ: „[... - und] die Standhaftigkeit wiederum soll...“.</w:t>
      </w:r>
    </w:p>
  </w:footnote>
  <w:footnote w:id="2211">
    <w:p>
      <w:pPr>
        <w:pStyle w:val="Funote"/>
        <w:rPr/>
      </w:pPr>
      <w:r>
        <w:rPr/>
        <w:footnoteRef/>
        <w:tab/>
        <w:t>Oder sinngemäßer: „Ausgang“ (cf. Johnson 1995, 178).</w:t>
      </w:r>
    </w:p>
  </w:footnote>
  <w:footnote w:id="2212">
    <w:p>
      <w:pPr>
        <w:pStyle w:val="Funote"/>
        <w:rPr/>
      </w:pPr>
      <w:r>
        <w:rPr/>
        <w:footnoteRef/>
        <w:tab/>
        <w:t>Der Imperativ Präsens markiert hier, dass nicht ein Mal ein vollkommenes Werk Folge der Standhaftigkeit sein soll, sondern dass vollkommene Werke prinzipiell die Folge der Standhaftigkeit sein sollen.</w:t>
      </w:r>
    </w:p>
  </w:footnote>
  <w:footnote w:id="2213">
    <w:p>
      <w:pPr>
        <w:pStyle w:val="Funote"/>
        <w:rPr/>
      </w:pPr>
      <w:r>
        <w:rPr>
          <w:lang w:val="el-GR"/>
        </w:rPr>
        <w:footnoteRef/>
        <w:tab/>
        <w:t>ἵνα</w:t>
      </w:r>
      <w:r>
        <w:rPr/>
        <w:t xml:space="preserve"> damit ließe sich auch als epexegetisches </w:t>
      </w:r>
      <w:r>
        <w:rPr>
          <w:lang w:val="el-GR"/>
        </w:rPr>
        <w:t>ἵνα</w:t>
      </w:r>
      <w:r>
        <w:rPr/>
        <w:t xml:space="preserve"> (dazu z.B. Zerwick §410) verstehen: „Die Standhaftigkeit soll zu einem vollkommenen Werk führen: Ihr sollt vollkommen und vollständig und in nichts mangelhaft sein.“ Berücksichtigt man nur V. 4, läge das eigentlich sogar näher als die finale Deutung („... zu einem vollkommenen Werk führen, damit ihr vollkommen und vollständig seid...“), denn das Ausführen vollkommener Werke ist ja nicht die Voraussetzung der Vollkommenheit, sondern umgekehrt sollte man meinen, dass Vollkommenheit Voraussetzung vollkommener Werke ist. Doch siehe FN m.</w:t>
      </w:r>
    </w:p>
  </w:footnote>
  <w:footnote w:id="2214">
    <w:p>
      <w:pPr>
        <w:pStyle w:val="Funote"/>
        <w:rPr/>
      </w:pPr>
      <w:r>
        <w:rPr/>
        <w:footnoteRef/>
        <w:tab/>
        <w:t>Auflösung eines Ptz. coni. durch und-Koordination. Möglich auch modal, temporal, kausal (so Klammer).</w:t>
      </w:r>
    </w:p>
  </w:footnote>
  <w:footnote w:id="2215">
    <w:p>
      <w:pPr>
        <w:pStyle w:val="Funote"/>
        <w:rPr/>
      </w:pPr>
      <w:r>
        <w:rPr/>
        <w:footnoteRef/>
        <w:tab/>
        <w:t>S. vorige FN.</w:t>
      </w:r>
    </w:p>
  </w:footnote>
  <w:footnote w:id="2216">
    <w:p>
      <w:pPr>
        <w:pStyle w:val="Funote"/>
        <w:rPr/>
      </w:pPr>
      <w:r>
        <w:rPr/>
        <w:footnoteRef/>
        <w:tab/>
        <w:t>Wieder spricht Jakobus einzig männliche Leser an, meint aber auch die weiblichen Leser mit (-&gt; Generisches Maskulinum). Für die LF sei jeweils - falls vorhanden - die Übersetzungsalternative in der Klammer empfohlen.</w:t>
      </w:r>
    </w:p>
  </w:footnote>
  <w:footnote w:id="2217">
    <w:p>
      <w:pPr>
        <w:pStyle w:val="Funote"/>
        <w:rPr/>
      </w:pPr>
      <w:r>
        <w:rPr/>
        <w:footnoteRef/>
        <w:tab/>
        <w:t>Weisheit - Jakobus' Verständnis von „Weisheit“ entspricht v.a. dem Weisheitskonzept der frühjüdischen Schriften: (1) Weisheit ist nicht etwas, das man von selbst erlangen könnte, sondern zunächst eine Gabe Gottes (s. Vv. 5.17; vgl. z.B. Jes 11,2; Spr 1,7; 2,6; Sir 39,5; Weish 7,7.15.25f; 1Kor 2,13; 12,8; Eph 1,17 u.ö.). Und (2) führt sie anders als die „irdische Weisheit“ (i.S.v. „Wissenschaft“, vgl. z.B. 1Kor 1,19-22; 2,6f) nicht zunächst zu Erkenntnis und Wissen, sondern befähigt zu gottgefälligem Handeln (s. Jak 3,17; vgl. Weish 7,22f; Weish 8,6-8; 9,1-4.9-12.17f; 4Makk 1,18-35 u.ö.). Gerade dieser zweite Aspekt macht klar, warum Jakobus in seinem Brief die Weisheit so betont: Für Jakobus ist der Mensch zur Vollkommenheit berufen, und Vollkommenheit erlangt er, indem er den aus den sündhaften Begierden des Menschenherzens erwachsenden Versuchungen widersteht (s. FN e) - und hierfür ist nach dem Verständnis des altjüdischen Schrifttums Weisheit vonnöten, s. die obigen Stellen; besonders eindrücklich 4Makk 1,18f.28-30: : „Der Weisheit Arten sind Klugheit, Gerechtigkeit, Starkmut und Mäßigung. / Die Klugheit ist die trefflichste von allen; / durch sie beherrscht ja die Vernunft die Triebe. [...] Lust und Schmerz sind gleichsam zwei Bäume im Leib und in der Seele, / und so gibt es auch viele Nebenzweige dieser Triebe. / Nun putzt die Allgärtnerin Vernunft sie alle entweder aus / oder beschneidet, umwickelt und begießt sie / oder verpflanzt sie und veredelt so auf jede Weise / das Gestrüpp der Neigungen und Triebe. / Die Vernunft ist ja die Führerin der Tugenden, / aber die Selbstherrin über die Triebe.“ (Üs. nach Rießler 1928)</w:t>
      </w:r>
    </w:p>
  </w:footnote>
  <w:footnote w:id="2218">
    <w:p>
      <w:pPr>
        <w:pStyle w:val="Funote"/>
        <w:rPr/>
      </w:pPr>
      <w:r>
        <w:rPr/>
        <w:footnoteRef/>
        <w:tab/>
        <w:t>großzügig (vorbehaltlos) - Beide Deutungen des Wortes sind möglich; Gott ist also je nach Verständnis entweder lediglich ein vorbehaltloser Geber (der also bedingungslos gibt) oder sogar ein großzügiger Geber. Die Deutung mit „großzügig“ könnte an die aus Lk 11,9-13 par Mt 7,7-11 bekannte Jesustradition anknüpfen und scheint außerdem besser in den Kontext zu passen.</w:t>
      </w:r>
    </w:p>
  </w:footnote>
  <w:footnote w:id="2219">
    <w:p>
      <w:pPr>
        <w:pStyle w:val="Funote"/>
        <w:rPr/>
      </w:pPr>
      <w:r>
        <w:rPr/>
        <w:footnoteRef/>
        <w:tab/>
        <w:t>Auflösung eines adv. Ptz. durch Substantivierung und Koordination „und“. Das Wort heißt meistens eher „(be)schimpfen“. Es bezieht sich hier vermutlich darauf, dass Gott sich nicht darüber beklagt, dass er Weisheit geben „muss“ (BA).</w:t>
      </w:r>
    </w:p>
  </w:footnote>
  <w:footnote w:id="2220">
    <w:p>
      <w:pPr>
        <w:pStyle w:val="Funote"/>
        <w:rPr/>
      </w:pPr>
      <w:r>
        <w:rPr/>
        <w:footnoteRef/>
        <w:tab/>
        <w:t>Auflösung eines attributiven Ptz. als Relativsatz.</w:t>
      </w:r>
    </w:p>
  </w:footnote>
  <w:footnote w:id="2221">
    <w:p>
      <w:pPr>
        <w:pStyle w:val="Funote"/>
        <w:rPr/>
      </w:pPr>
      <w:r>
        <w:rPr/>
        <w:footnoteRef/>
        <w:tab/>
        <w:t>Der Imperativ Präsens (statt Aorist) markiert hier, dass nicht ein Mal, sondern entweder prinzipiell oder immer wieder gebeten werden soll.</w:t>
      </w:r>
    </w:p>
  </w:footnote>
  <w:footnote w:id="2222">
    <w:p>
      <w:pPr>
        <w:pStyle w:val="Funote"/>
        <w:rPr/>
      </w:pPr>
      <w:r>
        <w:rPr/>
        <w:footnoteRef/>
        <w:tab/>
        <w:t>Modales adv. Ptz., mit „und“-Konstruktion aufgelöst. Es sollen also keine Bedenken gegen die Bereitwilligkeit Gottes zu geben bestehen (Blomberg 2008, 52).</w:t>
      </w:r>
    </w:p>
  </w:footnote>
  <w:footnote w:id="2223">
    <w:p>
      <w:pPr>
        <w:pStyle w:val="Funote"/>
        <w:rPr/>
      </w:pPr>
      <w:r>
        <w:rPr/>
        <w:footnoteRef/>
        <w:tab/>
        <w:t>Subst. Ptz. aufgelöst.</w:t>
      </w:r>
    </w:p>
  </w:footnote>
  <w:footnote w:id="2224">
    <w:p>
      <w:pPr>
        <w:pStyle w:val="Funote"/>
        <w:rPr/>
      </w:pPr>
      <w:r>
        <w:rPr/>
        <w:footnoteRef/>
        <w:tab/>
        <w:t>Der letzte Nebensatz ersetzt im Deutschen zwei attributive Ptz., die sich wie Adjektive direkt auf die Meereswoge beziehen.</w:t>
      </w:r>
    </w:p>
  </w:footnote>
  <w:footnote w:id="2225">
    <w:p>
      <w:pPr>
        <w:pStyle w:val="Funote"/>
        <w:rPr/>
      </w:pPr>
      <w:r>
        <w:rPr>
          <w:lang w:val="el-GR"/>
        </w:rPr>
        <w:footnoteRef/>
        <w:tab/>
        <w:t>ἐκεῖνος</w:t>
      </w:r>
      <w:r>
        <w:rPr/>
        <w:t xml:space="preserve"> jener muss nicht auf </w:t>
      </w:r>
      <w:r>
        <w:rPr>
          <w:lang w:val="el-GR"/>
        </w:rPr>
        <w:t>τις</w:t>
      </w:r>
      <w:r>
        <w:rPr/>
        <w:t xml:space="preserve"> einer, jemand in V. 5 zurückverweisen, sondern kann auch abschätzig auf die Beschreibung „dieser Art von Mensch“ in V. 6 Bezug nehmen: „Eine solche Person...“; „wenn man so drauf ist...“ (vgl. Burchard 2000, S. 61; so fast alle Üss.).</w:t>
      </w:r>
    </w:p>
  </w:footnote>
  <w:footnote w:id="2226">
    <w:p>
      <w:pPr>
        <w:pStyle w:val="Funote"/>
        <w:rPr/>
      </w:pPr>
      <w:r>
        <w:rPr/>
        <w:footnoteRef/>
        <w:tab/>
        <w:t>Wörtlich: „zweiseeliger Mann/Mensch“ (cf. 4,8). Das heißt ungefähr: „mit geteiltem Herzen“ (SLT), „in seinem Innersten gespalten“ (NGÜ). Das Konzept bezeichnet das Gegenteil der ungeteilten Hingabe zu Gott (Mußner 1964, 72). Da der Begriff vor Jak nicht belegt ist, könnte der Autor ihn sogar erfunden haben, das Konzept ist aber schon im AT bekannt (Johnson 1995, 180). BA, NSS schlagen die Übersetzung „ein Zweifler“ vor.</w:t>
      </w:r>
    </w:p>
  </w:footnote>
  <w:footnote w:id="2227">
    <w:p>
      <w:pPr>
        <w:pStyle w:val="Funote"/>
        <w:rPr/>
      </w:pPr>
      <w:r>
        <w:rPr/>
        <w:footnoteRef/>
        <w:tab/>
        <w:t>Jakobus greift mit seiner Rede von den „Wegen“ des Zweiseeligen und den „Reisen“ des Reichen auf die Vorstellung vom „Lebensweg“ zurück: Gott hat dem Menschen den „Weg“ gezeigt, dem man folgen soll, und wenn man diesem von Gott gewiesenen Weg geradewegs folgt, verhält man sich gottgefällig. Kennzeichnend für Frevler oder Sünder dagegen ist, dass sie von diesen Wegen „abweichen“ (Ex 32,8; Dtn 9,16; 11,26-28; Ri 2,17; 1Kön 22,43 || 2Chr 20,32; 2Kön 22,2 || 2Chr 34,2), daher werden sie dann auch mitten auf ihren Wegen - d.i. mitten in ihrem Leben (vgl. Burchard 2000; Hartin 2003; McKnight 2011: „[mitten] in seinen Aktivitäten/seinem Leben“) - „vergehen“ (vgl. noch Ps 1,6; 2,12). Was nun die „Zweiseeligen“ tun, ist ganz absurd: Nicht nur weichen sie nach rechts oder links vom von Gott gewiesenen Weg ab - sondern sie übertorkeln ihn: Sie schwanken darauf herum; wenden sich mal nach hier und mal nach dort, folgen dann wieder für kurze Zeit dem Weg und beginnen dann wieder zu wanken - sie sind jene, denen die Richtung in ihrem Leben fehlt.</w:t>
      </w:r>
    </w:p>
  </w:footnote>
  <w:footnote w:id="2228">
    <w:p>
      <w:pPr>
        <w:pStyle w:val="Funote"/>
        <w:rPr/>
      </w:pPr>
      <w:r>
        <w:rPr/>
        <w:footnoteRef/>
        <w:tab/>
        <w:t xml:space="preserve">Diese Übersetzung von </w:t>
      </w:r>
      <w:r>
        <w:rPr>
          <w:lang w:val="el-GR"/>
        </w:rPr>
        <w:t>δὲ</w:t>
      </w:r>
      <w:r>
        <w:rPr/>
        <w:t xml:space="preserve"> wurde gewählt, um den doppelten Gegensatz auszudrücken, der durch die beiden </w:t>
      </w:r>
      <w:r>
        <w:rPr>
          <w:lang w:val="el-GR"/>
        </w:rPr>
        <w:t>δὲ</w:t>
      </w:r>
      <w:r>
        <w:rPr/>
        <w:t xml:space="preserve"> in Vv. 9-10 entsteht.</w:t>
      </w:r>
    </w:p>
  </w:footnote>
  <w:footnote w:id="2229">
    <w:p>
      <w:pPr>
        <w:pStyle w:val="Funote"/>
        <w:rPr/>
      </w:pPr>
      <w:r>
        <w:rPr/>
        <w:footnoteRef/>
        <w:tab/>
        <w:t>zu „Bruder“ s. FN d</w:t>
      </w:r>
    </w:p>
  </w:footnote>
  <w:footnote w:id="2230">
    <w:p>
      <w:pPr>
        <w:pStyle w:val="Funote"/>
        <w:rPr/>
      </w:pPr>
      <w:r>
        <w:rPr/>
        <w:footnoteRef/>
        <w:tab/>
        <w:t xml:space="preserve">Mußner 1964, 74; Moo; Blomberg 2008, 57 halten </w:t>
      </w:r>
      <w:r>
        <w:rPr>
          <w:lang w:val="el-GR"/>
        </w:rPr>
        <w:t>ὁ πλούσιος</w:t>
      </w:r>
      <w:r>
        <w:rPr/>
        <w:t xml:space="preserve"> („der Reiche“) für ein Adjektiv, zu dem </w:t>
      </w:r>
      <w:r>
        <w:rPr>
          <w:lang w:val="el-GR"/>
        </w:rPr>
        <w:t>ὁ ἀδελφὸς</w:t>
      </w:r>
      <w:r>
        <w:rPr/>
        <w:t xml:space="preserve"> („der Bruder“) aus dem vorherigen Satz zu ergänzen ist. Dagegen sieht etwa Dibelius 111964, 114f. </w:t>
      </w:r>
      <w:r>
        <w:rPr>
          <w:lang w:val="el-GR"/>
        </w:rPr>
        <w:t>ὁ πλούσιος</w:t>
      </w:r>
      <w:r>
        <w:rPr/>
        <w:t xml:space="preserve"> als Substantiv. Hier wurde die erste Möglichkeit gewählt, weil es zynisch wäre anzunehmen, dass sich nach Jak jeder Reiche, nicht nur Christen, seiner kommenden Erniedrigung brüsten soll, auch wenn er gar nicht daran glaubt. Auch in den folgenden Kapiteln werden reiche Gemeindemitglieder erwähnt, sodass es natürlich erscheint, hier davon auszugehen, dass der „Reiche“ ebenso ein „reicher Bruder“ ist (cf. Diskussion bei Blomberg 2008, 57) - Allerdings legt der Autor möglicherweise gar kein Augenmerk auf diese Unterscheidung, sondern spricht, in der Tradition der Weisheitsliteratur, allgemein von den Reichen.</w:t>
      </w:r>
    </w:p>
  </w:footnote>
  <w:footnote w:id="2231">
    <w:p>
      <w:pPr>
        <w:pStyle w:val="Funote"/>
        <w:rPr/>
      </w:pPr>
      <w:r>
        <w:rPr/>
        <w:footnoteRef/>
        <w:tab/>
        <w:t>Wörtlich: „Blume/Blüte des Grases“. Hat hier wohl die Bedeutung von Unkraut im Gegensatz zu kultivierten Pflanzen (BA). Das Bild von der Kurzlebigkeit des Grases wird auch im AT gerne als Bild für die Vergänglichkeit gebraucht (so Jes 40,6; Ps 90,5-7; Dibelius 111964, 115)</w:t>
      </w:r>
    </w:p>
  </w:footnote>
  <w:footnote w:id="2232">
    <w:p>
      <w:pPr>
        <w:pStyle w:val="Funote"/>
        <w:rPr/>
      </w:pPr>
      <w:r>
        <w:rPr/>
        <w:footnoteRef/>
        <w:tab/>
        <w:t>Im Griechischen steht hier die Verbform „Aorist“. Entweder wird dadurch markiert, dass V. 11 die Geschichte einer Blume erzählt („Die Sonne ging auf und mit ihr kam der heiße Wind, und sie vertrockneten das Gras... Ebenso wird der Reiche...“), oder - wesentlich wahrscheinlicher - die Verbform wird als „gnomischer Aorist“ verwendet und schildert das Verdorren der Blume als überzeitliches Gleichnis („So, wie wenn die Sonne aufgeht und der heiße Wind aufkommt und sie die Blume vertrocknen lassen..., wird auch der Reiche...“).</w:t>
      </w:r>
    </w:p>
  </w:footnote>
  <w:footnote w:id="2233">
    <w:p>
      <w:pPr>
        <w:pStyle w:val="Funote"/>
        <w:rPr/>
      </w:pPr>
      <w:r>
        <w:rPr/>
        <w:footnoteRef/>
        <w:tab/>
        <w:t>Der verwendete Begriff kann sowohl für Hitze, als auch für sengend heißen Wind stehen. Aber die Hitze wird erst am frühen Nachmittag besonders drückend, während der heiße Wüstenwind den ganzen Tag über weht. Deshalb wurde diese Lösung vorgezogen (Blomberg 2008, 56).</w:t>
      </w:r>
    </w:p>
  </w:footnote>
  <w:footnote w:id="2234">
    <w:p>
      <w:pPr>
        <w:pStyle w:val="Funote"/>
        <w:rPr/>
      </w:pPr>
      <w:r>
        <w:rPr/>
        <w:footnoteRef/>
        <w:tab/>
        <w:t>Alle präsentisch übersetzten Verben in diesem Vers stehen im Urtext im gnomischen Aorist.</w:t>
      </w:r>
    </w:p>
  </w:footnote>
  <w:footnote w:id="2235">
    <w:p>
      <w:pPr>
        <w:pStyle w:val="Funote"/>
        <w:rPr/>
      </w:pPr>
      <w:r>
        <w:rPr/>
        <w:footnoteRef/>
        <w:tab/>
        <w:t>Die meisten Handschriften lesen hier „Mann“, jedoch mit klar generischer Bedeutung (Blomberg 2008, 69).</w:t>
      </w:r>
    </w:p>
  </w:footnote>
  <w:footnote w:id="2236">
    <w:p>
      <w:pPr>
        <w:pStyle w:val="Funote"/>
        <w:rPr/>
      </w:pPr>
      <w:r>
        <w:rPr/>
        <w:footnoteRef/>
        <w:tab/>
        <w:t>Gemeint ist, wie oben, keine geistliche Versuchung, sondern allgemein eine Schwierigkeit, eine „Prüfung“ im Leben. S. Vv. 2-4 (Blomberg 2008, 69).</w:t>
      </w:r>
    </w:p>
  </w:footnote>
  <w:footnote w:id="2237">
    <w:p>
      <w:pPr>
        <w:pStyle w:val="Funote"/>
        <w:rPr/>
      </w:pPr>
      <w:r>
        <w:rPr/>
        <w:footnoteRef/>
        <w:tab/>
        <w:t>Die Einfügung soll der Bedeutung des Verbs näher kommen.</w:t>
      </w:r>
    </w:p>
  </w:footnote>
  <w:footnote w:id="2238">
    <w:p>
      <w:pPr>
        <w:pStyle w:val="Funote"/>
        <w:rPr/>
      </w:pPr>
      <w:r>
        <w:rPr/>
        <w:footnoteRef/>
        <w:tab/>
        <w:t>Adv. Ptz. Aor., temporal aufgelöst; alternativ auch kausal, modal. Wörtlich: „als ein erprobt (bewährt, tüchtig, angesehen) Gewordenener“.</w:t>
      </w:r>
    </w:p>
  </w:footnote>
  <w:footnote w:id="2239">
    <w:p>
      <w:pPr>
        <w:pStyle w:val="Funote"/>
        <w:rPr/>
      </w:pPr>
      <w:r>
        <w:rPr/>
        <w:footnoteRef/>
        <w:tab/>
        <w:t>Gen. epexegeticus (NSS). „Siegeskranz, welcher das Leben ist“ (Blomberg 2008, 69).</w:t>
      </w:r>
    </w:p>
  </w:footnote>
  <w:footnote w:id="2240">
    <w:p>
      <w:pPr>
        <w:pStyle w:val="Funote"/>
        <w:rPr/>
      </w:pPr>
      <w:r>
        <w:rPr/>
        <w:footnoteRef/>
        <w:tab/>
        <w:t>Viele Handschriften ergänzen an dieser Stelle zusätzlich als Subjekt „der Herr“ oder „Gott“; die schwierigere und kürzere (und damit wohl ursprüngliche) Lesart ist jedoch diejenige ohne explizites Subjekt (Johnson 1995, 188).</w:t>
      </w:r>
    </w:p>
  </w:footnote>
  <w:footnote w:id="2241">
    <w:p>
      <w:pPr>
        <w:pStyle w:val="Funote"/>
        <w:rPr/>
      </w:pPr>
      <w:r>
        <w:rPr/>
        <w:footnoteRef/>
        <w:tab/>
        <w:t>Subst. Ptz., hier aufgelöst.</w:t>
      </w:r>
    </w:p>
  </w:footnote>
  <w:footnote w:id="2242">
    <w:p>
      <w:pPr>
        <w:pStyle w:val="Funote"/>
        <w:rPr/>
      </w:pPr>
      <w:r>
        <w:rPr/>
        <w:footnoteRef/>
        <w:tab/>
        <w:t>Wörtlich: „Kein Versuchter (Geprüfter, Auf-die-Probe-Gestellter)“ (Attr. Ptz. Präs.)</w:t>
      </w:r>
    </w:p>
  </w:footnote>
  <w:footnote w:id="2243">
    <w:p>
      <w:pPr>
        <w:pStyle w:val="Funote"/>
        <w:rPr/>
      </w:pPr>
      <w:r>
        <w:rPr/>
        <w:footnoteRef/>
        <w:tab/>
        <w:t>3. Sg. Imp.</w:t>
      </w:r>
    </w:p>
  </w:footnote>
  <w:footnote w:id="2244">
    <w:p>
      <w:pPr>
        <w:pStyle w:val="Funote"/>
        <w:rPr/>
      </w:pPr>
      <w:r>
        <w:rPr>
          <w:lang w:val="el-GR"/>
        </w:rPr>
        <w:footnoteRef/>
        <w:tab/>
        <w:t>ὅτι</w:t>
      </w:r>
      <w:r>
        <w:rPr/>
        <w:t xml:space="preserve"> recitativum.</w:t>
      </w:r>
    </w:p>
  </w:footnote>
  <w:footnote w:id="2245">
    <w:p>
      <w:pPr>
        <w:pStyle w:val="Funote"/>
        <w:rPr/>
      </w:pPr>
      <w:r>
        <w:rPr/>
        <w:footnoteRef/>
        <w:tab/>
        <w:t>Die Bedeutung des Adjektivs ist an dieser Stelle nicht sicher zu ermitteln. Der Text ist auf zwei Arten deutbar: „Gott ist im [im] Bösen unerfahren“ oder „Gott ist des Bösen nicht versuchbar / ohne Versuchung / unversucht“. Hier wird der Genitiv „des Bösen“ als Gen. separationis gedeutet, Gott kann also nicht „zum Bösen“ versucht werden (Dibelius 111964, 122f.; Johnson 1995, 192f.; Mußner 1964, 87f.; NSS). Alternative Gen. der Richtung: „Gott kann nicht zum Bösen versucht werden“.</w:t>
      </w:r>
    </w:p>
  </w:footnote>
  <w:footnote w:id="2246">
    <w:p>
      <w:pPr>
        <w:pStyle w:val="Funote"/>
        <w:rPr/>
      </w:pPr>
      <w:r>
        <w:rPr/>
        <w:footnoteRef/>
        <w:tab/>
        <w:t xml:space="preserve">Diese Übersetzung von </w:t>
      </w:r>
      <w:r>
        <w:rPr>
          <w:lang w:val="el-GR"/>
        </w:rPr>
        <w:t>δὲ</w:t>
      </w:r>
      <w:r>
        <w:rPr/>
        <w:t xml:space="preserve"> wurde gewählt, um den Argumentationsgang wie im Urtext aufrecht zu erhalten.</w:t>
      </w:r>
    </w:p>
  </w:footnote>
  <w:footnote w:id="2247">
    <w:p>
      <w:pPr>
        <w:pStyle w:val="Funote"/>
        <w:rPr/>
      </w:pPr>
      <w:r>
        <w:rPr/>
        <w:footnoteRef/>
        <w:tab/>
        <w:t>Modale Auflösung zweier adv. Ptz. Alternativ kausal, temporal, konditional.</w:t>
      </w:r>
    </w:p>
  </w:footnote>
  <w:footnote w:id="2248">
    <w:p>
      <w:pPr>
        <w:pStyle w:val="Funote"/>
        <w:rPr/>
      </w:pPr>
      <w:r>
        <w:rPr/>
        <w:footnoteRef/>
        <w:tab/>
        <w:t>Ptc. coni. Aor.; temporal aufgelöst.</w:t>
      </w:r>
    </w:p>
  </w:footnote>
  <w:footnote w:id="2249">
    <w:p>
      <w:pPr>
        <w:pStyle w:val="Funote"/>
        <w:rPr/>
      </w:pPr>
      <w:r>
        <w:rPr/>
        <w:footnoteRef/>
        <w:tab/>
        <w:t>Eig. Futur. Die Alternative „erwachsen geworden“ passt in den Sinn der Metapher von der Begierde, dem Gebären und Erwachsenwerden der Sünde (Blomberg 2008, 72).</w:t>
      </w:r>
    </w:p>
  </w:footnote>
  <w:footnote w:id="2250">
    <w:p>
      <w:pPr>
        <w:pStyle w:val="Funote"/>
        <w:rPr/>
      </w:pPr>
      <w:r>
        <w:rPr/>
        <w:footnoteRef/>
        <w:tab/>
        <w:t>Wörtlich: „Werdet nicht getäuscht“. Alternativ auch aktiv: „Täuscht euch nicht“.</w:t>
      </w:r>
    </w:p>
  </w:footnote>
  <w:footnote w:id="2251">
    <w:p>
      <w:pPr>
        <w:pStyle w:val="Funote"/>
        <w:rPr/>
      </w:pPr>
      <w:r>
        <w:rPr/>
        <w:footnoteRef/>
        <w:tab/>
        <w:t>Wörtlich: „von oben ist herabkommend vom...“ (Ptz. Präs. Akt.). Dabei ist nicht klar, ob „herabkommend“ zu „ist“ gehört oder einen abhängigen partizipiellen Nebensatz einleitet. Der erste Fall wurde hier angenommen; das Ptz. ist dann prädikativ und periphrastisch (so Dibelius, 111964, 130; Blomberg 2008, 73f.). Im zweiten Fall wäre das Ptz. entweder als kausales Ptc. coni.: „ist von oben, weil es … kommt“ (Mußner 1964, 91) oder attributiv zu verstehen: „ist von oben, welches … kommt“ (Johnson 1995, 196). Die periphrastische Deutung stützt sich auf die Wortstellung (Blomberg 2008, 74); für die als Nebensatz spricht, „daß es Jak nicht auf das ‚Herabsteigen‘ ankommt, sondern auf die Herkunft ‚von oben‘“ (Mußner 1964, 91).</w:t>
      </w:r>
    </w:p>
  </w:footnote>
  <w:footnote w:id="2252">
    <w:p>
      <w:pPr>
        <w:pStyle w:val="Funote"/>
        <w:rPr/>
      </w:pPr>
      <w:r>
        <w:rPr/>
        <w:footnoteRef/>
        <w:tab/>
        <w:t>Gemeint sind wohl die Himmelskörper als natürliche Lichtquellen (vgl. Johnson 1995, 196).</w:t>
      </w:r>
    </w:p>
  </w:footnote>
  <w:footnote w:id="2253">
    <w:p>
      <w:pPr>
        <w:pStyle w:val="Funote"/>
        <w:rPr/>
      </w:pPr>
      <w:r>
        <w:rPr/>
        <w:footnoteRef/>
        <w:tab/>
        <w:t xml:space="preserve">Wörtlich: „[der] Wende (Gen.) Verfinsterung“. Lt. BA war </w:t>
      </w:r>
      <w:r>
        <w:rPr>
          <w:lang w:val="el-GR"/>
        </w:rPr>
        <w:t>τροπῆ</w:t>
      </w:r>
      <w:r>
        <w:rPr/>
        <w:t xml:space="preserve"> wohl einmal ein astrologischer Terminus technicus, der wohl „Sonnenwende“ bedeutete. Diese Denotation sei aber in der Koine verloren gegangen.</w:t>
      </w:r>
    </w:p>
  </w:footnote>
  <w:footnote w:id="2254">
    <w:p>
      <w:pPr>
        <w:pStyle w:val="Funote"/>
        <w:rPr/>
      </w:pPr>
      <w:r>
        <w:rPr/>
        <w:footnoteRef/>
        <w:tab/>
        <w:t>Substantivische Auflösung eines kausalen oder modalen Ptz. Aor. Pass. (wörtlich „gewillt habend“).</w:t>
      </w:r>
    </w:p>
  </w:footnote>
  <w:footnote w:id="2255">
    <w:p>
      <w:pPr>
        <w:pStyle w:val="Funote"/>
        <w:rPr/>
      </w:pPr>
      <w:r>
        <w:rPr/>
        <w:footnoteRef/>
        <w:tab/>
        <w:t>Dat. instrumentalis.</w:t>
      </w:r>
    </w:p>
  </w:footnote>
  <w:footnote w:id="2256">
    <w:p>
      <w:pPr>
        <w:pStyle w:val="Funote"/>
        <w:rPr/>
      </w:pPr>
      <w:r>
        <w:rPr/>
        <w:footnoteRef/>
        <w:tab/>
        <w:t>So NSS. Wörtlich „Wisst“ (Imp.) oder „Ihr wisst“ (Ind., so Johnson 1995, 198). Hier als Imperativ gedeutet. Alternativ „Wisst dies:“ (Blomberg 2008, 85; Mußner 1964, 99).</w:t>
      </w:r>
    </w:p>
  </w:footnote>
  <w:footnote w:id="2257">
    <w:p>
      <w:pPr>
        <w:pStyle w:val="Funote"/>
        <w:rPr/>
      </w:pPr>
      <w:r>
        <w:rPr/>
        <w:footnoteRef/>
        <w:tab/>
        <w:t>Hier verwendet der Autor „Mann“ wieder im generischen Sinne als Synomym für „Mensch“ (Blomberg/Kamell).</w:t>
      </w:r>
    </w:p>
  </w:footnote>
  <w:footnote w:id="2258">
    <w:p>
      <w:pPr>
        <w:pStyle w:val="Funote"/>
        <w:rPr/>
      </w:pPr>
      <w:r>
        <w:rPr/>
        <w:footnoteRef/>
        <w:tab/>
        <w:t>Gen. subi.: also die Gerechtigkeit vor Gott/nach der Gott urteilt. Kann umschrieben werden: „was vor Gott gerecht ist“ (So Lut, EU, NGÜ). Wörtlich „Gerechtigkeit Gottes“ (so bei RevElb, SLT).</w:t>
      </w:r>
    </w:p>
  </w:footnote>
  <w:footnote w:id="2259">
    <w:p>
      <w:pPr>
        <w:pStyle w:val="Funote"/>
        <w:rPr/>
      </w:pPr>
      <w:r>
        <w:rPr/>
        <w:footnoteRef/>
        <w:tab/>
        <w:t>Alternativ nach NSS: „erfüllt nicht die von Gott gesetzte Gerechtigkeit.“</w:t>
      </w:r>
    </w:p>
  </w:footnote>
  <w:footnote w:id="2260">
    <w:p>
      <w:pPr>
        <w:pStyle w:val="Funote"/>
        <w:rPr/>
      </w:pPr>
      <w:r>
        <w:rPr/>
        <w:footnoteRef/>
        <w:tab/>
        <w:t>Wörtlich: „[alles] Übermaß der Schlechtigkeit“. Die Bedeutung ist eindeutig nicht „alle Schlechtigkeit, die ihr übrig habt“, sondern „von der es so viel gibt“.</w:t>
      </w:r>
    </w:p>
  </w:footnote>
  <w:footnote w:id="2261">
    <w:p>
      <w:pPr>
        <w:pStyle w:val="Funote"/>
        <w:rPr/>
      </w:pPr>
      <w:r>
        <w:rPr/>
        <w:footnoteRef/>
        <w:tab/>
        <w:t>Das Verb des ersten Satzteils ist ein Ptz. Aor., das sowohl vorzeitig, als auch gleichzeitig gedeutet werden kann. Deshalb alternativ: „Nachdem/Wenn/Weil ihr ...abgelegt habt“.</w:t>
      </w:r>
    </w:p>
  </w:footnote>
  <w:footnote w:id="2262">
    <w:p>
      <w:pPr>
        <w:pStyle w:val="Funote"/>
        <w:rPr/>
      </w:pPr>
      <w:r>
        <w:rPr/>
        <w:footnoteRef/>
        <w:tab/>
        <w:t>Oder: „in Freundlichkeit“. Weil dieser Teil im Griechischen zwischen genau zwischen den beiden imperativischen Teilsätzen steht, ist seine Zuordnung nicht ganz klar. Die meisten Übersetzer beziehen es jedoch auf den zweiten Teil (So auch bei Blomberg/Kamell).</w:t>
      </w:r>
    </w:p>
  </w:footnote>
  <w:footnote w:id="2263">
    <w:p>
      <w:pPr>
        <w:pStyle w:val="Funote"/>
        <w:rPr/>
      </w:pPr>
      <w:r>
        <w:rPr/>
        <w:footnoteRef/>
        <w:tab/>
        <w:t>Attr. od. adv. (modales) Ptz.</w:t>
      </w:r>
    </w:p>
  </w:footnote>
  <w:footnote w:id="2264">
    <w:p>
      <w:pPr>
        <w:pStyle w:val="Funote"/>
        <w:rPr/>
      </w:pPr>
      <w:r>
        <w:rPr/>
        <w:footnoteRef/>
        <w:tab/>
        <w:t xml:space="preserve">Adversatives </w:t>
      </w:r>
      <w:r>
        <w:rPr>
          <w:lang w:val="el-GR"/>
        </w:rPr>
        <w:t>καί</w:t>
      </w:r>
      <w:r>
        <w:rPr/>
        <w:t>, das entsprechend wiedergegeben wurde.</w:t>
      </w:r>
    </w:p>
  </w:footnote>
  <w:footnote w:id="2265">
    <w:p>
      <w:pPr>
        <w:pStyle w:val="Funote"/>
        <w:rPr/>
      </w:pPr>
      <w:r>
        <w:rPr/>
        <w:footnoteRef/>
        <w:tab/>
        <w:t>Oder: „natürliches Aussehen“ (So NSS). Wörtlich: „Aussehen/Gesicht der Schöpfung“. Dabei handelt es sich um einen Semitismus, der auch einfach mit „Gesicht“ übersetzt werden kann.</w:t>
      </w:r>
    </w:p>
  </w:footnote>
  <w:footnote w:id="2266">
    <w:p>
      <w:pPr>
        <w:pStyle w:val="Funote"/>
        <w:rPr/>
      </w:pPr>
      <w:r>
        <w:rPr/>
        <w:footnoteRef/>
        <w:tab/>
        <w:t>Attr. Ptz. Das Wort meint nicht ein flüchtiges, sondern ein genaues Betrachten (Blomberg/Kamell). Spiegel in der Antike waren gewöhnlich aus poliertem Metall. Denkbar ist ein Bezug, wonach man sich darin nicht besonders gut erkennen konnte, deshalb musste man schon genauer hinschauen. Andererseits cf. 2Kor 3,18, wo von einem ziemlich klaren Spiegel gesprochen zu werden scheint. Eine kommunikative Übersetzung könnte darum „studiert“ lauten. So auch im nächsten Vers.</w:t>
      </w:r>
    </w:p>
  </w:footnote>
  <w:footnote w:id="2267">
    <w:p>
      <w:pPr>
        <w:pStyle w:val="Funote"/>
        <w:rPr/>
      </w:pPr>
      <w:r>
        <w:rPr/>
        <w:footnoteRef/>
        <w:tab/>
        <w:t>Indefiniter Konditionalsatz.</w:t>
      </w:r>
    </w:p>
  </w:footnote>
  <w:footnote w:id="2268">
    <w:p>
      <w:pPr>
        <w:pStyle w:val="Funote"/>
        <w:rPr/>
      </w:pPr>
      <w:r>
        <w:rPr/>
        <w:footnoteRef/>
        <w:tab/>
        <w:t>Die ersten drei Verben dieses Satzes stehen eigentlich im gnomischen Aorist/Perfekt.</w:t>
      </w:r>
    </w:p>
  </w:footnote>
  <w:footnote w:id="2269">
    <w:p>
      <w:pPr>
        <w:pStyle w:val="Funote"/>
        <w:rPr/>
      </w:pPr>
      <w:r>
        <w:rPr/>
        <w:footnoteRef/>
        <w:tab/>
        <w:t>Wörtlich: „wie er beschaffen war“</w:t>
      </w:r>
    </w:p>
  </w:footnote>
  <w:footnote w:id="2270">
    <w:p>
      <w:pPr>
        <w:pStyle w:val="Funote"/>
        <w:rPr/>
      </w:pPr>
      <w:r>
        <w:rPr/>
        <w:footnoteRef/>
        <w:tab/>
        <w:t>Wörtlich: „vorbeugt“. Alternativ vorzeitig: „vertieft hat“. Hier wieder gnomisch gedeutet.</w:t>
      </w:r>
    </w:p>
  </w:footnote>
  <w:footnote w:id="2271">
    <w:p>
      <w:pPr>
        <w:pStyle w:val="Funote"/>
        <w:rPr/>
      </w:pPr>
      <w:r>
        <w:rPr/>
        <w:footnoteRef/>
        <w:tab/>
        <w:t>Oder vorzeitig: „geblieben ist“</w:t>
      </w:r>
    </w:p>
  </w:footnote>
  <w:footnote w:id="2272">
    <w:p>
      <w:pPr>
        <w:pStyle w:val="Funote"/>
        <w:rPr/>
      </w:pPr>
      <w:r>
        <w:rPr/>
        <w:footnoteRef/>
        <w:tab/>
        <w:t>Gen. qualitatis. Wörtlich: „Hörer der Vergesslichkeit“</w:t>
      </w:r>
    </w:p>
  </w:footnote>
  <w:footnote w:id="2273">
    <w:p>
      <w:pPr>
        <w:pStyle w:val="Funote"/>
        <w:rPr/>
      </w:pPr>
      <w:r>
        <w:rPr/>
        <w:footnoteRef/>
        <w:tab/>
        <w:t>Oder vorzeitig: „geworden ist“. Das modale Ptz. Aor. Pass. lässt sich analog zu den vorhergehenden Verben verschieden auflösen.</w:t>
      </w:r>
    </w:p>
  </w:footnote>
  <w:footnote w:id="2274">
    <w:p>
      <w:pPr>
        <w:pStyle w:val="Funote"/>
        <w:rPr/>
      </w:pPr>
      <w:r>
        <w:rPr/>
        <w:footnoteRef/>
        <w:tab/>
        <w:t>Eingefügt, um die durativ-iterative Bedeutung des aufgelösten attr. Ptz. Präs. besser zu erfassen.</w:t>
      </w:r>
    </w:p>
  </w:footnote>
  <w:footnote w:id="2275">
    <w:p>
      <w:pPr>
        <w:pStyle w:val="Funote"/>
        <w:rPr/>
      </w:pPr>
      <w:r>
        <w:rPr/>
        <w:footnoteRef/>
        <w:tab/>
        <w:t>Attr. Ptz. Präs.</w:t>
      </w:r>
    </w:p>
  </w:footnote>
  <w:footnote w:id="2276">
    <w:p>
      <w:pPr>
        <w:pStyle w:val="Funote"/>
        <w:rPr/>
      </w:pPr>
      <w:r>
        <w:rPr/>
        <w:footnoteRef/>
        <w:tab/>
        <w:t>Indefiniter Konditionalsatz.</w:t>
      </w:r>
    </w:p>
  </w:footnote>
  <w:footnote w:id="2277">
    <w:p>
      <w:pPr>
        <w:pStyle w:val="Funote"/>
        <w:rPr/>
      </w:pPr>
      <w:r>
        <w:rPr/>
        <w:footnoteRef/>
        <w:tab/>
        <w:t>Wörtlich: „ist dies“</w:t>
      </w:r>
    </w:p>
  </w:footnote>
  <w:footnote w:id="2278">
    <w:p>
      <w:pPr>
        <w:pStyle w:val="Funote"/>
        <w:rPr/>
      </w:pPr>
      <w:r>
        <w:rPr/>
        <w:footnoteRef/>
        <w:tab/>
        <w:t>[Status: Zuverlässig]</w:t>
      </w:r>
    </w:p>
  </w:footnote>
  <w:footnote w:id="2279">
    <w:p>
      <w:pPr>
        <w:pStyle w:val="Funote"/>
        <w:rPr/>
      </w:pPr>
      <w:r>
        <w:rPr/>
        <w:footnoteRef/>
        <w:tab/>
        <w:t>Wörtlich: „Glauben unseres Herrn“. Gen. subi.</w:t>
      </w:r>
    </w:p>
  </w:footnote>
  <w:footnote w:id="2280">
    <w:p>
      <w:pPr>
        <w:pStyle w:val="Funote"/>
        <w:rPr/>
      </w:pPr>
      <w:r>
        <w:rPr/>
        <w:footnoteRef/>
        <w:tab/>
        <w:t>Im Urtext: „unseren Herrn Jesus Christus der Herrlichkeit“. Es gibt verschiedene Deutungsmöglichkeiten: 1. als Gen. qualitatis: „unseren herrlichen Herrn Jesus Christus“ (Dibelius, Johnson). In manchen Übersetzungen zu finden. 2. Grammatikalisch möglich, wenn auch im Rest der Bibel nicht anzutreffen wäre die Deutung als Apposition – der „Herr Jesus Christus“ würde also als „Herrlichkeit“ bezeichnet. Blomberg/Kamell ziehen diese Übersetzung vor. 3. als Gen. obiectivus; dann Glauben an die „Herrlichkeit des Herrn...“. 4. Als Titel Jesu, dann „Herrn Jesus Christus der Herrlichkeit“ (Bauckham). 5. Als attributiver Genitiv, wie hier gewählt (Mußner). Das erscheint am natürlichsten, außerdem haben sich die Übersetzer aller wichtigen deutschen Bibelübersetzungen für diese Variante entschieden. Nur Menge differenziert: „unsern Herrn Jesus Christus, (den Herrn) der Herrlichkeit“. Die nächstbeste Lösung ist wohl Option 1.</w:t>
      </w:r>
    </w:p>
  </w:footnote>
  <w:footnote w:id="2281">
    <w:p>
      <w:pPr>
        <w:pStyle w:val="Funote"/>
        <w:rPr/>
      </w:pPr>
      <w:r>
        <w:rPr/>
        <w:footnoteRef/>
        <w:tab/>
        <w:t xml:space="preserve">Oder neutraler „Versammlung“, dann wohl als christlicher Gottesdienst (cf. Dibelius, Mußner, Johnson, Blomberg/Kamell). Blomberg sieht hier eine christliche Gerichtsszene. So werde in Vv. 1-4 Gerichtssprache verwendet. Weiter verwende der Autor </w:t>
      </w:r>
      <w:r>
        <w:rPr>
          <w:lang w:val="el-GR"/>
        </w:rPr>
        <w:t>συναγωγή</w:t>
      </w:r>
      <w:r>
        <w:rPr/>
        <w:t xml:space="preserve"> und nicht </w:t>
      </w:r>
      <w:r>
        <w:rPr>
          <w:lang w:val="el-GR"/>
        </w:rPr>
        <w:t>ἐκκλησία</w:t>
      </w:r>
      <w:r>
        <w:rPr/>
        <w:t xml:space="preserve"> (wie in 5,14) – das wäre der einzige Fall im NT, wo das Wort einen christlichen Gottesdienst meint. Auch könne der Autor auf 3. Mose 19,15 angespielt haben, was wieder auf eine Gerichtssituation hinweisen könnte. Und in V. 6 wird erwähnt, wie die Reichen die Armen verklagen. Andererseits könne der Gebrauch von </w:t>
      </w:r>
      <w:r>
        <w:rPr>
          <w:lang w:val="el-GR"/>
        </w:rPr>
        <w:t>συναγωγή</w:t>
      </w:r>
      <w:r>
        <w:rPr/>
        <w:t xml:space="preserve"> auf den jüdischen Kontext oder ein frühes Entstehungsdatum des Briefs hinweisen, und die Szene wäre sehr leicht auch in einem Gottesdienst vorstellbar (Blomberg/Kamell). Dibelius wendet aber ein, dass es nicht als Beleg für einen jüdischen Hintergrund herhalten kann.</w:t>
      </w:r>
    </w:p>
  </w:footnote>
  <w:footnote w:id="2282">
    <w:p>
      <w:pPr>
        <w:pStyle w:val="Funote"/>
        <w:rPr/>
      </w:pPr>
      <w:r>
        <w:rPr/>
        <w:footnoteRef/>
        <w:tab/>
        <w:t>Auf Griechisch ein einziges Adjektiv, „goldfingrig“.</w:t>
      </w:r>
    </w:p>
  </w:footnote>
  <w:footnote w:id="2283">
    <w:p>
      <w:pPr>
        <w:pStyle w:val="Funote"/>
        <w:rPr/>
      </w:pPr>
      <w:r>
        <w:rPr/>
        <w:footnoteRef/>
        <w:tab/>
        <w:t>Wörtlich: „strahlender“, „glänzender“</w:t>
      </w:r>
    </w:p>
  </w:footnote>
  <w:footnote w:id="2284">
    <w:p>
      <w:pPr>
        <w:pStyle w:val="Funote"/>
        <w:rPr/>
      </w:pPr>
      <w:r>
        <w:rPr/>
        <w:footnoteRef/>
        <w:tab/>
        <w:t>Subst. Ptz.</w:t>
      </w:r>
    </w:p>
  </w:footnote>
  <w:footnote w:id="2285">
    <w:p>
      <w:pPr>
        <w:pStyle w:val="Funote"/>
        <w:rPr/>
      </w:pPr>
      <w:r>
        <w:rPr/>
        <w:footnoteRef/>
        <w:tab/>
        <w:t>Wörtlich: „hierher [auf diesen] gut[en Platz]“</w:t>
      </w:r>
    </w:p>
  </w:footnote>
  <w:footnote w:id="2286">
    <w:p>
      <w:pPr>
        <w:pStyle w:val="Funote"/>
        <w:rPr/>
      </w:pPr>
      <w:r>
        <w:rPr/>
        <w:footnoteRef/>
        <w:tab/>
        <w:t xml:space="preserve">Variante im Urtext: </w:t>
      </w:r>
      <w:r>
        <w:rPr>
          <w:lang w:val="el-GR"/>
        </w:rPr>
        <w:t>ἐκεῖ</w:t>
      </w:r>
      <w:r>
        <w:rPr/>
        <w:t xml:space="preserve"> („da“) steht in manchen Handschriften hinter </w:t>
      </w:r>
      <w:r>
        <w:rPr>
          <w:lang w:val="el-GR"/>
        </w:rPr>
        <w:t>κάθου</w:t>
      </w:r>
      <w:r>
        <w:rPr/>
        <w:t xml:space="preserve"> („setze dich“). Übersetzung dann: „Du stehe oder setze dich dort...“ (gefunden im NSS; sollte noch belegt werden).</w:t>
      </w:r>
    </w:p>
  </w:footnote>
  <w:footnote w:id="2287">
    <w:p>
      <w:pPr>
        <w:pStyle w:val="Funote"/>
        <w:rPr/>
      </w:pPr>
      <w:r>
        <w:rPr/>
        <w:footnoteRef/>
        <w:tab/>
        <w:t>Wörtlich „in euch selbst“ oder „untereinander“. Die meisten Übersetzungen entscheiden sich für die reziproke Deutung. So etwa Menge: „seid ihr da nicht in Zwiespalt (oder: Widerspruch) mit euch selbst geraten“. HfA: „Habt ihr da nicht mit zweierlei Maß gemessen.“</w:t>
      </w:r>
    </w:p>
  </w:footnote>
  <w:footnote w:id="2288">
    <w:p>
      <w:pPr>
        <w:pStyle w:val="Funote"/>
        <w:rPr/>
      </w:pPr>
      <w:r>
        <w:rPr/>
        <w:footnoteRef/>
        <w:tab/>
        <w:t>Dasselbe Wort wird weiter oben für „zweifeln, Bedenken haben“ verwendet, kommt hier aber in seiner Grundbedeutung vor.</w:t>
      </w:r>
    </w:p>
  </w:footnote>
  <w:footnote w:id="2289">
    <w:p>
      <w:pPr>
        <w:pStyle w:val="Funote"/>
        <w:rPr/>
      </w:pPr>
      <w:r>
        <w:rPr/>
        <w:footnoteRef/>
        <w:tab/>
        <w:t>Wörtlich „Richter schlechter Gedanken“. Kann auch als „eine schlechte Entscheidungen fällen“ interpretiert und frei übersetzt werden (NSS). Die „Gesinnung“ kann sowohl für „leise“ wie „laute“ Gedanken stehen (Blomberg/Kamell).</w:t>
      </w:r>
    </w:p>
  </w:footnote>
  <w:footnote w:id="2290">
    <w:p>
      <w:pPr>
        <w:pStyle w:val="Funote"/>
        <w:rPr/>
      </w:pPr>
      <w:r>
        <w:rPr/>
        <w:footnoteRef/>
        <w:tab/>
        <w:t>Vv. 2-4 sind ein gewöhnlicher, prospektiver Konditionalsatz.</w:t>
      </w:r>
    </w:p>
  </w:footnote>
  <w:footnote w:id="2291">
    <w:p>
      <w:pPr>
        <w:pStyle w:val="Funote"/>
        <w:rPr/>
      </w:pPr>
      <w:r>
        <w:rPr/>
        <w:footnoteRef/>
        <w:tab/>
        <w:t>„</w:t>
      </w:r>
      <w:r>
        <w:rPr/>
        <w:t>[in den Augen] der Welt“: Hier als „ethischer Dativ“ (Blomberg/Kamell) interpretiert, was das Augenmerk nicht auf ihre materielle Armut, sondern ihre niedrige Stellung lenkt. Möglich wäre auch die Deutung als lokaler („die Armen, die in der Welt sind“) oder „Dativ der Hinsicht“ („die Armen in Hinsicht auf weltliche Güter“).</w:t>
      </w:r>
    </w:p>
  </w:footnote>
  <w:footnote w:id="2292">
    <w:p>
      <w:pPr>
        <w:pStyle w:val="Funote"/>
        <w:rPr/>
      </w:pPr>
      <w:r>
        <w:rPr/>
        <w:footnoteRef/>
        <w:tab/>
        <w:t>Der Aorist könnte gnomisch sein. Dann: „Erwählt Gott nicht...?“ (Blomberg/Kamell).</w:t>
      </w:r>
    </w:p>
  </w:footnote>
  <w:footnote w:id="2293">
    <w:p>
      <w:pPr>
        <w:pStyle w:val="Funote"/>
        <w:rPr/>
      </w:pPr>
      <w:r>
        <w:rPr/>
        <w:footnoteRef/>
        <w:tab/>
        <w:t>Alternativ: „als Reiche...“. LUT bezieht „erwählt“ auch auf die „Reichen“ und „Erben“.</w:t>
      </w:r>
    </w:p>
  </w:footnote>
  <w:footnote w:id="2294">
    <w:p>
      <w:pPr>
        <w:pStyle w:val="Funote"/>
        <w:rPr/>
      </w:pPr>
      <w:r>
        <w:rPr/>
        <w:footnoteRef/>
        <w:tab/>
        <w:t xml:space="preserve">Das </w:t>
      </w:r>
      <w:r>
        <w:rPr>
          <w:lang w:val="el-GR"/>
        </w:rPr>
        <w:t>οὐχ</w:t>
      </w:r>
      <w:r>
        <w:rPr/>
        <w:t xml:space="preserve"> am Satzanfang bezieht sich auch auf dieses Verb.</w:t>
      </w:r>
    </w:p>
  </w:footnote>
  <w:footnote w:id="2295">
    <w:p>
      <w:pPr>
        <w:pStyle w:val="Funote"/>
        <w:rPr/>
      </w:pPr>
      <w:r>
        <w:rPr/>
        <w:footnoteRef/>
        <w:tab/>
        <w:t>Eigentlich ein Futur; drückt ein besonders starkes Gebot aus.</w:t>
      </w:r>
    </w:p>
  </w:footnote>
  <w:footnote w:id="2296">
    <w:p>
      <w:pPr>
        <w:pStyle w:val="Funote"/>
        <w:rPr/>
      </w:pPr>
      <w:r>
        <w:rPr/>
        <w:footnoteRef/>
        <w:tab/>
        <w:t xml:space="preserve">Das Adverb </w:t>
      </w:r>
      <w:r>
        <w:rPr>
          <w:lang w:val="el-GR"/>
        </w:rPr>
        <w:t>καλῶς</w:t>
      </w:r>
      <w:r>
        <w:rPr/>
        <w:t xml:space="preserve"> bezeichnet hier das moralisch Richtige. In V. 3 bezeichnet es dagegen einen angemessenen, bequemen Sitzplatz...</w:t>
      </w:r>
    </w:p>
  </w:footnote>
  <w:footnote w:id="2297">
    <w:p>
      <w:pPr>
        <w:pStyle w:val="Funote"/>
        <w:rPr/>
      </w:pPr>
      <w:r>
        <w:rPr/>
        <w:footnoteRef/>
        <w:tab/>
        <w:t>Indefiniter Konditionalsatz.</w:t>
      </w:r>
    </w:p>
  </w:footnote>
  <w:footnote w:id="2298">
    <w:p>
      <w:pPr>
        <w:pStyle w:val="Funote"/>
        <w:rPr/>
      </w:pPr>
      <w:r>
        <w:rPr/>
        <w:footnoteRef/>
        <w:tab/>
        <w:t>so NSS</w:t>
      </w:r>
    </w:p>
  </w:footnote>
  <w:footnote w:id="2299">
    <w:p>
      <w:pPr>
        <w:pStyle w:val="Funote"/>
        <w:rPr/>
      </w:pPr>
      <w:r>
        <w:rPr/>
        <w:footnoteRef/>
        <w:tab/>
        <w:t>So wörtlich. Lt. B/A hier auch „Sünder“.</w:t>
      </w:r>
    </w:p>
  </w:footnote>
  <w:footnote w:id="2300">
    <w:p>
      <w:pPr>
        <w:pStyle w:val="Funote"/>
        <w:rPr/>
      </w:pPr>
      <w:r>
        <w:rPr/>
        <w:footnoteRef/>
        <w:tab/>
        <w:t>Modale Auflösung des Ptc. coni. Möglicherweise auch kausal („weil … ihr überführt werdet“) bzw. einfach mit „und“</w:t>
      </w:r>
    </w:p>
  </w:footnote>
  <w:footnote w:id="2301">
    <w:p>
      <w:pPr>
        <w:pStyle w:val="Funote"/>
        <w:rPr/>
      </w:pPr>
      <w:r>
        <w:rPr/>
        <w:footnoteRef/>
        <w:tab/>
        <w:t>Indefiniter Konditionalsatz.</w:t>
      </w:r>
    </w:p>
  </w:footnote>
  <w:footnote w:id="2302">
    <w:p>
      <w:pPr>
        <w:pStyle w:val="Funote"/>
        <w:rPr/>
      </w:pPr>
      <w:r>
        <w:rPr/>
        <w:footnoteRef/>
        <w:tab/>
        <w:t>Bedeutung: „auch nur gegen ein Gebot verstößt“</w:t>
      </w:r>
    </w:p>
  </w:footnote>
  <w:footnote w:id="2303">
    <w:p>
      <w:pPr>
        <w:pStyle w:val="Funote"/>
        <w:rPr/>
      </w:pPr>
      <w:r>
        <w:rPr/>
        <w:footnoteRef/>
        <w:tab/>
        <w:t>Hier steht im Urtext ein Pf., das das Resultat einer Handlung betont; daher die Einfügung „[dadurch]“.Es ist unklar, ob mit „in Einem“ – „in Allen“ einzelne Gebote oder ähnliche Bereiche gemeint sind.</w:t>
      </w:r>
    </w:p>
  </w:footnote>
  <w:footnote w:id="2304">
    <w:p>
      <w:pPr>
        <w:pStyle w:val="Funote"/>
        <w:rPr/>
      </w:pPr>
      <w:r>
        <w:rPr/>
        <w:footnoteRef/>
        <w:tab/>
        <w:t>Aus 2. Mose 20,14.13. Beide Gebote stehen hier im prohibitiver Konjunktiv, während sie in der LXX – analog zum Hebräischen – im verneinten Futur stehen, was eine ähnlich starke Verneinung ist. Hier also etwas sinngemäßer wiedergegeben.</w:t>
      </w:r>
    </w:p>
  </w:footnote>
  <w:footnote w:id="2305">
    <w:p>
      <w:pPr>
        <w:pStyle w:val="Funote"/>
        <w:rPr/>
      </w:pPr>
      <w:r>
        <w:rPr/>
        <w:footnoteRef/>
        <w:tab/>
        <w:t>Hier steht im Urtext ein Pf., das das Resultat einer Handlung betont; daher die Einfügung „[dadurch]“.</w:t>
      </w:r>
    </w:p>
  </w:footnote>
  <w:footnote w:id="2306">
    <w:p>
      <w:pPr>
        <w:pStyle w:val="Funote"/>
        <w:rPr/>
      </w:pPr>
      <w:r>
        <w:rPr/>
        <w:footnoteRef/>
        <w:tab/>
        <w:t>Indefiniter Konditionalsatz.</w:t>
      </w:r>
    </w:p>
  </w:footnote>
  <w:footnote w:id="2307">
    <w:p>
      <w:pPr>
        <w:pStyle w:val="Funote"/>
        <w:rPr/>
      </w:pPr>
      <w:r>
        <w:rPr/>
        <w:footnoteRef/>
        <w:tab/>
        <w:t>Wörtlich „durch“. Alternativ „anhand“, „auf Grundlage“.</w:t>
      </w:r>
    </w:p>
  </w:footnote>
  <w:footnote w:id="2308">
    <w:p>
      <w:pPr>
        <w:pStyle w:val="Funote"/>
        <w:rPr/>
      </w:pPr>
      <w:r>
        <w:rPr/>
        <w:footnoteRef/>
        <w:tab/>
        <w:t>Attr. Ptz.</w:t>
      </w:r>
    </w:p>
  </w:footnote>
  <w:footnote w:id="2309">
    <w:p>
      <w:pPr>
        <w:pStyle w:val="Funote"/>
        <w:rPr/>
      </w:pPr>
      <w:r>
        <w:rPr/>
        <w:footnoteRef/>
        <w:tab/>
        <w:t>Wörtlich: „Was [ist] der Nutzen“.</w:t>
      </w:r>
    </w:p>
  </w:footnote>
  <w:footnote w:id="2310">
    <w:p>
      <w:pPr>
        <w:pStyle w:val="Funote"/>
        <w:rPr/>
      </w:pPr>
      <w:r>
        <w:rPr/>
        <w:footnoteRef/>
        <w:tab/>
        <w:t>Prospektiver Konditionalsatz.</w:t>
      </w:r>
    </w:p>
  </w:footnote>
  <w:footnote w:id="2311">
    <w:p>
      <w:pPr>
        <w:pStyle w:val="Funote"/>
        <w:rPr/>
      </w:pPr>
      <w:r>
        <w:rPr/>
        <w:footnoteRef/>
        <w:tab/>
        <w:t>Griechischer Abschiedsgruß. Lt. B/A entspricht das etwa dem Dt. »Bleiben Sie gesund!«. Alternativ sicher auch »Leb wohl!« o. ä.</w:t>
      </w:r>
    </w:p>
  </w:footnote>
  <w:footnote w:id="2312">
    <w:p>
      <w:pPr>
        <w:pStyle w:val="Funote"/>
        <w:rPr/>
      </w:pPr>
      <w:r>
        <w:rPr/>
        <w:footnoteRef/>
        <w:tab/>
        <w:t>Vulgo: „was sie zum Leben brauchen“, „das Lebensnotwendige“</w:t>
      </w:r>
    </w:p>
  </w:footnote>
  <w:footnote w:id="2313">
    <w:p>
      <w:pPr>
        <w:pStyle w:val="Funote"/>
        <w:rPr/>
      </w:pPr>
      <w:r>
        <w:rPr/>
        <w:footnoteRef/>
        <w:tab/>
        <w:t>Wörtlich: „Was [ist] der Nutzen“ (cf. 14).</w:t>
      </w:r>
    </w:p>
  </w:footnote>
  <w:footnote w:id="2314">
    <w:p>
      <w:pPr>
        <w:pStyle w:val="Funote"/>
        <w:rPr/>
      </w:pPr>
      <w:r>
        <w:rPr/>
        <w:footnoteRef/>
        <w:tab/>
        <w:t>Vv. 15-16: Wieder ein prospektiver Konditionalsatz.</w:t>
      </w:r>
    </w:p>
  </w:footnote>
  <w:footnote w:id="2315">
    <w:p>
      <w:pPr>
        <w:pStyle w:val="Funote"/>
        <w:rPr/>
      </w:pPr>
      <w:r>
        <w:rPr/>
        <w:footnoteRef/>
        <w:tab/>
        <w:t>Prospektiver Konditionalsatz.</w:t>
      </w:r>
    </w:p>
  </w:footnote>
  <w:footnote w:id="2316">
    <w:p>
      <w:pPr>
        <w:pStyle w:val="Funote"/>
        <w:rPr/>
      </w:pPr>
      <w:r>
        <w:rPr/>
        <w:footnoteRef/>
        <w:tab/>
        <w:t>Es gibt verschiedene Theorien darüber, wie weit die direkte Rede reicht. Davon ist die Bedeutung der Stelle abhängig. Blomberg zählt verschiedene Möglichkeiten auf: 1. Lässt Jakobus hier einen fiktiven Gegner zu Wort kommen? 2. Wie weit verläuft seine Rede? 3. Kommt dazu noch ein fiktiver Verbündeter? 4. Oder handelt es sich um einen fiktiven, etwas langsamen Zuhörer, der weiterer Erklärung bedarf? (So bei Bauckham; von Blomberg unberücksichtigt.) 5. Denkbar wäre auch, „Du hast Glauben?“ als Frage zu formulieren; alles weitere wäre dann die Antwort des Autors. Blomberg entscheidet sich dafür, dass der Autor indirekte Rede verwendete – das „ich“ beziehe sich also auf ihn, das „du“ auf sein Gegenüber (Blomberg/Kamell).</w:t>
      </w:r>
    </w:p>
  </w:footnote>
  <w:footnote w:id="2317">
    <w:p>
      <w:pPr>
        <w:pStyle w:val="Funote"/>
        <w:rPr/>
      </w:pPr>
      <w:r>
        <w:rPr/>
        <w:footnoteRef/>
        <w:tab/>
        <w:t>Wörtlich „dass nur [einer] Gott ist?“. Alternativ als Frage: „Glaubst du, dass es nur einen Gott gibt?“</w:t>
      </w:r>
    </w:p>
  </w:footnote>
  <w:footnote w:id="2318">
    <w:p>
      <w:pPr>
        <w:pStyle w:val="Funote"/>
        <w:rPr/>
      </w:pPr>
      <w:r>
        <w:rPr/>
        <w:footnoteRef/>
        <w:tab/>
        <w:t>Wörtlich: „Du handelst gut/richtig!“</w:t>
      </w:r>
    </w:p>
  </w:footnote>
  <w:footnote w:id="2319">
    <w:p>
      <w:pPr>
        <w:pStyle w:val="Funote"/>
        <w:rPr/>
      </w:pPr>
      <w:r>
        <w:rPr/>
        <w:footnoteRef/>
        <w:tab/>
        <w:t>Oder in Form einer echten Frage: „Willst du wissen/einsehen...“ (so bei Blomberg/Kamell).</w:t>
      </w:r>
    </w:p>
  </w:footnote>
  <w:footnote w:id="2320">
    <w:p>
      <w:pPr>
        <w:pStyle w:val="Funote"/>
        <w:rPr/>
      </w:pPr>
      <w:r>
        <w:rPr/>
        <w:footnoteRef/>
        <w:tab/>
        <w:t>Von B/A präferiert.</w:t>
      </w:r>
    </w:p>
  </w:footnote>
  <w:footnote w:id="2321">
    <w:p>
      <w:pPr>
        <w:pStyle w:val="Funote"/>
        <w:rPr/>
      </w:pPr>
      <w:r>
        <w:rPr/>
        <w:footnoteRef/>
        <w:tab/>
        <w:t>Hier temporale Auflösung des attributiven Ptz. Alternativ modal „indem er … darbrachte“, möglicherweise auch kausal „weil/da“. Neben der gleichzeitigen Übersetzung kann das Ptz. Aor. auch vorzeitig übersetzt werden.</w:t>
      </w:r>
    </w:p>
  </w:footnote>
  <w:footnote w:id="2322">
    <w:p>
      <w:pPr>
        <w:pStyle w:val="Funote"/>
        <w:rPr/>
      </w:pPr>
      <w:r>
        <w:rPr/>
        <w:footnoteRef/>
        <w:tab/>
        <w:t>I.e. Abrahams.</w:t>
      </w:r>
    </w:p>
  </w:footnote>
  <w:footnote w:id="2323">
    <w:p>
      <w:pPr>
        <w:pStyle w:val="Funote"/>
        <w:rPr/>
      </w:pPr>
      <w:r>
        <w:rPr/>
        <w:footnoteRef/>
        <w:tab/>
        <w:t>Imperfekt; mit durativer/iterativer Bedeutung; hier vielleicht als schrittweise Prozess zu deuten.</w:t>
      </w:r>
    </w:p>
  </w:footnote>
  <w:footnote w:id="2324">
    <w:p>
      <w:pPr>
        <w:pStyle w:val="Funote"/>
        <w:rPr/>
      </w:pPr>
      <w:r>
        <w:rPr/>
        <w:footnoteRef/>
        <w:tab/>
        <w:t>Oder dem Kontext nach „[seine]“.</w:t>
      </w:r>
    </w:p>
  </w:footnote>
  <w:footnote w:id="2325">
    <w:p>
      <w:pPr>
        <w:pStyle w:val="Funote"/>
        <w:rPr/>
      </w:pPr>
      <w:r>
        <w:rPr/>
        <w:footnoteRef/>
        <w:tab/>
        <w:t>Attr. Ptz.</w:t>
      </w:r>
    </w:p>
  </w:footnote>
  <w:footnote w:id="2326">
    <w:p>
      <w:pPr>
        <w:pStyle w:val="Funote"/>
        <w:rPr/>
      </w:pPr>
      <w:r>
        <w:rPr/>
        <w:footnoteRef/>
        <w:tab/>
        <w:t>So B/A.</w:t>
      </w:r>
    </w:p>
  </w:footnote>
  <w:footnote w:id="2327">
    <w:p>
      <w:pPr>
        <w:pStyle w:val="Funote"/>
        <w:rPr/>
      </w:pPr>
      <w:r>
        <w:rPr/>
        <w:footnoteRef/>
        <w:tab/>
        <w:t>So B/A.</w:t>
      </w:r>
    </w:p>
  </w:footnote>
  <w:footnote w:id="2328">
    <w:p>
      <w:pPr>
        <w:pStyle w:val="Funote"/>
        <w:rPr/>
      </w:pPr>
      <w:r>
        <w:rPr/>
        <w:footnoteRef/>
        <w:tab/>
        <w:t>Dat. modi.</w:t>
      </w:r>
    </w:p>
  </w:footnote>
  <w:footnote w:id="2329">
    <w:p>
      <w:pPr>
        <w:pStyle w:val="Funote"/>
        <w:rPr/>
      </w:pPr>
      <w:r>
        <w:rPr/>
        <w:footnoteRef/>
        <w:tab/>
        <w:t>Hier temporale Auflösung zweier Ptc. coni. Alternativ auch modal: „indem“ oder kausal: „weil“</w:t>
      </w:r>
    </w:p>
  </w:footnote>
  <w:footnote w:id="2330">
    <w:p>
      <w:pPr>
        <w:pStyle w:val="Funote"/>
        <w:rPr/>
      </w:pPr>
      <w:r>
        <w:rPr/>
        <w:footnoteRef/>
        <w:tab/>
        <w:t>[Status: Zuverlässig]</w:t>
      </w:r>
    </w:p>
  </w:footnote>
  <w:footnote w:id="2331">
    <w:p>
      <w:pPr>
        <w:pStyle w:val="Funote"/>
        <w:rPr/>
      </w:pPr>
      <w:r>
        <w:rPr/>
        <w:footnoteRef/>
        <w:tab/>
        <w:t>In der deutschen Übersetzung ist es schwierig, die beiden Teile des Imperativs, „nicht viele [von euch]“ („[von euch]“ impliziert durch die Form des Verbs) und „werdet Lehrer“ zusammenzubringen. Die eheste wörtliche Entsprechung wäre „Nicht viele [von euch] werdet Lehrer[!]“. Als die nächstliegende Auflösung erschien die Umwandlung in einen indirekten Befehl.</w:t>
      </w:r>
    </w:p>
  </w:footnote>
  <w:footnote w:id="2332">
    <w:p>
      <w:pPr>
        <w:pStyle w:val="Funote"/>
        <w:rPr/>
      </w:pPr>
      <w:r>
        <w:rPr/>
        <w:footnoteRef/>
        <w:tab/>
        <w:t>Kausal aufgelöstes attributives Ptz. Hier bieten sich wohl keine alternativen Sinnrichtungen zur Auflösung an.</w:t>
      </w:r>
    </w:p>
  </w:footnote>
  <w:footnote w:id="2333">
    <w:p>
      <w:pPr>
        <w:pStyle w:val="Funote"/>
        <w:rPr/>
      </w:pPr>
      <w:r>
        <w:rPr/>
        <w:footnoteRef/>
        <w:tab/>
        <w:t>Im geistlichen Sinn auch als „fehlen“, „sündigen“. Vorgeschlagene Bedeutung hier: „wir alle begehen viele Sünden“ (B/A, NSS).</w:t>
      </w:r>
    </w:p>
  </w:footnote>
  <w:footnote w:id="2334">
    <w:p>
      <w:pPr>
        <w:pStyle w:val="Funote"/>
        <w:rPr/>
      </w:pPr>
      <w:r>
        <w:rPr/>
        <w:footnoteRef/>
        <w:tab/>
        <w:t>Wörtlich: „im Wort“</w:t>
      </w:r>
    </w:p>
  </w:footnote>
  <w:footnote w:id="2335">
    <w:p>
      <w:pPr>
        <w:pStyle w:val="Funote"/>
        <w:rPr/>
      </w:pPr>
      <w:r>
        <w:rPr/>
        <w:footnoteRef/>
        <w:tab/>
        <w:t>Generisches Maskulinum.</w:t>
      </w:r>
    </w:p>
  </w:footnote>
  <w:footnote w:id="2336">
    <w:p>
      <w:pPr>
        <w:pStyle w:val="Funote"/>
        <w:rPr/>
      </w:pPr>
      <w:r>
        <w:rPr/>
        <w:footnoteRef/>
        <w:tab/>
        <w:t>Indefiniter Konditionalsatz.</w:t>
      </w:r>
    </w:p>
  </w:footnote>
  <w:footnote w:id="2337">
    <w:p>
      <w:pPr>
        <w:pStyle w:val="Funote"/>
        <w:rPr/>
      </w:pPr>
      <w:r>
        <w:rPr/>
        <w:footnoteRef/>
        <w:tab/>
        <w:t>Ursprünglich ein Genitiv.</w:t>
      </w:r>
    </w:p>
  </w:footnote>
  <w:footnote w:id="2338">
    <w:p>
      <w:pPr>
        <w:pStyle w:val="Funote"/>
        <w:rPr/>
      </w:pPr>
      <w:r>
        <w:rPr/>
        <w:footnoteRef/>
        <w:tab/>
        <w:t>Ursprünglich im Plural.</w:t>
      </w:r>
    </w:p>
  </w:footnote>
  <w:footnote w:id="2339">
    <w:p>
      <w:pPr>
        <w:pStyle w:val="Funote"/>
        <w:rPr/>
      </w:pPr>
      <w:r>
        <w:rPr/>
        <w:footnoteRef/>
        <w:tab/>
        <w:t>Auflösung eines „</w:t>
      </w:r>
      <w:r>
        <w:rPr>
          <w:lang w:val="el-GR"/>
        </w:rPr>
        <w:t>εἰς τὸ</w:t>
      </w:r>
      <w:r>
        <w:rPr/>
        <w:t>“ + Inf.</w:t>
      </w:r>
    </w:p>
  </w:footnote>
  <w:footnote w:id="2340">
    <w:p>
      <w:pPr>
        <w:pStyle w:val="Funote"/>
        <w:rPr/>
      </w:pPr>
      <w:r>
        <w:rPr/>
        <w:footnoteRef/>
        <w:tab/>
        <w:t xml:space="preserve">Konsekutives </w:t>
      </w:r>
      <w:r>
        <w:rPr>
          <w:lang w:val="el-GR"/>
        </w:rPr>
        <w:t>καί</w:t>
      </w:r>
      <w:r>
        <w:rPr/>
        <w:t>.</w:t>
      </w:r>
    </w:p>
  </w:footnote>
  <w:footnote w:id="2341">
    <w:p>
      <w:pPr>
        <w:pStyle w:val="Funote"/>
        <w:rPr/>
      </w:pPr>
      <w:r>
        <w:rPr/>
        <w:footnoteRef/>
        <w:tab/>
        <w:t>Indefiniter Konditionalsatz.</w:t>
      </w:r>
    </w:p>
  </w:footnote>
  <w:footnote w:id="2342">
    <w:p>
      <w:pPr>
        <w:pStyle w:val="Funote"/>
        <w:rPr/>
      </w:pPr>
      <w:r>
        <w:rPr/>
        <w:footnoteRef/>
        <w:tab/>
        <w:t>Im Urtext zwei Ptc. coni., hier konzessiv aufgelöst.</w:t>
      </w:r>
    </w:p>
  </w:footnote>
  <w:footnote w:id="2343">
    <w:p>
      <w:pPr>
        <w:pStyle w:val="Funote"/>
        <w:rPr/>
      </w:pPr>
      <w:r>
        <w:rPr/>
        <w:footnoteRef/>
        <w:tab/>
        <w:t>Wörtlich „von [dem] kleinsten“. Muss hier elativisch verstanden werden: „sehr klein“, „winzig“</w:t>
      </w:r>
    </w:p>
  </w:footnote>
  <w:footnote w:id="2344">
    <w:p>
      <w:pPr>
        <w:pStyle w:val="Funote"/>
        <w:rPr/>
      </w:pPr>
      <w:r>
        <w:rPr/>
        <w:footnoteRef/>
        <w:tab/>
        <w:t>Eine gute kommunikative Übersetzung könnte „Belieben“ sein.</w:t>
      </w:r>
    </w:p>
  </w:footnote>
  <w:footnote w:id="2345">
    <w:p>
      <w:pPr>
        <w:pStyle w:val="Funote"/>
        <w:rPr/>
      </w:pPr>
      <w:r>
        <w:rPr/>
        <w:footnoteRef/>
        <w:tab/>
        <w:t>Gen. qualitatis. Kommunikativ kann „Welt voller Unrecht“, „von Unrecht beherrschte Welt“, etc. übersetzt werden.</w:t>
      </w:r>
    </w:p>
  </w:footnote>
  <w:footnote w:id="2346">
    <w:p>
      <w:pPr>
        <w:pStyle w:val="Funote"/>
        <w:rPr/>
      </w:pPr>
      <w:r>
        <w:rPr/>
        <w:footnoteRef/>
        <w:tab/>
        <w:t>Wörtlich „sich hinstellen“ (cf. 4,4). Die Form kann sowohl medial (Blomberg/Kamell), als auch passivisch (Mußner, Johnson, NSS) sein. Die mediale Deutung betont die Rolle der Zunge, die passivische diejenige Gottes oder ähnlicher Größen. Weil letztere Lösung aber Fragen offen ließe, entscheidet sich Blomberg für eine mediale Deutung. Johnson präferiert im Blick auf 4:4 die passivische Lösung. Meine Übersetzung (nach einem Vorschlag im NSS) lässt das Problem ein Stück weit offen, weil sie sich auf das Ergebnis konzentriert („dastehen“ kann das Resultat des Hinstellens oder des sich Hinstellens sein). Alternativ zu „dastehen“ kann auch übersetzt werden: „sich erweisen als“ (NSS), „sich darstellen“ (Dibelius), „sich machen/ernennen zu“ (Blomberg/Kamell, Johnson, B/A). Der überlieferte Text ist an dieser Stelle vermutlich fehlerhaft (Dibelius, B/A).</w:t>
      </w:r>
    </w:p>
  </w:footnote>
  <w:footnote w:id="2347">
    <w:p>
      <w:pPr>
        <w:pStyle w:val="Funote"/>
        <w:rPr/>
      </w:pPr>
      <w:r>
        <w:rPr/>
        <w:footnoteRef/>
        <w:tab/>
        <w:t>Oder „Auch die Zunge ist ein Feuer, eine Welt des Unrechts unter unsere Glieder gesetzt.“ (Mußner, Martin (zitiert bei Blomberg/Kamell).) Dazu wäre alternative Zeichensetzung vonnöten: Statt dem Semikolon (hochgesetzter Punkt) wie im NTG wäre dann hinter „</w:t>
      </w:r>
      <w:r>
        <w:rPr>
          <w:lang w:val="el-GR"/>
        </w:rPr>
        <w:t>πῦρ</w:t>
      </w:r>
      <w:r>
        <w:rPr/>
        <w:t>“ ein Komma zu setzen. Dadurch könnte der zweite Satz des Verses als Apposition verstanden werden: „Auch die Zunge ist ein Feuer, eine Welt des Unrechts unter unsere Glieder gesetzt.“ Diese Variante sei u.a. von der TNIV und in früheren Edition des UBS-Testaments gewählt worden (Blomberg/Kamell).</w:t>
      </w:r>
    </w:p>
  </w:footnote>
  <w:footnote w:id="2348">
    <w:p>
      <w:pPr>
        <w:pStyle w:val="Funote"/>
        <w:rPr/>
      </w:pPr>
      <w:r>
        <w:rPr/>
        <w:footnoteRef/>
        <w:tab/>
        <w:t>Je nach Akzentsetzung entweder „Rad“ oder „Bahn/Kurs“; bezeichnet allgemein etwas Rundes (Johnson; dort auf Englisch „course“; von mir entsprechend übersetzt).</w:t>
      </w:r>
    </w:p>
  </w:footnote>
  <w:footnote w:id="2349">
    <w:p>
      <w:pPr>
        <w:pStyle w:val="Funote"/>
        <w:rPr/>
      </w:pPr>
      <w:r>
        <w:rPr/>
        <w:footnoteRef/>
        <w:tab/>
        <w:t>NSS: „Rad des Werdens/Daseins, hier wohl sprichwörtl. für Umkreis des Lebens (Mußner, Jak, S. 164f), Lebenslauf“. Aus „dem Sprachgebrauch der orphischen Mysterien“ (B/A) (cf. Dibelius, Kittel) → „Rad des Werdens“, „Lebenslauf“; klares Zeugnis für griechischen Einfluss (Johnson). Blomberg merkt an, dass der Begriff zur Abfassungszeit wohl schon abgegriffen war und hier nicht zu technisch gesehen werden sollte (seine Übersetzung: „Lauf des Daseins/der Existenz“). Menge: „das (rollende) Rad des Seins (d.h. den ganzen Lauf des Lebens = die ganze Lebensbahn)“, LUT „die ganze Welt“, ELB „Lauf des Daseins“, SLT „Umkreis des Lebens“, NGÜ „die ganze menschliche Existenz“, GNB „unser Leben von der Geburt bis zum Tod“.</w:t>
      </w:r>
    </w:p>
  </w:footnote>
  <w:footnote w:id="2350">
    <w:p>
      <w:pPr>
        <w:pStyle w:val="Funote"/>
        <w:rPr/>
      </w:pPr>
      <w:r>
        <w:rPr/>
        <w:footnoteRef/>
        <w:tab/>
        <w:t>Auflösung zweier attributiver Partizipien als Relativsatz.</w:t>
      </w:r>
    </w:p>
  </w:footnote>
  <w:footnote w:id="2351">
    <w:p>
      <w:pPr>
        <w:pStyle w:val="Funote"/>
        <w:rPr/>
      </w:pPr>
      <w:r>
        <w:rPr/>
        <w:footnoteRef/>
        <w:tab/>
        <w:t>Oder „Gehenna“. Hier werden die sehr semitischen Wurzeln des Schreibens offensichtlich.</w:t>
      </w:r>
    </w:p>
  </w:footnote>
  <w:footnote w:id="2352">
    <w:p>
      <w:pPr>
        <w:pStyle w:val="Funote"/>
        <w:rPr/>
      </w:pPr>
      <w:r>
        <w:rPr/>
        <w:footnoteRef/>
        <w:tab/>
        <w:t>Das dritte attr. Ptz. Präs., hier im Pass., scheint semantisch von den übrigen getrennt zu sein. Alternativ: „sie beschmutzt ... und ... setzt ... in Brand und wird...“. Wörtlich: „die ... beschmutzende ... und ... in Brand setzende ... und ... in Brand gesetzt werdende.“</w:t>
      </w:r>
    </w:p>
  </w:footnote>
  <w:footnote w:id="2353">
    <w:p>
      <w:pPr>
        <w:pStyle w:val="Funote"/>
        <w:rPr/>
      </w:pPr>
      <w:r>
        <w:rPr/>
        <w:footnoteRef/>
        <w:tab/>
        <w:t>Dieses unbestimmte „</w:t>
      </w:r>
      <w:r>
        <w:rPr>
          <w:lang w:val="el-GR"/>
        </w:rPr>
        <w:t>πασα</w:t>
      </w:r>
      <w:r>
        <w:rPr/>
        <w:t>“ kann auch allgemeiner als „alle möglichen...“ übersetzt werden.</w:t>
      </w:r>
    </w:p>
  </w:footnote>
  <w:footnote w:id="2354">
    <w:p>
      <w:pPr>
        <w:pStyle w:val="Funote"/>
        <w:rPr/>
      </w:pPr>
      <w:r>
        <w:rPr/>
        <w:footnoteRef/>
        <w:tab/>
        <w:t>Eigentlich nur „Tiere“; im Kontrast zu den anderen Tierarten im Kontext muss hier jedoch genauer übersetzt werden. Möglich: „Vierfüßler“ (B/A), „Säugetiere“, „Landtiere“, „vierfüßige Tiere“ (NSS).</w:t>
      </w:r>
    </w:p>
  </w:footnote>
  <w:footnote w:id="2355">
    <w:p>
      <w:pPr>
        <w:pStyle w:val="Funote"/>
        <w:rPr/>
      </w:pPr>
      <w:r>
        <w:rPr/>
        <w:footnoteRef/>
        <w:tab/>
        <w:t>Dat. auctoris.</w:t>
      </w:r>
    </w:p>
  </w:footnote>
  <w:footnote w:id="2356">
    <w:p>
      <w:pPr>
        <w:pStyle w:val="Funote"/>
        <w:rPr/>
      </w:pPr>
      <w:r>
        <w:rPr/>
        <w:footnoteRef/>
        <w:tab/>
        <w:t>Hier steht im Urtext ein Pf., das „worden“ tritt also hinter das Resultat des „ist“ zurück.</w:t>
      </w:r>
    </w:p>
  </w:footnote>
  <w:footnote w:id="2357">
    <w:p>
      <w:pPr>
        <w:pStyle w:val="Funote"/>
        <w:rPr/>
      </w:pPr>
      <w:r>
        <w:rPr/>
        <w:footnoteRef/>
        <w:tab/>
        <w:t>Gen. partitivus. Wörtlich: „keiner/niemand [der] Menschen“</w:t>
      </w:r>
    </w:p>
  </w:footnote>
  <w:footnote w:id="2358">
    <w:p>
      <w:pPr>
        <w:pStyle w:val="Funote"/>
        <w:rPr/>
      </w:pPr>
      <w:r>
        <w:rPr/>
        <w:footnoteRef/>
        <w:tab/>
        <w:t>Alternativ: „[sie ist] ein“</w:t>
      </w:r>
    </w:p>
  </w:footnote>
  <w:footnote w:id="2359">
    <w:p>
      <w:pPr>
        <w:pStyle w:val="Funote"/>
        <w:rPr/>
      </w:pPr>
      <w:r>
        <w:rPr/>
        <w:footnoteRef/>
        <w:tab/>
        <w:t>B/A</w:t>
      </w:r>
    </w:p>
  </w:footnote>
  <w:footnote w:id="2360">
    <w:p>
      <w:pPr>
        <w:pStyle w:val="Funote"/>
        <w:rPr/>
      </w:pPr>
      <w:r>
        <w:rPr/>
        <w:footnoteRef/>
        <w:tab/>
        <w:t>Blomberg/Kamell</w:t>
      </w:r>
    </w:p>
  </w:footnote>
  <w:footnote w:id="2361">
    <w:p>
      <w:pPr>
        <w:pStyle w:val="Funote"/>
        <w:rPr/>
      </w:pPr>
      <w:r>
        <w:rPr/>
        <w:footnoteRef/>
        <w:tab/>
        <w:t>Cf. 1,8</w:t>
      </w:r>
    </w:p>
  </w:footnote>
  <w:footnote w:id="2362">
    <w:p>
      <w:pPr>
        <w:pStyle w:val="Funote"/>
        <w:rPr/>
      </w:pPr>
      <w:r>
        <w:rPr/>
        <w:footnoteRef/>
        <w:tab/>
        <w:t>Instrumental (NSS). Wörtlich: „Durch sie“. Analog später im Vers.</w:t>
      </w:r>
    </w:p>
  </w:footnote>
  <w:footnote w:id="2363">
    <w:p>
      <w:pPr>
        <w:pStyle w:val="Funote"/>
        <w:rPr/>
      </w:pPr>
      <w:r>
        <w:rPr/>
        <w:footnoteRef/>
        <w:tab/>
        <w:t>Attr. Ptz. Pf. Pass. Das griechische Pf. wurde hier, wie es seiner Bedeutung am ehesten entspricht, als Zustandsperfekt übersetzt.</w:t>
      </w:r>
    </w:p>
  </w:footnote>
  <w:footnote w:id="2364">
    <w:p>
      <w:pPr>
        <w:pStyle w:val="Funote"/>
        <w:rPr/>
      </w:pPr>
      <w:r>
        <w:rPr/>
        <w:footnoteRef/>
        <w:tab/>
        <w:t>Frei zitiert nach 1 Mose 1,26f.</w:t>
      </w:r>
    </w:p>
  </w:footnote>
  <w:footnote w:id="2365">
    <w:p>
      <w:pPr>
        <w:pStyle w:val="Funote"/>
        <w:rPr/>
      </w:pPr>
      <w:r>
        <w:rPr/>
        <w:footnoteRef/>
        <w:tab/>
        <w:t>Auflösung eines AcI.</w:t>
      </w:r>
    </w:p>
  </w:footnote>
  <w:footnote w:id="2366">
    <w:p>
      <w:pPr>
        <w:pStyle w:val="Funote"/>
        <w:rPr/>
      </w:pPr>
      <w:r>
        <w:rPr/>
        <w:footnoteRef/>
        <w:tab/>
        <w:t>Wörtlich: „das Süße und das Bittere“</w:t>
      </w:r>
    </w:p>
  </w:footnote>
  <w:footnote w:id="2367">
    <w:p>
      <w:pPr>
        <w:pStyle w:val="Funote"/>
        <w:rPr/>
      </w:pPr>
      <w:r>
        <w:rPr/>
        <w:footnoteRef/>
        <w:tab/>
        <w:t>Wörtlich: „das Salzige“</w:t>
      </w:r>
    </w:p>
  </w:footnote>
  <w:footnote w:id="2368">
    <w:p>
      <w:pPr>
        <w:pStyle w:val="Funote"/>
        <w:rPr/>
      </w:pPr>
      <w:r>
        <w:rPr/>
        <w:footnoteRef/>
        <w:tab/>
        <w:t>Wörtlich: „süßes Wasser“</w:t>
      </w:r>
    </w:p>
  </w:footnote>
  <w:footnote w:id="2369">
    <w:p>
      <w:pPr>
        <w:pStyle w:val="Funote"/>
        <w:rPr/>
      </w:pPr>
      <w:r>
        <w:rPr/>
        <w:footnoteRef/>
        <w:tab/>
        <w:t>Die Bedeutung des Wortes ist die von anwendbarer Kundigkeit (Blomberg/Kamell). Kommunikativ vielleicht „erfahren“.</w:t>
      </w:r>
    </w:p>
  </w:footnote>
  <w:footnote w:id="2370">
    <w:p>
      <w:pPr>
        <w:pStyle w:val="Funote"/>
        <w:rPr/>
      </w:pPr>
      <w:r>
        <w:rPr/>
        <w:footnoteRef/>
        <w:tab/>
        <w:t>Wörtlich: „aus“</w:t>
      </w:r>
    </w:p>
  </w:footnote>
  <w:footnote w:id="2371">
    <w:p>
      <w:pPr>
        <w:pStyle w:val="Funote"/>
        <w:rPr/>
      </w:pPr>
      <w:r>
        <w:rPr/>
        <w:footnoteRef/>
        <w:tab/>
        <w:t>ie eigentliche Bedeutung ist wohl die eines „sanften Charakters“ im Gegensatz einem aufbrausenden Charakter (cf. Louw/Nida).</w:t>
      </w:r>
    </w:p>
  </w:footnote>
  <w:footnote w:id="2372">
    <w:p>
      <w:pPr>
        <w:pStyle w:val="Funote"/>
        <w:rPr/>
      </w:pPr>
      <w:r>
        <w:rPr/>
        <w:footnoteRef/>
        <w:tab/>
        <w:t>Wörtlich „Bescheidenheit [der] Weisheit“; Gen. pertinentiae, also „Bescheidenheit, die von Weisheit kommt“.</w:t>
      </w:r>
    </w:p>
  </w:footnote>
  <w:footnote w:id="2373">
    <w:p>
      <w:pPr>
        <w:pStyle w:val="Funote"/>
        <w:rPr/>
      </w:pPr>
      <w:r>
        <w:rPr/>
        <w:footnoteRef/>
        <w:tab/>
        <w:t>Blomberg/Kamell.</w:t>
      </w:r>
    </w:p>
  </w:footnote>
  <w:footnote w:id="2374">
    <w:p>
      <w:pPr>
        <w:pStyle w:val="Funote"/>
        <w:rPr/>
      </w:pPr>
      <w:r>
        <w:rPr/>
        <w:footnoteRef/>
        <w:tab/>
        <w:t>Da der deutsche Imperativ in der 3. Person nicht vorkommt, muss mit „soll“ oder „muss“ umschrieben werden.</w:t>
      </w:r>
    </w:p>
  </w:footnote>
  <w:footnote w:id="2375">
    <w:p>
      <w:pPr>
        <w:pStyle w:val="Funote"/>
        <w:rPr/>
      </w:pPr>
      <w:r>
        <w:rPr/>
        <w:footnoteRef/>
        <w:tab/>
        <w:t>Dies ist ein Imperativ Präsens. Im Gegensatz zum unmarkierten Imp. Aor. kann dieser auch die Bedeutung „hört auf, … zu tun“ haben. Blomberg merkt hier an, dass diese Bedeutungsnuance nicht unbedingt vorkommen muss.</w:t>
      </w:r>
    </w:p>
  </w:footnote>
  <w:footnote w:id="2376">
    <w:p>
      <w:pPr>
        <w:pStyle w:val="Funote"/>
        <w:rPr/>
      </w:pPr>
      <w:r>
        <w:rPr/>
        <w:footnoteRef/>
        <w:tab/>
        <w:t>Indefiniter Konditionalsatz.</w:t>
      </w:r>
    </w:p>
  </w:footnote>
  <w:footnote w:id="2377">
    <w:p>
      <w:pPr>
        <w:pStyle w:val="Funote"/>
        <w:rPr/>
      </w:pPr>
      <w:r>
        <w:rPr/>
        <w:footnoteRef/>
        <w:tab/>
        <w:t>Attributive Auflösung. Wörtlich „ist … herabkommend“. Alternativ periphrastisch: „Diese Weisheit kommt nicht von oben herab...“</w:t>
      </w:r>
    </w:p>
  </w:footnote>
  <w:footnote w:id="2378">
    <w:p>
      <w:pPr>
        <w:pStyle w:val="Funote"/>
        <w:rPr/>
      </w:pPr>
      <w:r>
        <w:rPr/>
        <w:footnoteRef/>
        <w:tab/>
        <w:t>So Dibelius u.a.; bei ihm Herleitung aus Parallelen zur gnostischen Frömmigkeit. Wörtlich „seelisch“. Im NT wird der Begriff aber nur für das Diesseitige im Gegensatz zum Geistlichen verwendet (B/A, Dibelius, Johnson). Oder „irdisch gesinnt“ (NSS), „sinnlich“ (Menge, ELB; aber missverständlich, da es hier eben nur um den Kontrast zum Geistlichen geht), „niedrig“ (LUT), „eigennützig“ (EU). Kommunikativ vielleicht „weltlich/diesseitig ausgerichtet“.</w:t>
      </w:r>
    </w:p>
  </w:footnote>
  <w:footnote w:id="2379">
    <w:p>
      <w:pPr>
        <w:pStyle w:val="Funote"/>
        <w:rPr/>
      </w:pPr>
      <w:r>
        <w:rPr/>
        <w:footnoteRef/>
        <w:tab/>
        <w:t>Nach der Bedeutung dieses unbestimmten „</w:t>
      </w:r>
      <w:r>
        <w:rPr>
          <w:lang w:val="el-GR"/>
        </w:rPr>
        <w:t>πάν</w:t>
      </w:r>
      <w:r>
        <w:rPr/>
        <w:t>“ eingefügt (Johnson).</w:t>
      </w:r>
    </w:p>
  </w:footnote>
  <w:footnote w:id="2380">
    <w:p>
      <w:pPr>
        <w:pStyle w:val="Funote"/>
        <w:rPr/>
      </w:pPr>
      <w:r>
        <w:rPr/>
        <w:footnoteRef/>
        <w:tab/>
        <w:t>Der Begriff drückt Niedrigkeit, Gemeinheit, Gewöhnlichkeit in einem sehr negativen Sinn aus (Johnson).</w:t>
      </w:r>
    </w:p>
  </w:footnote>
  <w:footnote w:id="2381">
    <w:p>
      <w:pPr>
        <w:pStyle w:val="Funote"/>
        <w:rPr/>
      </w:pPr>
      <w:r>
        <w:rPr/>
        <w:footnoteRef/>
        <w:tab/>
        <w:t>Johnson</w:t>
      </w:r>
    </w:p>
  </w:footnote>
  <w:footnote w:id="2382">
    <w:p>
      <w:pPr>
        <w:pStyle w:val="Funote"/>
        <w:rPr/>
      </w:pPr>
      <w:r>
        <w:rPr/>
        <w:footnoteRef/>
        <w:tab/>
        <w:t>LUT u.a. (SLT, NGÜ): „lässt sich etwas sagen“</w:t>
      </w:r>
    </w:p>
  </w:footnote>
  <w:footnote w:id="2383">
    <w:p>
      <w:pPr>
        <w:pStyle w:val="Funote"/>
        <w:rPr/>
      </w:pPr>
      <w:r>
        <w:rPr/>
        <w:footnoteRef/>
        <w:tab/>
        <w:t>Hier als koordinierender Textkonnektor (Blomberg/Kamell). Alternativ adversativ. Könnte auch einen leichten Kontrast als Aufruf zum Handeln darstellen (Johnson).</w:t>
      </w:r>
    </w:p>
  </w:footnote>
  <w:footnote w:id="2384">
    <w:p>
      <w:pPr>
        <w:pStyle w:val="Funote"/>
        <w:rPr/>
      </w:pPr>
      <w:r>
        <w:rPr/>
        <w:footnoteRef/>
        <w:tab/>
        <w:t>So Blomberg/Kamell. Wörtlich „Frucht“.</w:t>
      </w:r>
    </w:p>
  </w:footnote>
  <w:footnote w:id="2385">
    <w:p>
      <w:pPr>
        <w:pStyle w:val="Funote"/>
        <w:rPr/>
      </w:pPr>
      <w:r>
        <w:rPr/>
        <w:footnoteRef/>
        <w:tab/>
        <w:t>Wohl ein Gen. subiectivus: die Frucht ist Gerechtigkeit.</w:t>
      </w:r>
    </w:p>
  </w:footnote>
  <w:footnote w:id="2386">
    <w:p>
      <w:pPr>
        <w:pStyle w:val="Funote"/>
        <w:rPr/>
      </w:pPr>
      <w:r>
        <w:rPr/>
        <w:footnoteRef/>
        <w:tab/>
        <w:t>Hier als Dat. commodi verstanden (Dibelius, Johnson, Blomberg/Kamell). Alternativ als Dat. auctoris: „von jenen, die...“. Dann käme aber der Frieden doppelt vor (Dibelius).</w:t>
      </w:r>
    </w:p>
  </w:footnote>
  <w:footnote w:id="2387">
    <w:p>
      <w:pPr>
        <w:pStyle w:val="Funote"/>
        <w:rPr/>
      </w:pPr>
      <w:r>
        <w:rPr/>
        <w:footnoteRef/>
        <w:tab/>
        <w:t>Attributives/substantiviertes Ptz.</w:t>
      </w:r>
    </w:p>
  </w:footnote>
  <w:footnote w:id="2388">
    <w:p>
      <w:pPr>
        <w:pStyle w:val="Funote"/>
        <w:rPr/>
      </w:pPr>
      <w:r>
        <w:rPr/>
        <w:footnoteRef/>
        <w:tab/>
        <w:t>[Status: Zuverlässig]</w:t>
      </w:r>
    </w:p>
  </w:footnote>
  <w:footnote w:id="2389">
    <w:p>
      <w:pPr>
        <w:pStyle w:val="Funote"/>
        <w:rPr/>
      </w:pPr>
      <w:r>
        <w:rPr/>
        <w:footnoteRef/>
        <w:tab/>
        <w:t>Wörtlich: „die Streite“</w:t>
      </w:r>
    </w:p>
  </w:footnote>
  <w:footnote w:id="2390">
    <w:p>
      <w:pPr>
        <w:pStyle w:val="Funote"/>
        <w:rPr/>
      </w:pPr>
      <w:r>
        <w:rPr/>
        <w:footnoteRef/>
        <w:tab/>
        <w:t>Wörtlich: „[Kommen sie] nicht daher: aus euren...“. Alternativ: „[Kommen sie] nicht daher, dass eure Gelüste...“</w:t>
      </w:r>
    </w:p>
  </w:footnote>
  <w:footnote w:id="2391">
    <w:p>
      <w:pPr>
        <w:pStyle w:val="Funote"/>
        <w:rPr/>
      </w:pPr>
      <w:r>
        <w:rPr/>
        <w:footnoteRef/>
        <w:tab/>
        <w:t>Der deutsche Relativsatz stellt die Auflösung eines attributiven Ptz. Präsens dar. Wegen der möglichen iterativen/durativen Aspektbedeutung des griechischen Ptz. Präsens wurde „[ständig]“ eingefügt. Möglich wäre etwa auch „unaufhörlich“, „unausgesetzt“, etc.</w:t>
      </w:r>
    </w:p>
  </w:footnote>
  <w:footnote w:id="2392">
    <w:p>
      <w:pPr>
        <w:pStyle w:val="Funote"/>
        <w:rPr/>
      </w:pPr>
      <w:r>
        <w:rPr/>
        <w:footnoteRef/>
        <w:tab/>
        <w:t>Hier (wie weiter unten im Vers) wurde das „doch“ eingefügt, um den adversativen Charakter der Konjunktion zu unterstreichen.</w:t>
      </w:r>
    </w:p>
  </w:footnote>
  <w:footnote w:id="2393">
    <w:p>
      <w:pPr>
        <w:pStyle w:val="Funote"/>
        <w:rPr/>
      </w:pPr>
      <w:r>
        <w:rPr/>
        <w:footnoteRef/>
        <w:tab/>
        <w:t>Dieses Wort will sich nicht so recht in den Kontext einfügen, schon gar nicht in ein Paar mit „ihr seid eifersüchtig“. Eine Vergeistlichung oder Abschwächung des Begriffs würde Schwierigkeiten aufwerfen. Blomberg schlägt darum eine alternative Zeichensetzung vor, die den Vers nach „</w:t>
      </w:r>
      <w:r>
        <w:rPr>
          <w:lang w:val="el-GR"/>
        </w:rPr>
        <w:t>φονεύετε</w:t>
      </w:r>
      <w:r>
        <w:rPr/>
        <w:t>“ trennt. So käme man zu zwei Wortpaaren, die ein drittes zur Folge haben: „Ihr begeht und habt [doch] nicht, [also] mordet ihr“ Das Problem dieser Auslegung ist, dass sie 1. „</w:t>
      </w:r>
      <w:r>
        <w:rPr>
          <w:lang w:val="el-GR"/>
        </w:rPr>
        <w:t>φονεύετε</w:t>
      </w:r>
      <w:r>
        <w:rPr/>
        <w:t>“ immer noch nicht erklären kann (Dibelius), 2. dass der konsekutive Zusammenhang schwer im Text zu finden wäre. Dibelius u.a. vermuten eine Textverderbnis und lesen „</w:t>
      </w:r>
      <w:r>
        <w:rPr>
          <w:lang w:val="el-GR"/>
        </w:rPr>
        <w:t>φθονεῖτε</w:t>
      </w:r>
      <w:r>
        <w:rPr/>
        <w:t>“ („ihr beneidet“), einen semantischen Nachbarn von „</w:t>
      </w:r>
      <w:r>
        <w:rPr>
          <w:lang w:val="el-GR"/>
        </w:rPr>
        <w:t>ζηλοῦτε</w:t>
      </w:r>
      <w:r>
        <w:rPr/>
        <w:t>“ („ihr begehrt“). Johnson wendet sich dagegen und schließt sich Blomberg an. In unserer Übersetzung bleibt das Problem bewusst offen (cf. Mußner).</w:t>
      </w:r>
    </w:p>
  </w:footnote>
  <w:footnote w:id="2394">
    <w:p>
      <w:pPr>
        <w:pStyle w:val="Funote"/>
        <w:rPr/>
      </w:pPr>
      <w:r>
        <w:rPr/>
        <w:footnoteRef/>
        <w:tab/>
        <w:t>Wörtlich „nicht“. Bei allen Erwähnungen von „nicht“ in Vv. 2f. bleibt das Objekt im Text unerwähnt. Das macht beim Übersetzen manchmal das Einsetzen von „nichts“ erforderlich.</w:t>
      </w:r>
    </w:p>
  </w:footnote>
  <w:footnote w:id="2395">
    <w:p>
      <w:pPr>
        <w:pStyle w:val="Funote"/>
        <w:rPr/>
      </w:pPr>
      <w:r>
        <w:rPr/>
        <w:footnoteRef/>
        <w:tab/>
        <w:t>Das Wort steht im Medium; alternativ könnte es auch als „weil ihr selbst nicht bittet“ verstanden werden (Blomberg/Kamell). Dibelius ignoriert das Medium ganz, Mußner lässt offen. Selbiges gilt für 3b.</w:t>
      </w:r>
    </w:p>
  </w:footnote>
  <w:footnote w:id="2396">
    <w:p>
      <w:pPr>
        <w:pStyle w:val="Funote"/>
        <w:rPr/>
      </w:pPr>
      <w:r>
        <w:rPr/>
        <w:footnoteRef/>
        <w:tab/>
        <w:t>Alle Verben der 2. Ps. Pl. im Vers stehen im Präsens. Der Text deutet damit an, dass dies ein Vorgang ist, der unablässig bzw. immer wieder zu beobachten ist.</w:t>
      </w:r>
    </w:p>
  </w:footnote>
  <w:footnote w:id="2397">
    <w:p>
      <w:pPr>
        <w:pStyle w:val="Funote"/>
        <w:rPr/>
      </w:pPr>
      <w:r>
        <w:rPr/>
        <w:footnoteRef/>
        <w:tab/>
        <w:t>Wörtlich „nicht“. Vgl. dritte Fußnote in V. 2.</w:t>
      </w:r>
    </w:p>
  </w:footnote>
  <w:footnote w:id="2398">
    <w:p>
      <w:pPr>
        <w:pStyle w:val="Funote"/>
        <w:rPr/>
      </w:pPr>
      <w:r>
        <w:rPr/>
        <w:footnoteRef/>
        <w:tab/>
        <w:t>Wörtlich „böse“, „schlecht“ (Adverb). Im Deutschen muss umschrieben werden; der letzte Satzteil macht klar, dass das Adverb sich auf böse Hintergedanken bezieht. Denkbar auch „[mit] bösen [Hintergedanken]“ u.ä. oder schlicht „falsch“ (so Blomberg/Kamell).</w:t>
      </w:r>
    </w:p>
  </w:footnote>
  <w:footnote w:id="2399">
    <w:p>
      <w:pPr>
        <w:pStyle w:val="Funote"/>
        <w:rPr/>
      </w:pPr>
      <w:r>
        <w:rPr/>
        <w:footnoteRef/>
        <w:tab/>
        <w:t>Wörtlich „Ehebrecherinnen“. Es ist unklar, warum hier die weibliche Form gewählt wurde. In einem semitischen Schreiben wie Jak ist die wahrscheinlichste Erklärung, dass der Autor auf atl. Prophezeiungen anspielt, in denen Israel als Ehebrecherin bezeichnet wird. Alternativ könnte sich die feminine Form auch auf die Gemeinde als Braut Christi beziehen, die durch die Freundschaft mit der Welt Ehebruch begeht (nach Blomberg/Kamell cf. Dibelius, Johnson).</w:t>
      </w:r>
    </w:p>
  </w:footnote>
  <w:footnote w:id="2400">
    <w:p>
      <w:pPr>
        <w:pStyle w:val="Funote"/>
        <w:rPr/>
      </w:pPr>
      <w:r>
        <w:rPr/>
        <w:footnoteRef/>
        <w:tab/>
        <w:t>Wörtlich „stellt sich hin“ (cf. 3,6). Auch hier kann die Form sowohl medial, als auch passiv sein. Das Medium würde die Rolle des Menschen hervorheben, das Passiv die zwingende Konsequenz: Ein Freund der Welt muss dann zwangsläufig ein Feind Gottes sein. Beides erscheint plausibel; hier wurde die Auflösung als Medium gewählt, die wie in 3,6 etwas plausibler erscheint. Weitere Übersetzungsmöglichkeiten: „macht sich“ (B/A, Blomberg), „stellt sich auf“, „erweist sich“ (NSS), „wird“ (falls passiv; NSS).</w:t>
      </w:r>
    </w:p>
  </w:footnote>
  <w:footnote w:id="2401">
    <w:p>
      <w:pPr>
        <w:pStyle w:val="Funote"/>
        <w:rPr/>
      </w:pPr>
      <w:r>
        <w:rPr/>
        <w:footnoteRef/>
        <w:tab/>
        <w:t>Oder: „Wer immer also ... sein will, erweist...“</w:t>
      </w:r>
    </w:p>
  </w:footnote>
  <w:footnote w:id="2402">
    <w:p>
      <w:pPr>
        <w:pStyle w:val="Funote"/>
        <w:rPr/>
      </w:pPr>
      <w:r>
        <w:rPr/>
        <w:footnoteRef/>
        <w:tab/>
        <w:t>Wörtlich: „Zur Eifersucht“ = „eifersüchtig“ (nach NSS).</w:t>
      </w:r>
    </w:p>
  </w:footnote>
  <w:footnote w:id="2403">
    <w:p>
      <w:pPr>
        <w:pStyle w:val="Funote"/>
        <w:rPr/>
      </w:pPr>
      <w:r>
        <w:rPr/>
        <w:footnoteRef/>
        <w:tab/>
        <w:t>So die meisten Übersetzer. Alternativ: „Der Geist, den ..., verlangt eifersüchtig“ → „Der Geist ... hat ein eifersüchtiges Verlangen“. Diese Deutung wird von einer Minderheit vertreten (SLT, Luther 1912, NIV, NET, cf. NET Fußnote 4 zu 4,5). Oder: „Den [menschlichen] Geist verlangt es nach Eifersucht“ (nach Maier). Dies würde den Übergang zu V. 6 deutlich natürlicher machen.</w:t>
      </w:r>
    </w:p>
  </w:footnote>
  <w:footnote w:id="2404">
    <w:p>
      <w:pPr>
        <w:pStyle w:val="Funote"/>
        <w:rPr/>
      </w:pPr>
      <w:r>
        <w:rPr/>
        <w:footnoteRef/>
        <w:tab/>
        <w:t>Oder „dem er in uns eine Wohnung gab“. Der byzantinische Text bezeugt hier „wohnt“ (Ein Unterschied von wenigen Buchstaben). Weil der vorher erwähnte Geist sowohl Subjekt als auch Objekt sein kann, stünde dann „der in uns wohnt“ (NET Fußnote 3 zu 4,5).</w:t>
      </w:r>
    </w:p>
  </w:footnote>
  <w:footnote w:id="2405">
    <w:p>
      <w:pPr>
        <w:pStyle w:val="Funote"/>
        <w:rPr/>
      </w:pPr>
      <w:r>
        <w:rPr/>
        <w:footnoteRef/>
        <w:tab/>
        <w:t>Die Zuordnung des Zitats ist kaum möglich. Mußner vermutet ein Zitat aus einem unbekannten Apokryphon. Es gibt Anleihen an 2Mose 20,5, wo allerdings der Geist nicht erwähnt wird. Genauso umstritten ist die Länge des Zitats – wahlweise mit oder ohne 6a. Einige Kommentatoren glauben, dass 5a sich auf das bisher Gesagte bezieht, 5b also nicht das Zitat ist. Die Deutung hängt von der Interpretation von „Geist“ sowie, damit verbunden, dem Verständnis des Subjekts des Zitats ab. NA27 deutet – mit dem Fragezeichen am Ende von 6a – die längere Variante des Zitats an (Blomberg/Kamell). Andere vermuten einen ausschließlichen Bezug zum Schriftzitat in V. 6 (Dibelius, Johnson).</w:t>
      </w:r>
    </w:p>
  </w:footnote>
  <w:footnote w:id="2406">
    <w:p>
      <w:pPr>
        <w:pStyle w:val="Funote"/>
        <w:rPr/>
      </w:pPr>
      <w:r>
        <w:rPr/>
        <w:footnoteRef/>
        <w:tab/>
        <w:t>Dann im Gegensatz zu den »Hochmütigen«</w:t>
      </w:r>
    </w:p>
  </w:footnote>
  <w:footnote w:id="2407">
    <w:p>
      <w:pPr>
        <w:pStyle w:val="Funote"/>
        <w:rPr/>
      </w:pPr>
      <w:r>
        <w:rPr/>
        <w:footnoteRef/>
        <w:tab/>
        <w:t>Sprichwörter 3,34 nach der Septuaginta.</w:t>
      </w:r>
    </w:p>
  </w:footnote>
  <w:footnote w:id="2408">
    <w:p>
      <w:pPr>
        <w:pStyle w:val="Funote"/>
        <w:rPr/>
      </w:pPr>
      <w:r>
        <w:rPr/>
        <w:footnoteRef/>
        <w:tab/>
        <w:t>Hier medial, was sich aber nicht ohne Weiteres ins Deutsche übertragen lässt.</w:t>
      </w:r>
    </w:p>
  </w:footnote>
  <w:footnote w:id="2409">
    <w:p>
      <w:pPr>
        <w:pStyle w:val="Funote"/>
        <w:rPr/>
      </w:pPr>
      <w:r>
        <w:rPr/>
        <w:footnoteRef/>
        <w:tab/>
        <w:t>B/A: „tretet vor Gott“. Mit dieser Übersetzung würde aber die parallele Übersetzung des zweiten Satzteils nicht funktionieren.</w:t>
      </w:r>
    </w:p>
  </w:footnote>
  <w:footnote w:id="2410">
    <w:p>
      <w:pPr>
        <w:pStyle w:val="Funote"/>
        <w:rPr/>
      </w:pPr>
      <w:r>
        <w:rPr/>
        <w:footnoteRef/>
        <w:tab/>
        <w:t>Wörtlich: „Zweiseelige“ (cf. 1,8). Das heißt ungefähr: „mit geteiltem Herzen“ (SLT), „in seinem Innersten gespalten“ (NGÜ); einer, der in religiös-sittlicher Unentschiedenheit lebt (Mußner). Es ist das Gegenteil der Einheit Gottes, die im Brief betont wird und die nach Jak unser Ziel sein soll.</w:t>
      </w:r>
    </w:p>
  </w:footnote>
  <w:footnote w:id="2411">
    <w:p>
      <w:pPr>
        <w:pStyle w:val="Funote"/>
        <w:rPr/>
      </w:pPr>
      <w:r>
        <w:rPr/>
        <w:footnoteRef/>
        <w:tab/>
        <w:t>3. Sg. Imp.</w:t>
      </w:r>
    </w:p>
  </w:footnote>
  <w:footnote w:id="2412">
    <w:p>
      <w:pPr>
        <w:pStyle w:val="Funote"/>
        <w:rPr/>
      </w:pPr>
      <w:r>
        <w:rPr/>
        <w:footnoteRef/>
        <w:tab/>
        <w:t>Wörtlich „Werdet erniedrigt“.</w:t>
      </w:r>
    </w:p>
  </w:footnote>
  <w:footnote w:id="2413">
    <w:p>
      <w:pPr>
        <w:pStyle w:val="Funote"/>
        <w:rPr/>
      </w:pPr>
      <w:r>
        <w:rPr/>
        <w:footnoteRef/>
        <w:tab/>
        <w:t xml:space="preserve">Wörtlich: </w:t>
      </w:r>
      <w:r>
        <w:rPr>
          <w:lang w:val="el-GR"/>
        </w:rPr>
        <w:t>μή</w:t>
      </w:r>
      <w:r>
        <w:rPr/>
        <w:t xml:space="preserve"> + Imperativ Präsens. Im Gegensatz zum unmarkierten Imp. Aor. fordert dieser häufig dazu auf, mit einer Handlung weiterzumachen bzw. aufzuhören, oder etwas immer wieder bzw. niemals zu tun. Dies ist aber nicht zwingend.</w:t>
      </w:r>
    </w:p>
  </w:footnote>
  <w:footnote w:id="2414">
    <w:p>
      <w:pPr>
        <w:pStyle w:val="Funote"/>
        <w:rPr/>
      </w:pPr>
      <w:r>
        <w:rPr/>
        <w:footnoteRef/>
        <w:tab/>
        <w:t>Hier sind selbstverständlich auch die Schwestern (im Herrn) gemeint. Aus Gründen der Genauigkeit und Einfachheit wurde hier aber auf eine Paraphrasierung verzichtet. In der Lesefassung sollte man dann „oder seine Schwester“ hinzufügen oder „seinen Mitchristen“ daraus machen.</w:t>
      </w:r>
    </w:p>
  </w:footnote>
  <w:footnote w:id="2415">
    <w:p>
      <w:pPr>
        <w:pStyle w:val="Funote"/>
        <w:rPr/>
      </w:pPr>
      <w:r>
        <w:rPr/>
        <w:footnoteRef/>
        <w:tab/>
        <w:t>Hier Auflösung zweier attributiver Partizipien. Alternativ kann substantiviert aufgelöst werden: „Der Verleumdende … der Richtende“ (wörtlich).</w:t>
      </w:r>
    </w:p>
  </w:footnote>
  <w:footnote w:id="2416">
    <w:p>
      <w:pPr>
        <w:pStyle w:val="Funote"/>
        <w:rPr/>
      </w:pPr>
      <w:r>
        <w:rPr/>
        <w:footnoteRef/>
        <w:tab/>
        <w:t>Indefiniter Konditionalsatz.</w:t>
      </w:r>
    </w:p>
  </w:footnote>
  <w:footnote w:id="2417">
    <w:p>
      <w:pPr>
        <w:pStyle w:val="Funote"/>
        <w:rPr/>
      </w:pPr>
      <w:r>
        <w:rPr/>
        <w:footnoteRef/>
        <w:tab/>
        <w:t>Oder: „Es gibt einen...“</w:t>
      </w:r>
    </w:p>
  </w:footnote>
  <w:footnote w:id="2418">
    <w:p>
      <w:pPr>
        <w:pStyle w:val="Funote"/>
        <w:rPr/>
      </w:pPr>
      <w:r>
        <w:rPr/>
        <w:footnoteRef/>
        <w:tab/>
        <w:t>Attr. Ptz.</w:t>
      </w:r>
    </w:p>
  </w:footnote>
  <w:footnote w:id="2419">
    <w:p>
      <w:pPr>
        <w:pStyle w:val="Funote"/>
        <w:rPr/>
      </w:pPr>
      <w:r>
        <w:rPr/>
        <w:footnoteRef/>
        <w:tab/>
        <w:t>Wörtlicher: „Wohlan nun“ (B/A, NSS)</w:t>
      </w:r>
    </w:p>
  </w:footnote>
  <w:footnote w:id="2420">
    <w:p>
      <w:pPr>
        <w:pStyle w:val="Funote"/>
        <w:rPr/>
      </w:pPr>
      <w:r>
        <w:rPr/>
        <w:footnoteRef/>
        <w:tab/>
        <w:t>Attr. Ptz.</w:t>
      </w:r>
    </w:p>
  </w:footnote>
  <w:footnote w:id="2421">
    <w:p>
      <w:pPr>
        <w:pStyle w:val="Funote"/>
        <w:rPr/>
      </w:pPr>
      <w:r>
        <w:rPr/>
        <w:footnoteRef/>
        <w:tab/>
        <w:t>Alle folgenden Verben modales Futur: Eine Absichtserklärung (NSS).</w:t>
      </w:r>
    </w:p>
  </w:footnote>
  <w:footnote w:id="2422">
    <w:p>
      <w:pPr>
        <w:pStyle w:val="Funote"/>
        <w:rPr/>
      </w:pPr>
      <w:r>
        <w:rPr/>
        <w:footnoteRef/>
        <w:tab/>
        <w:t>Mit kausalem Nebensinn: „da ihr nicht wisst...“ (NSS)</w:t>
      </w:r>
    </w:p>
  </w:footnote>
  <w:footnote w:id="2423">
    <w:p>
      <w:pPr>
        <w:pStyle w:val="Funote"/>
        <w:rPr/>
      </w:pPr>
      <w:r>
        <w:rPr/>
        <w:footnoteRef/>
        <w:tab/>
        <w:t>Wörtlich „...wisst die [Dinge] des morgigen [Tages] wie {beschaffen} [ist] euer Leben“. Alternativ (unter Vernachlässigung der im NA27 gesetzten Interpunktion): „...wisst, [was] morgen [sein wird]. Was ist euer Leben?“</w:t>
      </w:r>
    </w:p>
  </w:footnote>
  <w:footnote w:id="2424">
    <w:p>
      <w:pPr>
        <w:pStyle w:val="Funote"/>
        <w:rPr/>
      </w:pPr>
      <w:r>
        <w:rPr/>
        <w:footnoteRef/>
        <w:tab/>
        <w:t>Hier folgt die Übersetzung dem Standardtext (NA27). Gewichtige ständige Zeugen erster Ordnung stehen hier nebeneinander, sodass eine Entscheidung anhand innerer Kriterien (Standardtext als lectio brevior und difficilior) möglich ist, wenn auch unsicher. Eine inhaltliche Verschiebung ergibt sich nicht.</w:t>
      </w:r>
    </w:p>
  </w:footnote>
  <w:footnote w:id="2425">
    <w:p>
      <w:pPr>
        <w:pStyle w:val="Funote"/>
        <w:rPr/>
      </w:pPr>
      <w:r>
        <w:rPr/>
        <w:footnoteRef/>
        <w:tab/>
        <w:t>B/A, NSS.</w:t>
      </w:r>
    </w:p>
  </w:footnote>
  <w:footnote w:id="2426">
    <w:p>
      <w:pPr>
        <w:pStyle w:val="Funote"/>
        <w:rPr/>
      </w:pPr>
      <w:r>
        <w:rPr/>
        <w:footnoteRef/>
        <w:tab/>
        <w:t>Attr. Ptz.</w:t>
      </w:r>
    </w:p>
  </w:footnote>
  <w:footnote w:id="2427">
    <w:p>
      <w:pPr>
        <w:pStyle w:val="Funote"/>
        <w:rPr/>
      </w:pPr>
      <w:r>
        <w:rPr/>
        <w:footnoteRef/>
        <w:tab/>
        <w:t>Wörtlich: „wird er unsichtbar gemacht“</w:t>
      </w:r>
    </w:p>
  </w:footnote>
  <w:footnote w:id="2428">
    <w:p>
      <w:pPr>
        <w:pStyle w:val="Funote"/>
        <w:rPr/>
      </w:pPr>
      <w:r>
        <w:rPr/>
        <w:footnoteRef/>
        <w:tab/>
        <w:t xml:space="preserve">Hier steht im Griechischen ein </w:t>
      </w:r>
      <w:r>
        <w:rPr>
          <w:lang w:val="el-GR"/>
        </w:rPr>
        <w:t>τοὺ</w:t>
      </w:r>
      <w:r>
        <w:rPr/>
        <w:t xml:space="preserve"> + Inf., was, wenn es unabhängig steht, imperativisch verwendet werden kann (Blomberg). Alternativ „statt dass ihr sagt“ (so REB).</w:t>
      </w:r>
    </w:p>
  </w:footnote>
  <w:footnote w:id="2429">
    <w:p>
      <w:pPr>
        <w:pStyle w:val="Funote"/>
        <w:rPr/>
      </w:pPr>
      <w:r>
        <w:rPr/>
        <w:footnoteRef/>
        <w:tab/>
        <w:t>Spezieller (im Gegensatz zum generellen) prospektiver Konditionalsatz: Versuch der Berechnung der Folgen einer zukünftigen Handlung.</w:t>
      </w:r>
    </w:p>
  </w:footnote>
  <w:footnote w:id="2430">
    <w:p>
      <w:pPr>
        <w:pStyle w:val="Funote"/>
        <w:rPr/>
      </w:pPr>
      <w:r>
        <w:rPr/>
        <w:footnoteRef/>
        <w:tab/>
        <w:t>Vielleicht „mit“ (cf. NSS).</w:t>
      </w:r>
    </w:p>
  </w:footnote>
  <w:footnote w:id="2431">
    <w:p>
      <w:pPr>
        <w:pStyle w:val="Funote"/>
        <w:rPr/>
      </w:pPr>
      <w:r>
        <w:rPr/>
        <w:footnoteRef/>
        <w:tab/>
        <w:t>Der durch die Verwendung von „</w:t>
      </w:r>
      <w:r>
        <w:rPr>
          <w:lang w:val="el-GR"/>
        </w:rPr>
        <w:t>οὖν</w:t>
      </w:r>
      <w:r>
        <w:rPr/>
        <w:t>“ („also“) implizierte Zusammenhang zu den vorhergehenden Sätzen ist schwer zu erkennen. Der Zusammenhang besteht wohl zum vorhergehenden Text; alternativ auch zum darauffolgenden. Der Satz dient als Scharnier zwischen den beiden Textabschnitten, wobei er gleichzeitig recht allgemein formuliert ist. (Belege nötig.)</w:t>
      </w:r>
    </w:p>
  </w:footnote>
  <w:footnote w:id="2432">
    <w:p>
      <w:pPr>
        <w:pStyle w:val="Funote"/>
        <w:rPr/>
      </w:pPr>
      <w:r>
        <w:rPr/>
        <w:footnoteRef/>
        <w:tab/>
        <w:t>Johnson.</w:t>
      </w:r>
    </w:p>
  </w:footnote>
  <w:footnote w:id="2433">
    <w:p>
      <w:pPr>
        <w:pStyle w:val="Funote"/>
        <w:rPr/>
      </w:pPr>
      <w:r>
        <w:rPr/>
        <w:footnoteRef/>
        <w:tab/>
        <w:t>Beide Verben der 3. Ps. sind subst. Ptz.</w:t>
      </w:r>
    </w:p>
  </w:footnote>
  <w:footnote w:id="2434">
    <w:p>
      <w:pPr>
        <w:pStyle w:val="Funote"/>
        <w:rPr/>
      </w:pPr>
      <w:r>
        <w:rPr/>
        <w:footnoteRef/>
        <w:tab/>
        <w:t>[Status: Zuverlässig]</w:t>
      </w:r>
    </w:p>
  </w:footnote>
  <w:footnote w:id="2435">
    <w:p>
      <w:pPr>
        <w:pStyle w:val="Funote"/>
        <w:rPr/>
      </w:pPr>
      <w:r>
        <w:rPr/>
        <w:footnoteRef/>
        <w:tab/>
        <w:t>Modal aufgelöstes Ptc. coni.</w:t>
      </w:r>
    </w:p>
  </w:footnote>
  <w:footnote w:id="2436">
    <w:p>
      <w:pPr>
        <w:pStyle w:val="Funote"/>
        <w:rPr/>
      </w:pPr>
      <w:r>
        <w:rPr/>
        <w:footnoteRef/>
        <w:tab/>
        <w:t>Das hier gebrauchte Ptz. Präsens hat normalerweise eine durative/iterative Aspektbedeutung, die hier vermutlich aber in den Hintergrund tritt.</w:t>
      </w:r>
    </w:p>
  </w:footnote>
  <w:footnote w:id="2437">
    <w:p>
      <w:pPr>
        <w:pStyle w:val="Funote"/>
        <w:rPr/>
      </w:pPr>
      <w:r>
        <w:rPr/>
        <w:footnoteRef/>
        <w:tab/>
        <w:t>Hier und im Folgenden (bis einschließlich 3a) steht das Perfekt, das den Ist-Zustand hervorhebt. Hier wird es möglicherweise futuristisch gebraucht (NSS), analog zum hebräischen Perfekt. Durch die Hervorhebung des Zustands im griechischen Perfekt wird betont, dass der beschriebene Sachverhalt noch nicht eingetroffen ist, aber schon verbindlich festgelegt wurde.</w:t>
      </w:r>
    </w:p>
  </w:footnote>
  <w:footnote w:id="2438">
    <w:p>
      <w:pPr>
        <w:pStyle w:val="Funote"/>
        <w:rPr/>
      </w:pPr>
      <w:r>
        <w:rPr/>
        <w:footnoteRef/>
        <w:tab/>
        <w:t>Wörtlich: „mottenzerfressen geworden“</w:t>
      </w:r>
    </w:p>
  </w:footnote>
  <w:footnote w:id="2439">
    <w:p>
      <w:pPr>
        <w:pStyle w:val="Funote"/>
        <w:rPr/>
      </w:pPr>
      <w:r>
        <w:rPr/>
        <w:footnoteRef/>
        <w:tab/>
        <w:t>Da Gold weder rostet noch anläuft, ist dies entweder eine stilistische Übertreibung oder es müsste alternativ etwa „angelaufen“ oder „matt/stumpf geworden“ heißen (Blomberg/Kamell).</w:t>
      </w:r>
    </w:p>
  </w:footnote>
  <w:footnote w:id="2440">
    <w:p>
      <w:pPr>
        <w:pStyle w:val="Funote"/>
        <w:rPr/>
      </w:pPr>
      <w:r>
        <w:rPr/>
        <w:footnoteRef/>
        <w:tab/>
        <w:t>Kommunikativ: „dienen“</w:t>
      </w:r>
    </w:p>
  </w:footnote>
  <w:footnote w:id="2441">
    <w:p>
      <w:pPr>
        <w:pStyle w:val="Funote"/>
        <w:rPr/>
      </w:pPr>
      <w:r>
        <w:rPr/>
        <w:footnoteRef/>
        <w:tab/>
        <w:t>Im Original im Plural.</w:t>
      </w:r>
    </w:p>
  </w:footnote>
  <w:footnote w:id="2442">
    <w:p>
      <w:pPr>
        <w:pStyle w:val="Funote"/>
        <w:rPr/>
      </w:pPr>
      <w:r>
        <w:rPr/>
        <w:footnoteRef/>
        <w:tab/>
        <w:t>Durch das Verb impliziert (cf. B/A, NSS).</w:t>
      </w:r>
    </w:p>
  </w:footnote>
  <w:footnote w:id="2443">
    <w:p>
      <w:pPr>
        <w:pStyle w:val="Funote"/>
        <w:rPr/>
      </w:pPr>
      <w:r>
        <w:rPr/>
        <w:footnoteRef/>
        <w:tab/>
        <w:t>Attr. Ptz.</w:t>
      </w:r>
    </w:p>
  </w:footnote>
  <w:footnote w:id="2444">
    <w:p>
      <w:pPr>
        <w:pStyle w:val="Funote"/>
        <w:rPr/>
      </w:pPr>
      <w:r>
        <w:rPr/>
        <w:footnoteRef/>
        <w:tab/>
        <w:t>Ptz. Pf. Pass.; attributives Ptz.</w:t>
      </w:r>
    </w:p>
  </w:footnote>
  <w:footnote w:id="2445">
    <w:p>
      <w:pPr>
        <w:pStyle w:val="Funote"/>
        <w:rPr/>
      </w:pPr>
      <w:r>
        <w:rPr/>
        <w:footnoteRef/>
        <w:tab/>
        <w:t>Alternativ: „der [ihnen] vorenthalten wurde, schreit von euch...“</w:t>
      </w:r>
    </w:p>
  </w:footnote>
  <w:footnote w:id="2446">
    <w:p>
      <w:pPr>
        <w:pStyle w:val="Funote"/>
        <w:rPr/>
      </w:pPr>
      <w:r>
        <w:rPr/>
        <w:footnoteRef/>
        <w:tab/>
        <w:t>Transkribiert „Sabaoth“. Alternativ auch mit Übersetzung des hebräischen Worts: „Herr der Heerscharen“</w:t>
      </w:r>
    </w:p>
  </w:footnote>
  <w:footnote w:id="2447">
    <w:p>
      <w:pPr>
        <w:pStyle w:val="Funote"/>
        <w:rPr/>
      </w:pPr>
      <w:r>
        <w:rPr/>
        <w:footnoteRef/>
        <w:tab/>
        <w:t>Oder kommunikativer: „habt ein üppiges Leben geführt“ (NSS)</w:t>
      </w:r>
    </w:p>
  </w:footnote>
  <w:footnote w:id="2448">
    <w:p>
      <w:pPr>
        <w:pStyle w:val="Funote"/>
        <w:rPr/>
      </w:pPr>
      <w:r>
        <w:rPr/>
        <w:footnoteRef/>
        <w:tab/>
        <w:t>Oder kommunikativer: „habt euch dem Vergnügen hingegeben“ (NSS)</w:t>
      </w:r>
    </w:p>
  </w:footnote>
  <w:footnote w:id="2449">
    <w:p>
      <w:pPr>
        <w:pStyle w:val="Funote"/>
        <w:rPr/>
      </w:pPr>
      <w:r>
        <w:rPr/>
        <w:footnoteRef/>
        <w:tab/>
        <w:t>Wörtlich: „an [einem]“</w:t>
      </w:r>
    </w:p>
  </w:footnote>
  <w:footnote w:id="2450">
    <w:p>
      <w:pPr>
        <w:pStyle w:val="Funote"/>
        <w:rPr/>
      </w:pPr>
      <w:r>
        <w:rPr/>
        <w:footnoteRef/>
        <w:tab/>
        <w:t>Wörtlich „Tag der Schlachtung“. Dies kann sich konkret auf einen gewöhnlichen Schlachttag beziehen, der im Leben der Reichen sicherlich regelmäßig vorkam, spielt aber auf den Tag von Gottes Gericht an.</w:t>
      </w:r>
    </w:p>
  </w:footnote>
  <w:footnote w:id="2451">
    <w:p>
      <w:pPr>
        <w:pStyle w:val="Funote"/>
        <w:rPr/>
      </w:pPr>
      <w:r>
        <w:rPr/>
        <w:footnoteRef/>
        <w:tab/>
        <w:t>Die Deutung dieses Begriffs bestimmt, ob es sich um ein generisches Maskulinum oder ein bestimmtes Individuum handelt. In jedem Fall geht es hier um einen prototypischen „Gerechten“. „Der Gerechte“ bezeichnet im frühen Christentum häufig Jesus. Das größte Problem mit dieser Deutung ist jedoch, dass der letzte Satzteil im Präsens steht – was auf einen fortlaufenden oder kurz zurückliegenden Vorgang hinweist. Der Kontext weist aber eher auf Tagelöhner oder Leibeigene hin, die auf den täglichen Lohn zum Überleben angewiesen sind. Wird der Lohn vorenthalten, muss der Arbeiter verhungern (cf. Blomberg/Kamell).</w:t>
      </w:r>
    </w:p>
  </w:footnote>
  <w:footnote w:id="2452">
    <w:p>
      <w:pPr>
        <w:pStyle w:val="Funote"/>
        <w:rPr/>
      </w:pPr>
      <w:r>
        <w:rPr/>
        <w:footnoteRef/>
        <w:tab/>
        <w:t>Oder „ihr habt verurteilt, ihr habt den Gerechten ermordet“ (so die wortlautgetreue REB).</w:t>
      </w:r>
    </w:p>
  </w:footnote>
  <w:footnote w:id="2453">
    <w:p>
      <w:pPr>
        <w:pStyle w:val="Funote"/>
        <w:rPr/>
      </w:pPr>
      <w:r>
        <w:rPr/>
        <w:footnoteRef/>
        <w:tab/>
        <w:t>Der letzte Satzteil ist vom vorherigen eigentümlich abgetrennt. Manche Exegeten sehen das als Grund, ein „obwohl“ zu ergänzen.</w:t>
      </w:r>
    </w:p>
  </w:footnote>
  <w:footnote w:id="2454">
    <w:p>
      <w:pPr>
        <w:pStyle w:val="Funote"/>
        <w:rPr/>
      </w:pPr>
      <w:r>
        <w:rPr/>
        <w:footnoteRef/>
        <w:tab/>
        <w:t>Im NT Terminus technicus für die Parusie (Wiederkunft Christi). Bezeichnet außerbiblisch den offiziellen Besuch eines hohen Amtsträgers (z.B. des Kaisers) an einem Ort oder die Epiphanie eines Gottes (so NSS; dort Bezug auf „EWNT 3, Sp. 103“). In der Normalbedeutung „Anwesenheit, Kommen, Ankunft“.</w:t>
      </w:r>
    </w:p>
  </w:footnote>
  <w:footnote w:id="2455">
    <w:p>
      <w:pPr>
        <w:pStyle w:val="Funote"/>
        <w:rPr/>
      </w:pPr>
      <w:r>
        <w:rPr/>
        <w:footnoteRef/>
        <w:tab/>
        <w:t>Auflösung eines modalen Ptc. coni., alternativ temp. Oder „und geduldig auf sie wartet“.</w:t>
      </w:r>
    </w:p>
  </w:footnote>
  <w:footnote w:id="2456">
    <w:p>
      <w:pPr>
        <w:pStyle w:val="Funote"/>
        <w:rPr/>
      </w:pPr>
      <w:r>
        <w:rPr/>
        <w:footnoteRef/>
        <w:tab/>
        <w:t>Anspielung auf Hos 6,4 (Bauckham).</w:t>
      </w:r>
    </w:p>
  </w:footnote>
  <w:footnote w:id="2457">
    <w:p>
      <w:pPr>
        <w:pStyle w:val="Funote"/>
        <w:rPr/>
      </w:pPr>
      <w:r>
        <w:rPr/>
        <w:footnoteRef/>
        <w:tab/>
        <w:t>Das hier verwendete griechische Perfekt betont das Resultat eines Vorgangs, weswegen hier mit Zustandspassiv übersetzt wurde.</w:t>
      </w:r>
    </w:p>
  </w:footnote>
  <w:footnote w:id="2458">
    <w:p>
      <w:pPr>
        <w:pStyle w:val="Funote"/>
        <w:rPr/>
      </w:pPr>
      <w:r>
        <w:rPr/>
        <w:footnoteRef/>
        <w:tab/>
        <w:t>Imperativ Präsens. Oder: „Hört auf, …“ Im Gegensatz zum unmarkierten Imp. Aor. hat dieser häufig negativ die Bedeutung „hör(t) auf, … zu tun“ bzw. positiv „Tu(t) … weiterhin/immer wieder“ haben.</w:t>
      </w:r>
    </w:p>
  </w:footnote>
  <w:footnote w:id="2459">
    <w:p>
      <w:pPr>
        <w:pStyle w:val="Funote"/>
        <w:rPr/>
      </w:pPr>
      <w:r>
        <w:rPr/>
        <w:footnoteRef/>
        <w:tab/>
        <w:t>Auflösung eines subst. Ptz. Aor. Kann ein Rückbezug auf die Propheten sein, ist aber offen formuliert.</w:t>
      </w:r>
    </w:p>
  </w:footnote>
  <w:footnote w:id="2460">
    <w:p>
      <w:pPr>
        <w:pStyle w:val="Funote"/>
        <w:rPr/>
      </w:pPr>
      <w:r>
        <w:rPr/>
        <w:footnoteRef/>
        <w:tab/>
        <w:t>Cf. 1,3</w:t>
      </w:r>
    </w:p>
  </w:footnote>
  <w:footnote w:id="2461">
    <w:p>
      <w:pPr>
        <w:pStyle w:val="Funote"/>
        <w:rPr/>
      </w:pPr>
      <w:r>
        <w:rPr/>
        <w:footnoteRef/>
        <w:tab/>
        <w:t xml:space="preserve">Wörtlich „das Ende [des] Herrn“. Genitivus auctoris (NSS). Oder „vom Herrn [bewirkte] Ende“, etc (so alle wichtigen deutschen Übersetzungen, NASB, NIV). Dies passt am besten in den Kontext und würde dann auf das Ende hindeuten, für das Gott in Hiobs Geschichte gesorgt hat. Dann würde „Herr“ für Gott den Vater stehen. Alternativ „das Ziel/den Zweck des Herrn gesehen, dass... “ (ESV, NET). Eine alternative Deutung würde den ersten </w:t>
      </w:r>
      <w:r>
        <w:rPr>
          <w:lang w:val="el-GR"/>
        </w:rPr>
        <w:t>κυριος</w:t>
      </w:r>
      <w:r>
        <w:rPr/>
        <w:t xml:space="preserve"> als Jesus verstehen; die Übersetzung wäre dann „das Ende des Herrn“, also Jesu Kreuzestod. Dies würde erklären, warum, nachdem in V. 10 Propheten (Pl.) erwähnt wurden, in V. 11 dann nur Hiob genannt wird (die spätere Erwähnung von Elija passt nicht mehr in den Kontext). Das größte Problem mit dieser Deutung ist aber, dass </w:t>
      </w:r>
      <w:r>
        <w:rPr>
          <w:lang w:val="el-GR"/>
        </w:rPr>
        <w:t>κυριος</w:t>
      </w:r>
      <w:r>
        <w:rPr/>
        <w:t xml:space="preserve"> im selben Vers einmal Jesus und einmal Gott den Vater bezeichnen würde.</w:t>
      </w:r>
    </w:p>
  </w:footnote>
  <w:footnote w:id="2462">
    <w:p>
      <w:pPr>
        <w:pStyle w:val="Funote"/>
        <w:rPr/>
      </w:pPr>
      <w:r>
        <w:rPr/>
        <w:footnoteRef/>
        <w:tab/>
        <w:t>Imp. Präs. Dieser markiert gelegentlich die Aufforderung, etwas weiterhin/immer wieder zu tun bzw.(endgültig) mit etwas aufzuhören.</w:t>
      </w:r>
    </w:p>
  </w:footnote>
  <w:footnote w:id="2463">
    <w:p>
      <w:pPr>
        <w:pStyle w:val="Funote"/>
        <w:rPr/>
      </w:pPr>
      <w:r>
        <w:rPr/>
        <w:footnoteRef/>
        <w:tab/>
        <w:t>3. Sg. Imp. Präs.; s. o.</w:t>
      </w:r>
    </w:p>
  </w:footnote>
  <w:footnote w:id="2464">
    <w:p>
      <w:pPr>
        <w:pStyle w:val="Funote"/>
        <w:rPr/>
      </w:pPr>
      <w:r>
        <w:rPr/>
        <w:footnoteRef/>
        <w:tab/>
        <w:t>Wörtlich: „damit ihr nicht unter das Gericht fallt“</w:t>
      </w:r>
    </w:p>
  </w:footnote>
  <w:footnote w:id="2465">
    <w:p>
      <w:pPr>
        <w:pStyle w:val="Funote"/>
        <w:rPr/>
      </w:pPr>
      <w:r>
        <w:rPr/>
        <w:footnoteRef/>
        <w:tab/>
        <w:t>3. Sg. Imp. Präs.; s. o.</w:t>
      </w:r>
    </w:p>
  </w:footnote>
  <w:footnote w:id="2466">
    <w:p>
      <w:pPr>
        <w:pStyle w:val="Funote"/>
        <w:rPr/>
      </w:pPr>
      <w:r>
        <w:rPr/>
        <w:footnoteRef/>
        <w:tab/>
        <w:t>3. Sg. Imp. Präs.; s. o.</w:t>
      </w:r>
    </w:p>
  </w:footnote>
  <w:footnote w:id="2467">
    <w:p>
      <w:pPr>
        <w:pStyle w:val="Funote"/>
        <w:rPr/>
      </w:pPr>
      <w:r>
        <w:rPr/>
        <w:footnoteRef/>
        <w:tab/>
        <w:t>Die drei Bedingungssätze in diesem und dem folgenden Vers können auch als direkte Fragen verstanden werden. Meine Übesetzung folgt der Zeichensetzung im NA27.</w:t>
      </w:r>
    </w:p>
  </w:footnote>
  <w:footnote w:id="2468">
    <w:p>
      <w:pPr>
        <w:pStyle w:val="Funote"/>
        <w:rPr/>
      </w:pPr>
      <w:r>
        <w:rPr/>
        <w:footnoteRef/>
        <w:tab/>
        <w:t>Die Definition des Wortes wäre wohl „durch Krankheit geschwächt“ (Cf. B/A)</w:t>
      </w:r>
    </w:p>
  </w:footnote>
  <w:footnote w:id="2469">
    <w:p>
      <w:pPr>
        <w:pStyle w:val="Funote"/>
        <w:rPr/>
      </w:pPr>
      <w:r>
        <w:rPr/>
        <w:footnoteRef/>
        <w:tab/>
        <w:t>3. Sg. Imp. Präs.; s. o.</w:t>
      </w:r>
    </w:p>
  </w:footnote>
  <w:footnote w:id="2470">
    <w:p>
      <w:pPr>
        <w:pStyle w:val="Funote"/>
        <w:rPr/>
      </w:pPr>
      <w:r>
        <w:rPr/>
        <w:footnoteRef/>
        <w:tab/>
        <w:t>3. Pl. Imp. Aor. Med.</w:t>
      </w:r>
    </w:p>
  </w:footnote>
  <w:footnote w:id="2471">
    <w:p>
      <w:pPr>
        <w:pStyle w:val="Funote"/>
        <w:rPr/>
      </w:pPr>
      <w:r>
        <w:rPr/>
        <w:footnoteRef/>
        <w:tab/>
        <w:t>Instrumentaler Dativ.</w:t>
      </w:r>
    </w:p>
  </w:footnote>
  <w:footnote w:id="2472">
    <w:p>
      <w:pPr>
        <w:pStyle w:val="Funote"/>
        <w:rPr/>
      </w:pPr>
      <w:r>
        <w:rPr/>
        <w:footnoteRef/>
        <w:tab/>
        <w:t>Adv. Ptz. Aor., das vorzeitig oder gleichzeitig übersetzt werden kann; hier modal interpretiert und mit „und + Verb“ übersetzt. Oder „indem sie ihn ... salben“. Alternativ temporal: „nachdem sie ihn … gesalbt haben“, „während sie ihn … salben“.</w:t>
      </w:r>
    </w:p>
  </w:footnote>
  <w:footnote w:id="2473">
    <w:p>
      <w:pPr>
        <w:pStyle w:val="Funote"/>
        <w:rPr/>
      </w:pPr>
      <w:r>
        <w:rPr/>
        <w:footnoteRef/>
        <w:tab/>
        <w:t>Wörtlich: „des Glaubens“; Gen. pertinentiae (Das Gebet geschieht im Glauben.; NSS).</w:t>
      </w:r>
    </w:p>
  </w:footnote>
  <w:footnote w:id="2474">
    <w:p>
      <w:pPr>
        <w:pStyle w:val="Funote"/>
        <w:rPr/>
      </w:pPr>
      <w:r>
        <w:rPr/>
        <w:footnoteRef/>
        <w:tab/>
        <w:t>Wörtlich: „wenn er ein Sünden begangen habender ist“ (Ptz. Pf.); periphrastisch (umschreibend; NSS).</w:t>
      </w:r>
    </w:p>
  </w:footnote>
  <w:footnote w:id="2475">
    <w:p>
      <w:pPr>
        <w:pStyle w:val="Funote"/>
        <w:rPr/>
      </w:pPr>
      <w:r>
        <w:rPr/>
        <w:footnoteRef/>
        <w:tab/>
        <w:t>Prospektiver Konditionalsatz (Eventualis). Der Vers sieht Krankheit also nicht im Zusammenhang mit Sünde.</w:t>
      </w:r>
    </w:p>
  </w:footnote>
  <w:footnote w:id="2476">
    <w:p>
      <w:pPr>
        <w:pStyle w:val="Funote"/>
        <w:rPr/>
      </w:pPr>
      <w:r>
        <w:rPr/>
        <w:footnoteRef/>
        <w:tab/>
        <w:t>Ptz. Med., hier attributiv aufgelöst (B/A, NSS, REB, EÜ, NGÜ). Oder: „das wirksame Gebet...“, „das Gebet …, das wirksam ist“. Adverbial konditional: „wenn es ernstlich ist“ (LUT, Menge, SLT). NSS deutet kausal-begründend: „da es [ja] wirksam ist“. Blomberg deutet temporal/konditional (dann als Ermunterung für die Leser) und übersetzt „wenn es ausgeführt wird“. Hierzu müssten noch Stimmen weiterer Kommentare ergänzt werden.</w:t>
      </w:r>
    </w:p>
  </w:footnote>
  <w:footnote w:id="2477">
    <w:p>
      <w:pPr>
        <w:pStyle w:val="Funote"/>
        <w:rPr/>
      </w:pPr>
      <w:r>
        <w:rPr/>
        <w:footnoteRef/>
        <w:tab/>
        <w:t>Wörtlich: „er betete [dem] Gebet“; dies ist ein Dat. modi, also „er betete mit einem Gebet“ (Semitismus). Übersetzung nach Blomberg, NSS.</w:t>
      </w:r>
    </w:p>
  </w:footnote>
  <w:footnote w:id="2478">
    <w:p>
      <w:pPr>
        <w:pStyle w:val="Funote"/>
        <w:rPr/>
      </w:pPr>
      <w:r>
        <w:rPr/>
        <w:footnoteRef/>
        <w:tab/>
        <w:t>Hier offenbar eine „Nachbildung des hebr. infinitivus absolutus“ (NSS).</w:t>
      </w:r>
    </w:p>
  </w:footnote>
  <w:footnote w:id="2479">
    <w:p>
      <w:pPr>
        <w:pStyle w:val="Funote"/>
        <w:rPr/>
      </w:pPr>
      <w:r>
        <w:rPr/>
        <w:footnoteRef/>
        <w:tab/>
        <w:t>Wörtlich: „gab Regen“</w:t>
      </w:r>
    </w:p>
  </w:footnote>
  <w:footnote w:id="2480">
    <w:p>
      <w:pPr>
        <w:pStyle w:val="Funote"/>
        <w:rPr/>
      </w:pPr>
      <w:r>
        <w:rPr/>
        <w:footnoteRef/>
        <w:tab/>
        <w:t>3. Sg. Imp.</w:t>
      </w:r>
    </w:p>
  </w:footnote>
  <w:footnote w:id="2481">
    <w:p>
      <w:pPr>
        <w:pStyle w:val="Funote"/>
        <w:rPr/>
      </w:pPr>
      <w:r>
        <w:rPr/>
        <w:footnoteRef/>
        <w:tab/>
        <w:t>Wörtlich: „von [der] Verirrung/vom Irrtum seines Weges“</w:t>
      </w:r>
    </w:p>
  </w:footnote>
  <w:footnote w:id="2482">
    <w:p>
      <w:pPr>
        <w:pStyle w:val="Funote"/>
        <w:rPr/>
      </w:pPr>
      <w:r>
        <w:rPr/>
        <w:footnoteRef/>
        <w:tab/>
        <w:t>Auflösung eines subst. Ptz.</w:t>
      </w:r>
    </w:p>
  </w:footnote>
  <w:footnote w:id="2483">
    <w:p>
      <w:pPr>
        <w:pStyle w:val="Funote"/>
        <w:rPr/>
      </w:pPr>
      <w:r>
        <w:rPr/>
        <w:footnoteRef/>
        <w:tab/>
        <w:t>Vv. 19-20: Gewöhnlicher, prospektiver Konditionalsatz.</w:t>
      </w:r>
    </w:p>
  </w:footnote>
</w:footnotes>
</file>

<file path=word/settings.xml><?xml version="1.0" encoding="utf-8"?>
<w:settings xmlns:w="http://schemas.openxmlformats.org/wordprocessingml/2006/main">
  <w:zoom w:percent="100"/>
  <w:defaultTabStop w:val="4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de-DE" w:eastAsia="zh-CN" w:bidi="hi-IN"/>
      </w:rPr>
    </w:rPrDefault>
    <w:pPrDefault>
      <w:pPr/>
    </w:pPrDefault>
  </w:docDefaults>
  <w:style w:type="paragraph" w:styleId="Normal">
    <w:name w:val="Normal"/>
    <w:qFormat/>
    <w:pPr>
      <w:widowControl w:val="false"/>
    </w:pPr>
    <w:rPr>
      <w:rFonts w:ascii="Times New Roman" w:hAnsi="Times New Roman" w:eastAsia="Times New Roman" w:cs="Times New Roman"/>
      <w:color w:val="auto"/>
      <w:sz w:val="24"/>
      <w:szCs w:val="24"/>
      <w:lang w:val="de-DE" w:eastAsia="zh-CN" w:bidi="hi-IN"/>
    </w:rPr>
  </w:style>
  <w:style w:type="paragraph" w:styleId="Berschrift1">
    <w:name w:val="Überschrift 1"/>
    <w:basedOn w:val="Berschrift"/>
    <w:next w:val="Textkrper"/>
    <w:pPr/>
    <w:rPr>
      <w:rFonts w:ascii="Times New Roman" w:hAnsi="Times New Roman" w:eastAsia="Times New Roman" w:cs="Times New Roman"/>
      <w:b/>
      <w:bCs/>
      <w:sz w:val="48"/>
      <w:szCs w:val="44"/>
    </w:rPr>
  </w:style>
  <w:style w:type="paragraph" w:styleId="Berschrift2">
    <w:name w:val="Überschrift 2"/>
    <w:basedOn w:val="Berschrift"/>
    <w:next w:val="Textkrper"/>
    <w:pPr>
      <w:spacing w:before="200" w:after="120"/>
      <w:outlineLvl w:val="1"/>
      <w:outlineLvl w:val="1"/>
    </w:pPr>
    <w:rPr>
      <w:rFonts w:ascii="Times New Roman" w:hAnsi="Times New Roman" w:eastAsia="Times New Roman" w:cs="Times New Roman"/>
      <w:b/>
      <w:bCs/>
      <w:sz w:val="36"/>
      <w:szCs w:val="36"/>
    </w:rPr>
  </w:style>
  <w:style w:type="paragraph" w:styleId="Berschrift3">
    <w:name w:val="Überschrift 3"/>
    <w:basedOn w:val="Berschrift"/>
    <w:next w:val="Textkrper"/>
    <w:pPr>
      <w:spacing w:before="140" w:after="120"/>
      <w:outlineLvl w:val="2"/>
      <w:outlineLvl w:val="2"/>
    </w:pPr>
    <w:rPr>
      <w:rFonts w:ascii="Times New Roman" w:hAnsi="Times New Roman" w:eastAsia="Times New Roman" w:cs="Times New Roman"/>
      <w:b/>
      <w:bCs/>
      <w:sz w:val="28"/>
      <w:szCs w:val="28"/>
    </w:rPr>
  </w:style>
  <w:style w:type="paragraph" w:styleId="Berschrift4">
    <w:name w:val="Überschrift 4"/>
    <w:basedOn w:val="Berschrift"/>
    <w:next w:val="Textkrper"/>
    <w:pPr>
      <w:spacing w:before="120" w:after="120"/>
      <w:outlineLvl w:val="3"/>
      <w:outlineLvl w:val="3"/>
    </w:pPr>
    <w:rPr>
      <w:rFonts w:ascii="Times New Roman" w:hAnsi="Times New Roman" w:eastAsia="Times New Roman" w:cs="Times New Roman"/>
      <w:b/>
      <w:bCs/>
      <w:sz w:val="24"/>
      <w:szCs w:val="24"/>
    </w:rPr>
  </w:style>
  <w:style w:type="character" w:styleId="Endnotenzeichen">
    <w:name w:val="Endnotenzeichen"/>
    <w:qFormat/>
    <w:rPr>
      <w:i/>
      <w:iCs/>
    </w:rPr>
  </w:style>
  <w:style w:type="character" w:styleId="Funotenzeichen">
    <w:name w:val="Fußnotenzeichen"/>
    <w:qFormat/>
    <w:rPr>
      <w:i/>
      <w:iCs/>
    </w:rPr>
  </w:style>
  <w:style w:type="character" w:styleId="Internetlink">
    <w:name w:val="Internetlink"/>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spacing w:before="240" w:after="283"/>
    </w:pPr>
    <w:rPr>
      <w:rFonts w:ascii="Albany" w:hAnsi="Albany"/>
      <w:sz w:val="28"/>
      <w:szCs w:val="26"/>
    </w:rPr>
  </w:style>
  <w:style w:type="paragraph" w:styleId="Textkrper">
    <w:name w:val="Textkörper"/>
    <w:basedOn w:val="Normal"/>
    <w:pPr>
      <w:spacing w:before="0" w:after="283"/>
    </w:pPr>
    <w:rPr/>
  </w:style>
  <w:style w:type="paragraph" w:styleId="Liste">
    <w:name w:val="Liste"/>
    <w:basedOn w:val="Textkrper"/>
    <w:pPr/>
    <w:rPr>
      <w:rFonts w:cs="Arial"/>
    </w:rPr>
  </w:style>
  <w:style w:type="paragraph" w:styleId="Beschriftung">
    <w:name w:val="Beschriftung"/>
    <w:basedOn w:val="Normal"/>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Absender"/>
    <w:basedOn w:val="Normal"/>
    <w:pPr/>
    <w:rPr>
      <w:i/>
    </w:rPr>
  </w:style>
  <w:style w:type="paragraph" w:styleId="TabellenInhalt">
    <w:name w:val="Tabellen Inhalt"/>
    <w:basedOn w:val="Textkrper"/>
    <w:qFormat/>
    <w:pPr/>
    <w:rPr/>
  </w:style>
  <w:style w:type="paragraph" w:styleId="Fuzeile">
    <w:name w:val="Fußzeile"/>
    <w:basedOn w:val="Normal"/>
    <w:pPr>
      <w:suppressLineNumbers/>
      <w:tabs>
        <w:tab w:val="center" w:pos="4818" w:leader="none"/>
        <w:tab w:val="right" w:pos="9637" w:leader="none"/>
      </w:tabs>
    </w:pPr>
    <w:rPr/>
  </w:style>
  <w:style w:type="paragraph" w:styleId="Kopfzeile">
    <w:name w:val="Kopfzeile"/>
    <w:basedOn w:val="Normal"/>
    <w:pPr>
      <w:suppressLineNumbers/>
      <w:tabs>
        <w:tab w:val="center" w:pos="4818" w:leader="none"/>
        <w:tab w:val="right" w:pos="9637" w:leader="none"/>
      </w:tabs>
    </w:pPr>
    <w:rPr/>
  </w:style>
  <w:style w:type="paragraph" w:styleId="Funote">
    <w:name w:val="Fußnote"/>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LibreOffice/5.0.3.2$Windows_x86 LibreOffice_project/e5f16313668ac592c1bfb310f4390624e3dbfb75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de-DE</dc:language>
  <cp:revision>0</cp:revision>
</cp:coreProperties>
</file>