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[2018-12-15]</w:t>
        <w:br/>
        <w:t xml:space="preserve">Lizenz: Copyright (C) 2009-2018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2"/>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3"/>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4"/>
        <w:t>a</w:t>
      </w:r>
      <w:r>
        <w:rPr/>
        <w:t xml:space="preserve"> Balsam und Ladanum.</w:t>
      </w:r>
      <w:r>
        <w:rPr>
          <w:rStyle w:val="Funotenanker"/>
        </w:rPr>
        <w:footnoteReference w:customMarkFollows="1" w:id="5"/>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6"/>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7"/>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8"/>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9"/>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0"/>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einen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[[@BibleTOBIBLE:Ru]]Rut</w:t>
      </w:r>
    </w:p>
    <w:p>
      <w:pPr>
        <w:pStyle w:val="Berschrift3"/>
        <w:rPr/>
      </w:pPr>
      <w:r>
        <w:rPr/>
        <w:t>[[@BibleTOBIBLE:Ru 1]]Kapitel 1</w:t>
      </w:r>
    </w:p>
    <w:p>
      <w:pPr>
        <w:pStyle w:val="Textkrper"/>
        <w:rPr/>
      </w:pPr>
      <w:r>
        <w:rPr/>
        <w:t xml:space="preserve">''in Erstellung)'' </w:t>
        <w:br/>
        <w:br/>
        <w:t>[[@BibleTOBIBLE:Ru 1:1]]</w:t>
      </w:r>
      <w:r>
        <w:rPr>
          <w:b/>
        </w:rPr>
        <w:t>1</w:t>
      </w:r>
      <w:r>
        <w:rPr/>
        <w:t xml:space="preserve"> {{field-on:bible}}Als Israel noch keine Könige hatte</w:t>
      </w:r>
      <w:r>
        <w:rPr>
          <w:rStyle w:val="Funotenanker"/>
        </w:rPr>
        <w:footnoteReference w:customMarkFollows="1" w:id="11"/>
        <w:t>a</w:t>
      </w:r>
      <w:r>
        <w:rPr/>
        <w:t xml:space="preserve"> gab es dort eine Hungersnot. Da verließ ein Mann Betlehem in Juda, um sich in Moab niederzulassen, zusammen mit seiner Frau und seinen beiden Söhnen.{{field-off:bible}} </w:t>
        <w:br/>
        <w:t>[[@BibleTOBIBLE:Ru 1:2]]</w:t>
      </w:r>
      <w:r>
        <w:rPr>
          <w:b/>
        </w:rPr>
        <w:t>2</w:t>
      </w:r>
      <w:r>
        <w:rPr/>
        <w:t xml:space="preserve"> {{field-on:bible}}Der Mann hieß Elimelech, seine Frau Noomi und seine beiden Söhne Machlon und Kiljon. Sie waren Efratiter aus Betlehem. Und so kamen sie nach Moab und blieben dort.{{field-off:bible}} </w:t>
        <w:br/>
        <w:t>[[@BibleTOBIBLE:Ru 1:3]]</w:t>
      </w:r>
      <w:r>
        <w:rPr>
          <w:b/>
        </w:rPr>
        <w:t>3</w:t>
      </w:r>
      <w:r>
        <w:rPr/>
        <w:t xml:space="preserve"> {{field-on:bible}}Da starb Elimelech und hinterließ Noomi mit ihren beiden Söhne.{{field-off:bible}} </w:t>
        <w:br/>
        <w:t>[[@BibleTOBIBLE:Ru 1:4]]</w:t>
      </w:r>
      <w:r>
        <w:rPr>
          <w:b/>
        </w:rPr>
        <w:t>4</w:t>
      </w:r>
      <w:r>
        <w:rPr/>
        <w:t xml:space="preserve"> {{field-on:bible}}Sie heirateten sich moabitische Frauen . Ihre Namen waren Orpa und Rut . Nach etwa zehn Jahre{{field-off:bible}} </w:t>
        <w:br/>
        <w:t>[[@BibleTOBIBLE:Ru 1:5]]</w:t>
      </w:r>
      <w:r>
        <w:rPr>
          <w:b/>
        </w:rPr>
        <w:t>5</w:t>
      </w:r>
      <w:r>
        <w:rPr/>
        <w:t xml:space="preserve"> {{field-on:bible}}starben auch Machlon und Kiljon und Noomi war ganz allein, ohne Kinder und ohne Mann.{{field-off:bible}}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2"/>
        <w:t>a</w:t>
      </w:r>
      <w:r>
        <w:rPr/>
        <w:t>Rehum der Befehlshaber und Schimschai der Schreiber schrieben einen Brief über</w:t>
      </w:r>
      <w:r>
        <w:rPr>
          <w:rStyle w:val="Funotenanker"/>
        </w:rPr>
        <w:footnoteReference w:customMarkFollows="1" w:id="13"/>
        <w:t>b</w:t>
      </w:r>
      <w:r>
        <w:rPr/>
        <w:t xml:space="preserve"> Jerusalem an König Artaxerxes</w:t>
      </w:r>
      <w:r>
        <w:rPr>
          <w:rStyle w:val="Funotenanker"/>
        </w:rPr>
        <w:footnoteReference w:customMarkFollows="1" w:id="14"/>
        <w:t>c</w:t>
      </w:r>
      <w:r>
        <w:rPr/>
        <w:t xml:space="preserve">, der im Folgenden zitiert wird.{{field-off:bible}} </w:t>
        <w:br/>
        <w:t>[[@BibleTOBIBLE:Ezr 4:9]]</w:t>
      </w:r>
      <w:r>
        <w:rPr>
          <w:b/>
        </w:rPr>
        <w:t>9</w:t>
      </w:r>
      <w:r>
        <w:rPr/>
        <w:t xml:space="preserve"> {{field-on:bible}}Die Absender:</w:t>
      </w:r>
      <w:r>
        <w:rPr>
          <w:rStyle w:val="Funotenanker"/>
        </w:rPr>
        <w:footnoteReference w:customMarkFollows="1" w:id="15"/>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6"/>
        <w:t>e</w:t>
      </w:r>
      <w:r>
        <w:rPr/>
        <w:t xml:space="preserve"> verschleppt und in den Ortschaften Samarias und in der übrigen Provinz Transeuphrat</w:t>
      </w:r>
      <w:r>
        <w:rPr>
          <w:rStyle w:val="Funotenanker"/>
        </w:rPr>
        <w:footnoteReference w:customMarkFollows="1" w:id="17"/>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18"/>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19"/>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0"/>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1"/>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2"/>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{{field-on:bible}}Damals sprachen die Propheten Haggai und Sacharja, der Sohn Iddos, gegenüber den Juden in Juda und Jerusalem Prophezeiungen im Namen des Gottes Israels aus, der über ihnen war</w:t>
      </w:r>
      <w:r>
        <w:rPr>
          <w:rStyle w:val="Funotenanker"/>
        </w:rPr>
        <w:footnoteReference w:customMarkFollows="1" w:id="23"/>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4"/>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5"/>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6"/>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27"/>
        <w:t>e</w:t>
      </w:r>
      <w:r>
        <w:rPr/>
        <w:t xml:space="preserve"> zum Haus des großen Gottes gereist sind. Es wird gerade mit Quadersteinen wieder aufgebaut, während man Holzbalken in die Wände legt.</w:t>
      </w:r>
      <w:r>
        <w:rPr>
          <w:rStyle w:val="Funotenanker"/>
        </w:rPr>
        <w:footnoteReference w:customMarkFollows="1" w:id="28"/>
        <w:t>f</w:t>
      </w:r>
      <w:r>
        <w:rPr/>
        <w:t xml:space="preserve"> Diese Arbeit wird sorgfältig</w:t>
      </w:r>
      <w:r>
        <w:rPr>
          <w:rStyle w:val="Funotenanker"/>
        </w:rPr>
        <w:footnoteReference w:customMarkFollows="1" w:id="29"/>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0"/>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1"/>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2"/>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3"/>
        <w:t>a</w:t>
      </w:r>
      <w:r>
        <w:rPr/>
        <w:t>, einer Festung in der Provinz Medien, eine Buchrolle mit folgendem Inhalt: „ ''Eine Aufzeichnung</w:t>
      </w:r>
      <w:r>
        <w:rPr>
          <w:rStyle w:val="Funotenanker"/>
        </w:rPr>
        <w:footnoteReference w:customMarkFollows="1" w:id="34"/>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5"/>
        <w:t>c</w:t>
      </w:r>
      <w:r>
        <w:rPr/>
        <w:t xml:space="preserve"> Das Haus soll wieder aufgebaut werden als eine Stätte, an der man Opfer darbringt.</w:t>
      </w:r>
      <w:r>
        <w:rPr>
          <w:rStyle w:val="Funotenanker"/>
        </w:rPr>
        <w:footnoteReference w:customMarkFollows="1" w:id="36"/>
        <w:t>d</w:t>
      </w:r>
      <w:r>
        <w:rPr/>
        <w:t xml:space="preserve"> Seine Fundamente sollen erhalten bleiben. Seine Höhe: 60 Ellen, seine Breite: 60</w:t>
      </w:r>
      <w:r>
        <w:rPr>
          <w:rStyle w:val="Funotenanker"/>
        </w:rPr>
        <w:footnoteReference w:customMarkFollows="1" w:id="37"/>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38"/>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39"/>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0"/>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1"/>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2"/>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3"/>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4"/>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5"/>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46"/>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t xml:space="preserve">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7"/>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48"/>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49"/>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0"/>
        <w:t>Status</w:t>
      </w:r>
      <w:r>
        <w:rPr/>
        <w:t xml:space="preserve"> Ein Gebet von Mose, dem Mann Gottes: </w:t>
        <w:br/>
        <w:t>Herr,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br/>
        <w:t xml:space="preserve">{{field-off:bible}} </w:t>
        <w:br/>
        <w:t>[[@BibleTOBIBLE:Ps 90:3]]</w:t>
      </w:r>
      <w:r>
        <w:rPr>
          <w:b/>
        </w:rPr>
        <w:t>3</w:t>
      </w:r>
      <w:r>
        <w:rPr/>
        <w:t xml:space="preserve"> {{field-on:bible}} </w:t>
        <w:br/>
        <w:t>Du lässt den Menschen wieder zu Erdenstaub werden. Du sprichst: „Kehrt dahin zurück, ihr Menschenkinder!“</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br/>
        <w:t xml:space="preserve">{{field-off:bible}} </w:t>
        <w:br/>
        <w:t>[[@BibleTOBIBLE:Ps 90:17]]</w:t>
      </w:r>
      <w:r>
        <w:rPr>
          <w:b/>
        </w:rPr>
        <w:t>17</w:t>
      </w:r>
      <w:r>
        <w:rPr/>
        <w:t xml:space="preserve"> {{field-on:bible}} </w:t>
        <w:br/>
        <w:t xml:space="preserve">Die Freundlichkeit Gottes, unseres </w:t>
      </w:r>
      <w:r>
        <w:rPr>
          <w:smallCaps/>
          <w:color w:val="FF0000"/>
        </w:rPr>
        <w:t>Herrn</w:t>
      </w:r>
      <w:r>
        <w:rPr/>
        <w:t>, sei über uns! Lass unserer Hände Arbeit bei uns Frucht bringen! Ja, die Arbeit unserer Hände bestätige!</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{{field-on:bible}}Ein Danklied </w:t>
        <w:br/>
        <w:t xml:space="preserve">Jubelt Gott, alle Welt! </w:t>
        <w:br/>
        <w:t xml:space="preserve">{{field-off:bible}} </w:t>
        <w:br/>
        <w:t>[[@BibleTOBIBLE:Ps 100:2]]</w:t>
      </w:r>
      <w:r>
        <w:rPr>
          <w:b/>
        </w:rPr>
        <w:t>2</w:t>
      </w:r>
      <w:r>
        <w:rPr/>
        <w:t xml:space="preserve"> {{field-on:bible}} </w:t>
        <w:br/>
        <w:t xml:space="preserve">Freut euch </w:t>
        <w:br/>
        <w:t xml:space="preserve">{{field-off:bible}} </w:t>
        <w:br/>
        <w:t>[[@BibleTOBIBLE:Ps 100:3]]</w:t>
      </w:r>
      <w:r>
        <w:rPr>
          <w:b/>
        </w:rPr>
        <w:t>3</w:t>
      </w:r>
      <w:r>
        <w:rPr/>
        <w:t xml:space="preserve"> {{field-on:bible}} </w:t>
        <w:br/>
        <w:t>und versteht: hier ist Gott.</w:t>
        <w:br/>
        <w:br/>
        <w:t>Wir verdanken unser Leben Gott. Wir gehören Gott.</w:t>
        <w:br/>
        <w:t>Gott ist immer für uns da.</w:t>
        <w:br/>
        <w:br/>
        <w:t xml:space="preserve">{{field-off:bible}} </w:t>
        <w:br/>
        <w:t>[[@BibleTOBIBLE:Ps 100:4]]</w:t>
      </w:r>
      <w:r>
        <w:rPr>
          <w:b/>
        </w:rPr>
        <w:t>4</w:t>
      </w:r>
      <w:r>
        <w:rPr/>
        <w:t xml:space="preserve"> {{field-on:bible}} </w:t>
        <w:br/>
        <w:t>Herein, kommt nur herein! Ihr seid willkommen.</w:t>
        <w:br/>
        <w:br/>
        <w:t xml:space="preserve">{{field-off:bible}} </w:t>
        <w:br/>
        <w:t>[[@BibleTOBIBLE:Ps 100:5]]</w:t>
      </w:r>
      <w:r>
        <w:rPr>
          <w:b/>
        </w:rPr>
        <w:t>5</w:t>
      </w:r>
      <w:r>
        <w:rPr/>
        <w:t xml:space="preserve"> {{field-on:bible}} </w:t>
        <w:br/>
        <w:t>Gott ist immer für uns da - für alle Menschen, zu allen Zeiten.</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1"/>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2"/>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53"/>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54"/>
        <w:t>Status</w:t>
      </w:r>
      <w:r>
        <w:rPr/>
        <w:t xml:space="preserve"> </w:t>
      </w:r>
      <w:r>
        <w:rPr>
          <w:rStyle w:val="Funotenanker"/>
        </w:rPr>
        <w:footnoteReference w:customMarkFollows="1" w:id="55"/>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56"/>
        <w:t>Status</w:t>
      </w:r>
      <w:r>
        <w:rPr/>
        <w:t xml:space="preserve"> Da sprachen die Wahrsager</w:t>
      </w:r>
      <w:r>
        <w:rPr>
          <w:rStyle w:val="Funotenanker"/>
        </w:rPr>
        <w:footnoteReference w:customMarkFollows="1" w:id="57"/>
        <w:t>a</w:t>
      </w:r>
      <w:r>
        <w:rPr/>
        <w:t xml:space="preserve"> zum König auf Aramäisch: </w:t>
      </w:r>
      <w:r>
        <w:rPr>
          <w:rStyle w:val="Funotenanker"/>
        </w:rPr>
        <w:footnoteReference w:customMarkFollows="1" w:id="58"/>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59"/>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0"/>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1"/>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2"/>
        <w:t>f</w:t>
      </w:r>
      <w:r>
        <w:rPr/>
        <w:t>, was soll dieses strenge Gesetz von seiten des Königs?“ Da klärte Arioch Daniel darüber auf, was passiert war.</w:t>
      </w:r>
      <w:r>
        <w:rPr>
          <w:rStyle w:val="Funotenanker"/>
        </w:rPr>
        <w:footnoteReference w:customMarkFollows="1" w:id="63"/>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64"/>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65"/>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66"/>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67"/>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68"/>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69"/>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0"/>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1"/>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2"/>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73"/>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74"/>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75"/>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76"/>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77"/>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78"/>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79"/>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0"/>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1"/>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2"/>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83"/>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84"/>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85"/>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86"/>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87"/>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88"/>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89"/>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0"/>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1"/>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2"/>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93"/>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94"/>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95"/>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96"/>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97"/>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98"/>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99"/>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0"/>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1"/>
        <w:t>a</w:t>
      </w:r>
      <w:r>
        <w:rPr/>
        <w:t xml:space="preserve"> kam er</w:t>
      </w:r>
      <w:r>
        <w:rPr>
          <w:rStyle w:val="Funotenanker"/>
        </w:rPr>
        <w:footnoteReference w:customMarkFollows="1" w:id="102"/>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03"/>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04"/>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05"/>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06"/>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07"/>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08"/>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09"/>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0"/>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 </w:t>
      </w:r>
      <w:r>
        <w:rPr>
          <w:rStyle w:val="Funotenanker"/>
        </w:rPr>
        <w:footnoteReference w:customMarkFollows="1" w:id="111"/>
        <w:t>Status</w:t>
      </w:r>
      <w:r>
        <w:rPr/>
        <w:t xml:space="preserve"> 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 {{field-off:bible}} </w:t>
      </w:r>
    </w:p>
    <w:p>
      <w:pPr>
        <w:pStyle w:val="Berschrift4"/>
        <w:rPr/>
      </w:pPr>
      <w:r>
        <w:rPr/>
        <w:t xml:space="preserve">Echte Nachfolge </w:t>
      </w:r>
    </w:p>
    <w:p>
      <w:pPr>
        <w:pStyle w:val="Textkrper"/>
        <w:rPr/>
      </w:pPr>
      <w:r>
        <w:rPr/>
        <w:br/>
        <w:t>[[@BibleTOBIBLE:Mt 16:21]]</w:t>
      </w:r>
      <w:r>
        <w:rPr>
          <w:b/>
        </w:rPr>
        <w:t>21</w:t>
      </w:r>
      <w:r>
        <w:rPr/>
        <w:t xml:space="preserve"> {{field-on:bible}}Von da an begann Jesus, den Jüngern immer wieder zu erklären, dass er nach Jerusalem gehen muss. Dort wird er vieles von den Ältesten und religiösen Führern und Schriftgelehrten leiden müssen, umgebracht werden und am dritten Tag wieder auferstehen.{{field-off:bible}} </w:t>
        <w:br/>
        <w:t>[[@BibleTOBIBLE:Mt 16:22]]</w:t>
      </w:r>
      <w:r>
        <w:rPr>
          <w:b/>
        </w:rPr>
        <w:t>22</w:t>
      </w:r>
      <w:r>
        <w:rPr/>
        <w:t xml:space="preserve"> {{field-on:bible}}Da nahm Petrus ihn beiseite und wollte ihn korrigieren: „Gott bewahre, Herr! Das wird dir auf gar keinen Fall so geschehen.“{{field-off:bible}} </w:t>
        <w:br/>
        <w:t>[[@BibleTOBIBLE:Mt 16:23]]</w:t>
      </w:r>
      <w:r>
        <w:rPr>
          <w:b/>
        </w:rPr>
        <w:t>23</w:t>
      </w:r>
      <w:r>
        <w:rPr/>
        <w:t xml:space="preserve"> {{field-on:bible}}Aber Jesus drehte sich um und sagte zu Petrus: „Geh weg von mir, Gegner Gottes! Was du sagst, verführt mich. Denn das sind nicht Gottes Gedanken, sondern menschliche Gedanken.“{{field-off:bible}} </w:t>
      </w:r>
    </w:p>
    <w:p>
      <w:pPr>
        <w:pStyle w:val="Berschrift3"/>
        <w:rPr/>
      </w:pPr>
      <w:r>
        <w:rPr/>
        <w:t>[[@BibleTOBIBLE:Mt 21]]Kapitel 21</w:t>
      </w:r>
    </w:p>
    <w:p>
      <w:pPr>
        <w:pStyle w:val="Textkrper"/>
        <w:rPr/>
      </w:pPr>
      <w:r>
        <w:rPr/>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3"/>
        <w:t>Status</w:t>
      </w:r>
      <w:r>
        <w:rPr/>
        <w:t xml:space="preserve"> Anfang des Evangeliums Jesu Christi, des Sohnes Gottes. {{field-off:bible}} </w:t>
      </w:r>
    </w:p>
    <w:p>
      <w:pPr>
        <w:pStyle w:val="Berschrift4"/>
        <w:rPr/>
      </w:pPr>
      <w:r>
        <w:rPr/>
        <w:t>Johannes der Täufer</w:t>
      </w:r>
    </w:p>
    <w:p>
      <w:pPr>
        <w:pStyle w:val="Textkrper"/>
        <w:rPr/>
      </w:pPr>
      <w:r>
        <w:rPr/>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 {{field-off:bible}} </w:t>
      </w:r>
    </w:p>
    <w:p>
      <w:pPr>
        <w:pStyle w:val="Berschrift4"/>
        <w:rPr/>
      </w:pPr>
      <w:r>
        <w:rPr/>
        <w:t>Jesu Taufe</w:t>
      </w:r>
    </w:p>
    <w:p>
      <w:pPr>
        <w:pStyle w:val="Textkrper"/>
        <w:rPr/>
      </w:pPr>
      <w:r>
        <w:rPr/>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 {{field-off:bible}} </w:t>
      </w:r>
    </w:p>
    <w:p>
      <w:pPr>
        <w:pStyle w:val="Berschrift4"/>
        <w:rPr/>
      </w:pPr>
      <w:r>
        <w:rPr/>
        <w:t>Die Berufung der ersten vier Jünger</w:t>
      </w:r>
    </w:p>
    <w:p>
      <w:pPr>
        <w:pStyle w:val="Textkrper"/>
        <w:rPr/>
      </w:pPr>
      <w:r>
        <w:rPr/>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 {{field-off:bible}} </w:t>
      </w:r>
    </w:p>
    <w:p>
      <w:pPr>
        <w:pStyle w:val="Berschrift4"/>
        <w:rPr/>
      </w:pPr>
      <w:r>
        <w:rPr/>
        <w:t>Jesus lehrt mit Vollmacht</w:t>
      </w:r>
    </w:p>
    <w:p>
      <w:pPr>
        <w:pStyle w:val="Textkrper"/>
        <w:rPr/>
      </w:pPr>
      <w:r>
        <w:rPr/>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 {{field-off:bible}} </w:t>
      </w:r>
    </w:p>
    <w:p>
      <w:pPr>
        <w:pStyle w:val="Berschrift4"/>
        <w:rPr/>
      </w:pPr>
      <w:r>
        <w:rPr/>
        <w:t>Jesus heilt viele Kranke</w:t>
      </w:r>
    </w:p>
    <w:p>
      <w:pPr>
        <w:pStyle w:val="Textkrper"/>
        <w:rPr/>
      </w:pPr>
      <w:r>
        <w:rPr/>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 {{field-off:bible}} </w:t>
      </w:r>
    </w:p>
    <w:p>
      <w:pPr>
        <w:pStyle w:val="Berschrift4"/>
        <w:rPr/>
      </w:pPr>
      <w:r>
        <w:rPr/>
        <w:t>Jesus predigt in ganz Galiläa</w:t>
      </w:r>
    </w:p>
    <w:p>
      <w:pPr>
        <w:pStyle w:val="Textkrper"/>
        <w:rPr/>
      </w:pPr>
      <w:r>
        <w:rPr/>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 {{field-off:bible}} </w:t>
      </w:r>
    </w:p>
    <w:p>
      <w:pPr>
        <w:pStyle w:val="Berschrift4"/>
        <w:rPr/>
      </w:pPr>
      <w:r>
        <w:rPr/>
        <w:t>Ein Geheilter bricht den Schweigebefehl</w:t>
      </w:r>
    </w:p>
    <w:p>
      <w:pPr>
        <w:pStyle w:val="Textkrper"/>
        <w:rPr/>
      </w:pPr>
      <w:r>
        <w:rPr/>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Berschrift4"/>
        <w:rPr/>
      </w:pPr>
      <w:r>
        <w:rPr/>
        <w:t>Jesus vergibt Sünden und heilt</w:t>
      </w:r>
    </w:p>
    <w:p>
      <w:pPr>
        <w:pStyle w:val="Textkrper"/>
        <w:rPr/>
      </w:pPr>
      <w:r>
        <w:rPr/>
        <w:br/>
        <w:t>[[@BibleTOBIBLE:Mk 2:1]]</w:t>
      </w:r>
      <w:r>
        <w:rPr>
          <w:b/>
        </w:rPr>
        <w:t>1</w:t>
      </w:r>
      <w:r>
        <w:rPr/>
        <w:t xml:space="preserve"> {{field-on:bible}} </w:t>
      </w:r>
      <w:r>
        <w:rPr>
          <w:rStyle w:val="Funotenanker"/>
        </w:rPr>
        <w:footnoteReference w:customMarkFollows="1" w:id="114"/>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 dass alle fassungslos waren und Gott lobten. Sie riefen: „So etwas haben wir noch nie gesehen!“ {{field-off:bible}} </w:t>
      </w:r>
    </w:p>
    <w:p>
      <w:pPr>
        <w:pStyle w:val="Berschrift4"/>
        <w:rPr/>
      </w:pPr>
      <w:r>
        <w:rPr/>
        <w:t>Jesus ist – auch – für die Sünder da</w:t>
      </w:r>
    </w:p>
    <w:p>
      <w:pPr>
        <w:pStyle w:val="Textkrper"/>
        <w:rPr/>
      </w:pPr>
      <w:r>
        <w:rPr/>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 {{field-off:bible}} </w:t>
      </w:r>
    </w:p>
    <w:p>
      <w:pPr>
        <w:pStyle w:val="Berschrift4"/>
        <w:rPr/>
      </w:pPr>
      <w:r>
        <w:rPr/>
        <w:t>Die Fastenfrage</w:t>
      </w:r>
    </w:p>
    <w:p>
      <w:pPr>
        <w:pStyle w:val="Textkrper"/>
        <w:rPr/>
      </w:pPr>
      <w:r>
        <w:rPr/>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 {{field-off:bible}} </w:t>
      </w:r>
    </w:p>
    <w:p>
      <w:pPr>
        <w:pStyle w:val="Berschrift4"/>
        <w:rPr/>
      </w:pPr>
      <w:r>
        <w:rPr/>
        <w:t>Das Sabbatgebot</w:t>
      </w:r>
    </w:p>
    <w:p>
      <w:pPr>
        <w:pStyle w:val="Textkrper"/>
        <w:rPr/>
      </w:pPr>
      <w:r>
        <w:rPr/>
        <w:br/>
        <w:t>[[@BibleTOBIBLE:Mk 2:23]]</w:t>
      </w:r>
      <w:r>
        <w:rPr>
          <w:b/>
        </w:rPr>
        <w:t>23</w:t>
      </w:r>
      <w:r>
        <w:rPr/>
        <w:t xml:space="preserve"> {{field-on:bible}}Einmal, als Jesus am Sabbat durch die Getreidefelder ging, da fingen seine Jünger an, unterwegs Ähren abzureißen.{{field-off:bible}}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15"/>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des Zwölferkreises</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16"/>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17"/>
        <w:t>b</w:t>
      </w:r>
      <w:r>
        <w:rPr/>
        <w:t xml:space="preserve"> {{field-off:bible}} </w:t>
      </w:r>
    </w:p>
    <w:p>
      <w:pPr>
        <w:pStyle w:val="Berschrift3"/>
        <w:rPr/>
      </w:pPr>
      <w:r>
        <w:rPr/>
        <w:t>[[@BibleTOBIBLE:Mk 4]]Kapitel 4</w:t>
      </w:r>
    </w:p>
    <w:p>
      <w:pPr>
        <w:pStyle w:val="Berschrift4"/>
        <w:rPr/>
      </w:pPr>
      <w:r>
        <w:rPr/>
        <w:t>Das Gleichnis vom Säen</w:t>
      </w:r>
    </w:p>
    <w:p>
      <w:pPr>
        <w:pStyle w:val="Textkrper"/>
        <w:rPr/>
      </w:pPr>
      <w:r>
        <w:rPr/>
        <w:br/>
        <w:t>[[@BibleTOBIBLE:Mk 4:1]]</w:t>
      </w:r>
      <w:r>
        <w:rPr>
          <w:b/>
        </w:rPr>
        <w:t>1</w:t>
      </w:r>
      <w:r>
        <w:rPr/>
        <w:t xml:space="preserve"> {{field-on:bible}} </w:t>
      </w:r>
      <w:r>
        <w:rPr>
          <w:rStyle w:val="Funotenanker"/>
        </w:rPr>
        <w:footnoteReference w:customMarkFollows="1" w:id="118"/>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 {{field-off:bible}} </w:t>
      </w:r>
    </w:p>
    <w:p>
      <w:pPr>
        <w:pStyle w:val="Berschrift4"/>
        <w:rPr/>
      </w:pPr>
      <w:r>
        <w:rPr/>
        <w:t>Nur Wenige verstehen</w:t>
      </w:r>
    </w:p>
    <w:p>
      <w:pPr>
        <w:pStyle w:val="Textkrper"/>
        <w:rPr/>
      </w:pPr>
      <w:r>
        <w:rPr/>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19"/>
        <w:t>a</w:t>
      </w:r>
      <w:r>
        <w:rPr/>
        <w:t xml:space="preserve"> </w:t>
      </w:r>
      <w:r>
        <w:rPr>
          <w:position w:val="8"/>
          <w:sz w:val="19"/>
        </w:rPr>
        <w:t>[[ ℘ &gt;&gt; BibleTOBIBLE:Is 6:9]]</w:t>
      </w:r>
      <w:r>
        <w:rPr/>
        <w:t xml:space="preserve"> </w:t>
        <w:br/>
        <w:t xml:space="preserve">{{field-off:bible}} </w:t>
      </w:r>
    </w:p>
    <w:p>
      <w:pPr>
        <w:pStyle w:val="Berschrift4"/>
        <w:rPr/>
      </w:pPr>
      <w:r>
        <w:rPr/>
        <w:t>Jesus erklärt das Gleichnis vom Säen</w:t>
      </w:r>
    </w:p>
    <w:p>
      <w:pPr>
        <w:pStyle w:val="Textkrper"/>
        <w:rPr/>
      </w:pPr>
      <w:r>
        <w:rPr/>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0"/>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 {{field-off:bible}} </w:t>
      </w:r>
    </w:p>
    <w:p>
      <w:pPr>
        <w:pStyle w:val="Berschrift4"/>
        <w:rPr/>
      </w:pPr>
      <w:r>
        <w:rPr/>
        <w:t>Das Gleichnis vom Samen</w:t>
      </w:r>
    </w:p>
    <w:p>
      <w:pPr>
        <w:pStyle w:val="Textkrper"/>
        <w:rPr/>
      </w:pPr>
      <w:r>
        <w:rPr/>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 {{field-off:bible}} </w:t>
      </w:r>
    </w:p>
    <w:p>
      <w:pPr>
        <w:pStyle w:val="Berschrift4"/>
        <w:rPr/>
      </w:pPr>
      <w:r>
        <w:rPr/>
        <w:t>Das Gleichnis vom Senfkorn</w:t>
      </w:r>
    </w:p>
    <w:p>
      <w:pPr>
        <w:pStyle w:val="Textkrper"/>
        <w:rPr/>
      </w:pPr>
      <w:r>
        <w:rPr/>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 {{field-off:bible}} </w:t>
      </w:r>
    </w:p>
    <w:p>
      <w:pPr>
        <w:pStyle w:val="Berschrift4"/>
        <w:rPr/>
      </w:pPr>
      <w:r>
        <w:rPr/>
        <w:t>Jesu Botschaft braucht Erklärung</w:t>
      </w:r>
    </w:p>
    <w:p>
      <w:pPr>
        <w:pStyle w:val="Textkrper"/>
        <w:rPr/>
      </w:pPr>
      <w:r>
        <w:rPr/>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 {{field-off:bible}} </w:t>
      </w:r>
    </w:p>
    <w:p>
      <w:pPr>
        <w:pStyle w:val="Berschrift4"/>
        <w:rPr/>
      </w:pPr>
      <w:r>
        <w:rPr/>
        <w:t>Die Sturmstillung</w:t>
      </w:r>
    </w:p>
    <w:p>
      <w:pPr>
        <w:pStyle w:val="Textkrper"/>
        <w:rPr/>
      </w:pPr>
      <w:r>
        <w:rPr/>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1"/>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2"/>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23"/>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24"/>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Berschrift4"/>
        <w:rPr/>
      </w:pPr>
      <w:r>
        <w:rPr/>
        <w:t>Jesus in seiner Heimat</w:t>
      </w:r>
    </w:p>
    <w:p>
      <w:pPr>
        <w:pStyle w:val="Textkrper"/>
        <w:rPr/>
      </w:pPr>
      <w:r>
        <w:rPr/>
        <w:br/>
        <w:t>[[@BibleTOBIBLE:Mk 6:1]]</w:t>
      </w:r>
      <w:r>
        <w:rPr>
          <w:b/>
        </w:rPr>
        <w:t>1</w:t>
      </w:r>
      <w:r>
        <w:rPr/>
        <w:t xml:space="preserve"> {{field-on:bible}} </w:t>
      </w:r>
      <w:r>
        <w:rPr>
          <w:rStyle w:val="Funotenanker"/>
        </w:rPr>
        <w:footnoteReference w:customMarkFollows="1" w:id="125"/>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 {{field-off:bible}} </w:t>
      </w:r>
    </w:p>
    <w:p>
      <w:pPr>
        <w:pStyle w:val="Berschrift4"/>
        <w:rPr/>
      </w:pPr>
      <w:r>
        <w:rPr/>
        <w:t>Die Zwölf predigen und heilen</w:t>
      </w:r>
    </w:p>
    <w:p>
      <w:pPr>
        <w:pStyle w:val="Textkrper"/>
        <w:rPr/>
      </w:pPr>
      <w:r>
        <w:rPr/>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 {{field-off:bible}} </w:t>
      </w:r>
    </w:p>
    <w:p>
      <w:pPr>
        <w:pStyle w:val="Berschrift4"/>
        <w:rPr/>
      </w:pPr>
      <w:r>
        <w:rPr/>
        <w:t>Johannes der Täufer ist tot</w:t>
      </w:r>
    </w:p>
    <w:p>
      <w:pPr>
        <w:pStyle w:val="Textkrper"/>
        <w:rPr/>
      </w:pPr>
      <w:r>
        <w:rPr/>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26"/>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27"/>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28"/>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29"/>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0"/>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1"/>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2"/>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33"/>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34"/>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35"/>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36"/>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br/>
        <w:t>[[@BibleTOBIBLE:Mk 12:12]]</w:t>
      </w:r>
      <w:r>
        <w:rPr>
          <w:b/>
        </w:rPr>
        <w:t>12</w:t>
      </w:r>
      <w:r>
        <w:rPr/>
        <w:t xml:space="preserve"> {{field-on:bible}}Da wollten die Schriftgelehrten Jesus verhaften. Aber sie hatten Angst vor der Menschen, denn diese merkten, dass die Schriftgelehrten mit dem Gleichnis gemeint waren. Deswegen ließen sie ihn in Ruhe und gingen davon.{{field-off:bible}} </w:t>
        <w:br/>
        <w:t>[[@BibleTOBIBLE:Mk 12:13]]</w:t>
      </w:r>
      <w:r>
        <w:rPr>
          <w:b/>
        </w:rPr>
        <w:t>13</w:t>
      </w:r>
      <w:r>
        <w:rPr/>
        <w:t xml:space="preserve"> {{field-on:bible}}Später schickten sie einige Pharisäer und Anhänger von Herodes zu Jesus, um ihn mit einer Aussage bloßzustellen.{{field-off:bible}} </w:t>
        <w:br/>
        <w:t>[[@BibleTOBIBLE:Mk 12:14]]</w:t>
      </w:r>
      <w:r>
        <w:rPr>
          <w:b/>
        </w:rPr>
        <w:t>14</w:t>
      </w:r>
      <w:r>
        <w:rPr/>
        <w:t xml:space="preserve"> {{field-on:bible}}Als sie zu ihm kamen, sprachen sie ihn an: „Lehrer, wir wissen, dass du objektiv antwortest und dich von niemandem beeinflussen lässt; du achtest nicht auf das Ansehen der Menschen, sondern lehrst wirklich ausschließlich den Willen Gottes. Erlaubt das Gesetz, dass man Steuern an den Kaiser zahlt? Sollen wir sie zahlen oder nicht?“{{field-off:bible}} </w:t>
        <w:br/>
        <w:t>[[@BibleTOBIBLE:Mk 12:15]]</w:t>
      </w:r>
      <w:r>
        <w:rPr>
          <w:b/>
        </w:rPr>
        <w:t>15</w:t>
      </w:r>
      <w:r>
        <w:rPr/>
        <w:t xml:space="preserve"> {{field-on:bible}}Doch Jesus erkannte ihre Absichten und antwortete ihnen: „Warum versucht ihr mir eine Falle zu stellen? Bringt mir einen Denar, damit ich ihn anschauen kann.“{{field-off:bible}} </w:t>
        <w:br/>
        <w:t>[[@BibleTOBIBLE:Mk 12:16]]</w:t>
      </w:r>
      <w:r>
        <w:rPr>
          <w:b/>
        </w:rPr>
        <w:t>16</w:t>
      </w:r>
      <w:r>
        <w:rPr/>
        <w:t xml:space="preserve"> {{field-on:bible}}Da brachten sie ihm einen. Und er sagte zu ihnen: „Wessen Bild und Name seht ihr darauf?“ Sie antworteten: „Die des Kaisers.“{{field-off:bible}} </w:t>
        <w:br/>
        <w:t>[[@BibleTOBIBLE:Mk 12:17]]</w:t>
      </w:r>
      <w:r>
        <w:rPr>
          <w:b/>
        </w:rPr>
        <w:t>17</w:t>
      </w:r>
      <w:r>
        <w:rPr/>
        <w:t xml:space="preserve"> {{field-on:bible}}Da sagte Jesus ihnen: „Was des Kaisers Eigentum ist, das gebt ihm zurück, und was Gottes Eigentum ist, das gebt Gott!“ Das erstaunte sie, denn diese Antwort hatten sie nicht erwartet.{{field-off:bible}} </w:t>
        <w:br/>
        <w:t>[[@BibleTOBIBLE:Mk 12:18]]</w:t>
      </w:r>
      <w:r>
        <w:rPr>
          <w:b/>
        </w:rPr>
        <w:t>18</w:t>
      </w:r>
      <w:r>
        <w:rPr/>
        <w:t xml:space="preserve"> {{field-on:bible}}Auch die Sadduzäer kamen zu ihm, die behaupten es gäbe keine Auferstehung. Sie fragten ihn:{{field-off:bible}} </w:t>
        <w:br/>
        <w:t>[[@BibleTOBIBLE:Mk 12:19]]</w:t>
      </w:r>
      <w:r>
        <w:rPr>
          <w:b/>
        </w:rPr>
        <w:t>19</w:t>
      </w:r>
      <w:r>
        <w:rPr/>
        <w:t xml:space="preserve"> {{field-on:bible}}„Lehrer, Mose hat geschrieben: »Wenn der Bruder eines Mannes verstirbt, der eine Frau ohne Kinder zurücklässt, dann soll der Mann die Frau seines verstorbenen Bruders heiraten und Nachkommen für seinen Bruder zeugen.«{{field-off:bible}} </w:t>
        <w:br/>
        <w:t>[[@BibleTOBIBLE:Mk 12:20]]</w:t>
      </w:r>
      <w:r>
        <w:rPr>
          <w:b/>
        </w:rPr>
        <w:t>20</w:t>
      </w:r>
      <w:r>
        <w:rPr/>
        <w:t xml:space="preserve"> {{field-on:bible}}Nehmen wir an es waren einmal sieben Brüder. Der erste heiratete, starb aber, bevor er und seine Frau Nachkommen bekamen.{{field-off:bible}} </w:t>
        <w:br/>
        <w:t>[[@BibleTOBIBLE:Mk 12:21]]</w:t>
      </w:r>
      <w:r>
        <w:rPr>
          <w:b/>
        </w:rPr>
        <w:t>21</w:t>
      </w:r>
      <w:r>
        <w:rPr/>
        <w:t xml:space="preserve"> {{field-on:bible}}Deswegen heiratete sein jüngerer Bruder die Frau. Aber auch er starb, bevor sie Nachkommen bekamen. Genauso der dritte.{{field-off:bible}} </w:t>
        <w:br/>
        <w:t>[[@BibleTOBIBLE:Mk 12:22]]</w:t>
      </w:r>
      <w:r>
        <w:rPr>
          <w:b/>
        </w:rPr>
        <w:t>22</w:t>
      </w:r>
      <w:r>
        <w:rPr/>
        <w:t xml:space="preserve"> {{field-on:bible}}Alle sieben Brüder hinterließen keinen Nachkommen. Zuletzt, nach allen sieben Brüdern, starb auch die Frau.{{field-off:bible}} </w:t>
        <w:br/>
        <w:t>[[@BibleTOBIBLE:Mk 12:23]]</w:t>
      </w:r>
      <w:r>
        <w:rPr>
          <w:b/>
        </w:rPr>
        <w:t>23</w:t>
      </w:r>
      <w:r>
        <w:rPr/>
        <w:t xml:space="preserve"> {{field-on:bible}}Wenn sie nun bei der Auferstehung auferstehen: Mit wem von ihnen wird die Frau verheiratet sein? Denn sie war die Frau aller sieben Brüder.“{{field-off:bible}} </w:t>
        <w:br/>
        <w:t>[[@BibleTOBIBLE:Mk 12:24]]</w:t>
      </w:r>
      <w:r>
        <w:rPr>
          <w:b/>
        </w:rPr>
        <w:t>24</w:t>
      </w:r>
      <w:r>
        <w:rPr/>
        <w:t xml:space="preserve"> {{field-on:bible}}Jesus sagte ihnen: „Liegt ihr nicht deshalb falsch, weil ihr die Schriften und Gottes Kraft nicht kennt?{{field-off:bible}} </w:t>
        <w:br/>
        <w:t>[[@BibleTOBIBLE:Mk 12:25]]</w:t>
      </w:r>
      <w:r>
        <w:rPr>
          <w:b/>
        </w:rPr>
        <w:t>25</w:t>
      </w:r>
      <w:r>
        <w:rPr/>
        <w:t xml:space="preserve"> {{field-on:bible}}Denn wenn sie auferstehen, werden sie nicht heiraten oder verheiratet sein. Sondern wie Engel in den Himmeln werden sie sein.{{field-off:bible}} </w:t>
        <w:br/>
        <w:t>[[@BibleTOBIBLE:Mk 12:26]]</w:t>
      </w:r>
      <w:r>
        <w:rPr>
          <w:b/>
        </w:rPr>
        <w:t>26</w:t>
      </w:r>
      <w:r>
        <w:rPr/>
        <w:t xml:space="preserve"> {{field-on:bible}}Bezüglich der Auferweckung der Toten – habt ihr nicht im Buch des Mose gelesen, wie Gott beim Dornbusch zu ihm sprach: »Ich bin der Gott Abrahams und der Gott Isaaks und der Gott Jakobs«?{{field-off:bible}} </w:t>
        <w:br/>
        <w:t>[[@BibleTOBIBLE:Mk 12:27]]</w:t>
      </w:r>
      <w:r>
        <w:rPr>
          <w:b/>
        </w:rPr>
        <w:t>27</w:t>
      </w:r>
      <w:r>
        <w:rPr/>
        <w:t xml:space="preserve"> {{field-on:bible}}Er ist kein Gott der Toten, sondern der Lebenden. Ihr liegt sehr falsch.“{{field-off:bible}} </w:t>
        <w:br/>
        <w:t>[[@BibleTOBIBLE:Mk 12:28]]</w:t>
      </w:r>
      <w:r>
        <w:rPr>
          <w:b/>
        </w:rPr>
        <w:t>28</w:t>
      </w:r>
      <w:r>
        <w:rPr/>
        <w:t xml:space="preserve"> {{field-on:bible}}Einer der Schriftgelehrten kam zu ihnen. Er hatte gehört wie sie diskutierten und wie gut Jesus geantwortet hatte. Deswegen fragte er Jesus: „Was ist das oberste aller Gebote?“{{field-off:bible}} </w:t>
        <w:br/>
        <w:t>[[@BibleTOBIBLE:Mk 12:29]]</w:t>
      </w:r>
      <w:r>
        <w:rPr>
          <w:b/>
        </w:rPr>
        <w:t>29</w:t>
      </w:r>
      <w:r>
        <w:rPr/>
        <w:t xml:space="preserve"> {{field-on:bible}}Jesus antwortete: „Das oberste Gebot ist: »Höre Israel: Der Herr, unser Gott, ist der einzige Herr,{{field-off:bible}} </w:t>
        <w:br/>
        <w:t>[[@BibleTOBIBLE:Mk 12:30]]</w:t>
      </w:r>
      <w:r>
        <w:rPr>
          <w:b/>
        </w:rPr>
        <w:t>30</w:t>
      </w:r>
      <w:r>
        <w:rPr/>
        <w:t xml:space="preserve"> {{field-on:bible}}liebe den Herrn, deinen Gott, aus deinem ganzem Herzen, aus deiner ganzen Seele, aus deinem ganzen Verstand und aus deiner ganzen Kraft.«{{field-off:bible}} </w:t>
        <w:br/>
        <w:t>[[@BibleTOBIBLE:Mk 12:31]]</w:t>
      </w:r>
      <w:r>
        <w:rPr>
          <w:b/>
        </w:rPr>
        <w:t>31</w:t>
      </w:r>
      <w:r>
        <w:rPr/>
        <w:t xml:space="preserve"> {{field-on:bible}}Das zweite ist das folgende ist dieses: »Liebe deinen Mitmenschen wie dich selbst!« Größer als diese beiden ist kein anderes Gebot.“{{field-off:bible}} </w:t>
        <w:br/>
        <w:t>[[@BibleTOBIBLE:Mk 12:32]]</w:t>
      </w:r>
      <w:r>
        <w:rPr>
          <w:b/>
        </w:rPr>
        <w:t>32</w:t>
      </w:r>
      <w:r>
        <w:rPr/>
        <w:t xml:space="preserve"> {{field-on:bible}}Der Schriftgelehrte sagte zu ihm: „Gute Antwort, Lehrer, du hast die Wahrheit gesagt: »Er ist der einzige und kein anderer ist neben ihm.«{{field-off:bible}} </w:t>
        <w:br/>
        <w:t>[[@BibleTOBIBLE:Mk 12:33]]</w:t>
      </w:r>
      <w:r>
        <w:rPr>
          <w:b/>
        </w:rPr>
        <w:t>33</w:t>
      </w:r>
      <w:r>
        <w:rPr/>
        <w:t xml:space="preserve"> {{field-on:bible}}Und »ihn zu lieben aus ganzem Herzen und aus ganzer Auffassungsgabe und aus ganzer Kraft und den Mitmenschen wie sich selbst zu lieben«, das ist mehr als alle Brand- und Schlachtopfer.“{{field-off:bible}} </w:t>
        <w:br/>
        <w:t>[[@BibleTOBIBLE:Mk 12:34]]</w:t>
      </w:r>
      <w:r>
        <w:rPr>
          <w:b/>
        </w:rPr>
        <w:t>34</w:t>
      </w:r>
      <w:r>
        <w:rPr/>
        <w:t xml:space="preserve"> {{field-on:bible}}Als Jesus sah, dass er verständig antwortete, sagte er zu ihm: „Du bist nicht weit weg von Gottes Reich.“ Nun wagte niemand mehr, ihn zu fragen.{{field-off:bible}} </w:t>
        <w:br/>
        <w:t>[[@BibleTOBIBLE:Mk 12:35]]</w:t>
      </w:r>
      <w:r>
        <w:rPr>
          <w:b/>
        </w:rPr>
        <w:t>35</w:t>
      </w:r>
      <w:r>
        <w:rPr/>
        <w:t xml:space="preserve"> {{field-on:bible}}Jesus sprach, als er im Tempel lehrte: „Wie können die Schriftgelehrten sagen, dass der Gesalbte der Sohn Davids ist?{{field-off:bible}} </w:t>
        <w:br/>
        <w:t>[[@BibleTOBIBLE:Mk 12:36]]</w:t>
      </w:r>
      <w:r>
        <w:rPr>
          <w:b/>
        </w:rPr>
        <w:t>36</w:t>
      </w:r>
      <w:r>
        <w:rPr/>
        <w:t xml:space="preserve"> {{field-on:bible}}David selbst sagte, vom Heiligen Geist geführt: »Der Herr sagte zu meinem Herrn. Nimm Platz zu meiner Rechten, bis ich deine Feinde unter deine Füße setze.«{{field-off:bible}} </w:t>
        <w:br/>
        <w:t>[[@BibleTOBIBLE:Mk 12:37]]</w:t>
      </w:r>
      <w:r>
        <w:rPr>
          <w:b/>
        </w:rPr>
        <w:t>37</w:t>
      </w:r>
      <w:r>
        <w:rPr/>
        <w:t xml:space="preserve"> {{field-on:bible}}David bezeichnet ihn als Herrn, wie soll er dann Sohn sein?“ Und die große Menschmenge hing gespannt an seinen Lippen.{{field-off:bible}} </w:t>
        <w:br/>
        <w:t>[[@BibleTOBIBLE:Mk 12:38]]</w:t>
      </w:r>
      <w:r>
        <w:rPr>
          <w:b/>
        </w:rPr>
        <w:t>38</w:t>
      </w:r>
      <w:r>
        <w:rPr/>
        <w:t xml:space="preserve"> {{field-on:bible}}In seiner Lehre riet er: „Hütet euch vor den Schriftgelehrten, die in schönen Roben umhergehen wollen und Begrüßungen auf den Marktplätzen{{field-off:bible}} </w:t>
        <w:br/>
        <w:t>[[@BibleTOBIBLE:Mk 12:39]]</w:t>
      </w:r>
      <w:r>
        <w:rPr>
          <w:b/>
        </w:rPr>
        <w:t>39</w:t>
      </w:r>
      <w:r>
        <w:rPr/>
        <w:t xml:space="preserve"> {{field-on:bible}}und besondere Sitzplätze in den Synagogen und bei den Festmählern begehren.{{field-off:bible}} </w:t>
        <w:br/>
        <w:t>[[@BibleTOBIBLE:Mk 12:40]]</w:t>
      </w:r>
      <w:r>
        <w:rPr>
          <w:b/>
        </w:rPr>
        <w:t>40</w:t>
      </w:r>
      <w:r>
        <w:rPr/>
        <w:t xml:space="preserve"> {{field-on:bible}}Diejenigen, welche die Haushälte der Witwen verschlingen und um den Schein zu wahren besonders lange beten, sie werden ein umfangreicheres Urteil erhalten.“{{field-off:bible}} </w:t>
        <w:br/>
        <w:t>[[@BibleTOBIBLE:Mk 12:41]]</w:t>
      </w:r>
      <w:r>
        <w:rPr>
          <w:b/>
        </w:rPr>
        <w:t>41</w:t>
      </w:r>
      <w:r>
        <w:rPr/>
        <w:t xml:space="preserve"> {{field-on:bible}}Und er setzte sich gegenüber dem Opferkasten und beobachtete, wie die Menschen ihre Opfergaben machten; viele Reiche warfen viel ein.{{field-off:bible}} </w:t>
        <w:br/>
        <w:t>[[@BibleTOBIBLE:Mk 12:42]]</w:t>
      </w:r>
      <w:r>
        <w:rPr>
          <w:b/>
        </w:rPr>
        <w:t>42</w:t>
      </w:r>
      <w:r>
        <w:rPr/>
        <w:t xml:space="preserve"> {{field-on:bible}}Da kam eine arme Witwe alleine und warf zwei Lepta ein, das entspricht einem Quadrans.{{field-off:bible}} </w:t>
        <w:br/>
        <w:t>[[@BibleTOBIBLE:Mk 12:43]]</w:t>
      </w:r>
      <w:r>
        <w:rPr>
          <w:b/>
        </w:rPr>
        <w:t>43</w:t>
      </w:r>
      <w:r>
        <w:rPr/>
        <w:t xml:space="preserve"> {{field-on:bible}}Jesus rief seine Jünger zu sich und sagte zu ihnen: „Amen, eines sage ich euch: Diese arme Witwe hat mehr in den Opferkasten geworfen, als alle, die vor ihr etwas eingeworfen haben.{{field-off:bible}} </w:t>
        <w:br/>
        <w:t>[[@BibleTOBIBLE:Mk 12:44]]</w:t>
      </w:r>
      <w:r>
        <w:rPr>
          <w:b/>
        </w:rPr>
        <w:t>44</w:t>
      </w:r>
      <w:r>
        <w:rPr/>
        <w:t xml:space="preserve"> {{field-on:bible}}Denn alle haben einen Teil aus ihrem Überfluss eingeworfen, aber sie warf von ihrem Mangel alles ein, was sie besaß,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37"/>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darauf,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38"/>
        <w:t>a</w:t>
      </w:r>
      <w:r>
        <w:rPr/>
        <w:t xml:space="preserve"> {{field-off:bible}} </w:t>
      </w:r>
    </w:p>
    <w:p>
      <w:pPr>
        <w:pStyle w:val="Berschrift3"/>
        <w:rPr/>
      </w:pPr>
      <w:r>
        <w:rPr/>
        <w:t>[[@BibleTOBIBLE:Mk 15]]Kapitel 15</w:t>
      </w:r>
    </w:p>
    <w:p>
      <w:pPr>
        <w:pStyle w:val="Berschrift4"/>
        <w:rPr/>
      </w:pPr>
      <w:r>
        <w:rPr/>
        <w:t>Jesus vor Pilatus</w:t>
      </w:r>
    </w:p>
    <w:p>
      <w:pPr>
        <w:pStyle w:val="Textkrper"/>
        <w:rPr/>
      </w:pPr>
      <w:r>
        <w:rPr/>
        <w:br/>
        <w:t>[[@BibleTOBIBLE:Mk 15:1]]</w:t>
      </w:r>
      <w:r>
        <w:rPr>
          <w:b/>
        </w:rPr>
        <w:t>1</w:t>
      </w:r>
      <w:r>
        <w:rPr/>
        <w:t xml:space="preserve"> {{field-on:bible}}Und dann früh am Morgen, nachdem sich die Hohepriester mit den Ältesten und Schriftgelehrten und dem gesamten hohen Rat beraten hatten und nachdem sie Jesus fesseln liessen, führten sie ihn ab und lieferten ihn an Pilatus aus.{{field-off:bible}} </w:t>
        <w:br/>
        <w:t>[[@BibleTOBIBLE:Mk 15:2]]</w:t>
      </w:r>
      <w:r>
        <w:rPr>
          <w:b/>
        </w:rPr>
        <w:t>2</w:t>
      </w:r>
      <w:r>
        <w:rPr/>
        <w:t xml:space="preserve"> {{field-on:bible}}Und Pilatus fragte ihn: „Bist etwa du der König der Juden?“ Er antwortete ihm: „Du selbst sagst das.“{{field-off:bible}} </w:t>
        <w:br/>
        <w:t>[[@BibleTOBIBLE:Mk 15:3]]</w:t>
      </w:r>
      <w:r>
        <w:rPr>
          <w:b/>
        </w:rPr>
        <w:t>3</w:t>
      </w:r>
      <w:r>
        <w:rPr/>
        <w:t xml:space="preserve"> {{field-on:bible}}Da brachten die Hohepriester viele Anklagen gegen ihn vor.{{field-off:bible}} </w:t>
        <w:br/>
        <w:t>[[@BibleTOBIBLE:Mk 15:4]]</w:t>
      </w:r>
      <w:r>
        <w:rPr>
          <w:b/>
        </w:rPr>
        <w:t>4</w:t>
      </w:r>
      <w:r>
        <w:rPr/>
        <w:t xml:space="preserve"> {{field-on:bible}}Und Pilatus fragte ihn erneut: „Gibst du keine Antwort? Sieh doch, wie fest sie dich beschuldigen!“{{field-off:bible}} </w:t>
        <w:br/>
        <w:t>[[@BibleTOBIBLE:Mk 15:5]]</w:t>
      </w:r>
      <w:r>
        <w:rPr>
          <w:b/>
        </w:rPr>
        <w:t>5</w:t>
      </w:r>
      <w:r>
        <w:rPr/>
        <w:t xml:space="preserve"> {{field-on:bible}}Jesus gab aber keine Antwort mehr, worüber Pilatus sich wunderte. {{field-off:bible}} </w:t>
      </w:r>
    </w:p>
    <w:p>
      <w:pPr>
        <w:pStyle w:val="Berschrift4"/>
        <w:rPr/>
      </w:pPr>
      <w:r>
        <w:rPr/>
        <w:t>Jesus wird zum Tod verurteilt</w:t>
      </w:r>
    </w:p>
    <w:p>
      <w:pPr>
        <w:pStyle w:val="Textkrper"/>
        <w:rPr/>
      </w:pPr>
      <w:r>
        <w:rPr/>
        <w:br/>
        <w:t>[[@BibleTOBIBLE:Mk 15:6]]</w:t>
      </w:r>
      <w:r>
        <w:rPr>
          <w:b/>
        </w:rPr>
        <w:t>6</w:t>
      </w:r>
      <w:r>
        <w:rPr/>
        <w:t xml:space="preserve"> {{field-on:bible}}Nun war es aber so, dass Pilatus anlässlich des Festes einen Gefangenen freiliess, den das Volk bestimmte.{{field-off:bible}} </w:t>
        <w:br/>
        <w:t>[[@BibleTOBIBLE:Mk 15:7]]</w:t>
      </w:r>
      <w:r>
        <w:rPr>
          <w:b/>
        </w:rPr>
        <w:t>7</w:t>
      </w:r>
      <w:r>
        <w:rPr/>
        <w:t xml:space="preserve"> {{field-on:bible}}Es gab aber einen, der Barabbas genannt wurde, dieser wurde zusammen mit den Aufständischen festgenommen, welche während des Aufstandes einen Mord begangen hatten.{{field-off:bible}} </w:t>
        <w:br/>
        <w:t>[[@BibleTOBIBLE:Mk 15:8]]</w:t>
      </w:r>
      <w:r>
        <w:rPr>
          <w:b/>
        </w:rPr>
        <w:t>8</w:t>
      </w:r>
      <w:r>
        <w:rPr/>
        <w:t xml:space="preserve"> {{field-on:bible}}Und die Menschenmenge zog zu Pilatus hinauf und begann ihn darum zu bitten, auch wieder so zu handeln, wie er es bisher für sie getan hatte.{{field-off:bible}} </w:t>
        <w:br/>
        <w:t>[[@BibleTOBIBLE:Mk 15:9]]</w:t>
      </w:r>
      <w:r>
        <w:rPr>
          <w:b/>
        </w:rPr>
        <w:t>9</w:t>
      </w:r>
      <w:r>
        <w:rPr/>
        <w:t xml:space="preserve"> {{field-on:bible}}Und Pilatus antwortete ihnen: „Wollt ihr, dass ich euch den »König der Juden« freilasse?“{{field-off:bible}} </w:t>
        <w:br/>
        <w:t>[[@BibleTOBIBLE:Mk 15:10]]</w:t>
      </w:r>
      <w:r>
        <w:rPr>
          <w:b/>
        </w:rPr>
        <w:t>10</w:t>
      </w:r>
      <w:r>
        <w:rPr/>
        <w:t xml:space="preserve"> {{field-on:bible}}Denn er wusste, dass die Hohepriester ihn aus Neid überliefert hatten.{{field-off:bible}} </w:t>
        <w:br/>
        <w:t>[[@BibleTOBIBLE:Mk 15:11]]</w:t>
      </w:r>
      <w:r>
        <w:rPr>
          <w:b/>
        </w:rPr>
        <w:t>11</w:t>
      </w:r>
      <w:r>
        <w:rPr/>
        <w:t xml:space="preserve"> {{field-on:bible}}Die Hohepriester aber stifteten die Menschenmenge dazu an, vielmehr die Freilassung von Barabbas zu fordern.{{field-off:bible}} </w:t>
        <w:br/>
        <w:t>[[@BibleTOBIBLE:Mk 15:12]]</w:t>
      </w:r>
      <w:r>
        <w:rPr>
          <w:b/>
        </w:rPr>
        <w:t>12</w:t>
      </w:r>
      <w:r>
        <w:rPr/>
        <w:t xml:space="preserve"> {{field-on:bible}}Und Pilatus sprach erneut zu ihnen und sagte: „Was wollt ihr denn, dass ich mit dem mache, den ihr den »König der Juden« nennt?“</w:t>
      </w:r>
      <w:r>
        <w:rPr>
          <w:rStyle w:val="Funotenanker"/>
        </w:rPr>
        <w:footnoteReference w:customMarkFollows="1" w:id="13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ausgepeitscht hatte, damit er gekreuzigt werde.{{field-off:bible}} </w:t>
        <w:br/>
        <w:t>[[@BibleTOBIBLE:Mk 15:16]]</w:t>
      </w:r>
      <w:r>
        <w:rPr>
          <w:b/>
        </w:rPr>
        <w:t>16</w:t>
      </w:r>
      <w:r>
        <w:rPr/>
        <w:t xml:space="preserve"> {{field-on:bible}}Und die Soldaten führten ihn in den Hof – das ist das sogenannte Prätorium – und riefen die gesamte Truppe zusammen.{{field-off:bible}} </w:t>
        <w:br/>
        <w:t>[[@BibleTOBIBLE:Mk 15:17]]</w:t>
      </w:r>
      <w:r>
        <w:rPr>
          <w:b/>
        </w:rPr>
        <w:t>17</w:t>
      </w:r>
      <w:r>
        <w:rPr/>
        <w:t xml:space="preserve"> {{field-on:bible}}Und sie zogen ihm einen Purpurmantel an, flochten eine Krone aus Dornenpflanzen und setzen sie ihm auf.{{field-off:bible}} </w:t>
        <w:br/>
        <w:t>[[@BibleTOBIBLE:Mk 15:18]]</w:t>
      </w:r>
      <w:r>
        <w:rPr>
          <w:b/>
        </w:rPr>
        <w:t>18</w:t>
      </w:r>
      <w:r>
        <w:rPr/>
        <w:t xml:space="preserve"> {{field-on:bible}}Und sie begannen, ihn zu grüßen: „Sei gegrüßt, König der Juden!“{{field-off:bible}} </w:t>
        <w:br/>
        <w:t>[[@BibleTOBIBLE:Mk 15:19]]</w:t>
      </w:r>
      <w:r>
        <w:rPr>
          <w:b/>
        </w:rPr>
        <w:t>19</w:t>
      </w:r>
      <w:r>
        <w:rPr/>
        <w:t xml:space="preserve"> {{field-on:bible}}Und sie schlugen seinen Kopf mit einem Rohr und bespuckten ihn. Und sie gingen auf die Knie und beteten</w:t>
      </w:r>
      <w:r>
        <w:rPr>
          <w:rStyle w:val="Funotenanker"/>
        </w:rPr>
        <w:footnoteReference w:customMarkFollows="1" w:id="140"/>
        <w:t>b</w:t>
      </w:r>
      <w:r>
        <w:rPr/>
        <w:t xml:space="preserve"> ihn an.{{field-off:bible}} </w:t>
        <w:br/>
        <w:t>[[@BibleTOBIBLE:Mk 15:20]]</w:t>
      </w:r>
      <w:r>
        <w:rPr>
          <w:b/>
        </w:rPr>
        <w:t>20</w:t>
      </w:r>
      <w:r>
        <w:rPr/>
        <w:t xml:space="preserve"> {{field-on:bible}}Und als sie ihn verspottet hatten, zogen sie ihm den Purpurmantel aus und sie zogen ihm seine Kleider an. Dann führen sie ihn ab, um ihn zu kreuzigen. {{field-off:bible}} </w:t>
      </w:r>
    </w:p>
    <w:p>
      <w:pPr>
        <w:pStyle w:val="Berschrift4"/>
        <w:rPr/>
      </w:pPr>
      <w:r>
        <w:rPr/>
        <w:t>Jesus wird gekreuzigt</w:t>
      </w:r>
    </w:p>
    <w:p>
      <w:pPr>
        <w:pStyle w:val="Textkrper"/>
        <w:rPr/>
      </w:pPr>
      <w:r>
        <w:rPr/>
        <w:br/>
        <w:t>[[@BibleTOBIBLE:Mk 15:21]]</w:t>
      </w:r>
      <w:r>
        <w:rPr>
          <w:b/>
        </w:rPr>
        <w:t>21</w:t>
      </w:r>
      <w:r>
        <w:rPr/>
        <w:t xml:space="preserve"> {{field-on:bible}}Und sie zwangen einen Passanten, einen gewissen Simon von Kyrene, der vom Feld kam, Vater von Alexander und Rufus, damit er dessen Kreuz träge.{{field-off:bible}} </w:t>
        <w:br/>
        <w:t>[[@BibleTOBIBLE:Mk 15:22]]</w:t>
      </w:r>
      <w:r>
        <w:rPr>
          <w:b/>
        </w:rPr>
        <w:t>22</w:t>
      </w:r>
      <w:r>
        <w:rPr/>
        <w:t xml:space="preserve"> {{field-on:bible}}Und sie brachten ihn zu dem Ort Golgata – das heißt übersetzt: Ort des Schädels.{{field-off:bible}} </w:t>
        <w:br/>
        <w:t>[[@BibleTOBIBLE:Mk 15:23]]</w:t>
      </w:r>
      <w:r>
        <w:rPr>
          <w:b/>
        </w:rPr>
        <w:t>23</w:t>
      </w:r>
      <w:r>
        <w:rPr/>
        <w:t xml:space="preserve"> {{field-on:bible}}Und sie gaben ihm Wein, der mit Myrrhe vermischt war, er aber nahm ihn nicht.{{field-off:bible}} </w:t>
        <w:br/>
        <w:t>[[@BibleTOBIBLE:Mk 15:24]]</w:t>
      </w:r>
      <w:r>
        <w:rPr>
          <w:b/>
        </w:rPr>
        <w:t>24</w:t>
      </w:r>
      <w:r>
        <w:rPr/>
        <w:t xml:space="preserve"> {{field-on:bible}}Und sie kreuzigen ihn und teilten seine Kleider, indem sie darüber ein Los warfen</w:t>
      </w:r>
      <w:r>
        <w:rPr>
          <w:rStyle w:val="Funotenanker"/>
        </w:rPr>
        <w:footnoteReference w:customMarkFollows="1" w:id="141"/>
        <w:t>c</w:t>
      </w:r>
      <w:r>
        <w:rPr/>
        <w:t xml:space="preserve">.{{field-off:bible}}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ihm geschrieben: </w:t>
        <w:br/>
        <w:t>Der König der Juden.</w:t>
        <w:br/>
        <w:t xml:space="preserve">{{field-off:bible}} </w:t>
      </w:r>
    </w:p>
    <w:p>
      <w:pPr>
        <w:pStyle w:val="Berschrift4"/>
        <w:rPr/>
      </w:pPr>
      <w:r>
        <w:rPr/>
        <w:t>Die beiden Verbrecher am Kreuz</w:t>
      </w:r>
    </w:p>
    <w:p>
      <w:pPr>
        <w:pStyle w:val="Textkrper"/>
        <w:rPr/>
      </w:pPr>
      <w:r>
        <w:rPr/>
        <w:br/>
        <w:t>[[@BibleTOBIBLE:Mk 15:27]]</w:t>
      </w:r>
      <w:r>
        <w:rPr>
          <w:b/>
        </w:rPr>
        <w:t>27</w:t>
      </w:r>
      <w:r>
        <w:rPr/>
        <w:t xml:space="preserve"> {{field-on:bible}}Und zusammen mit ihm kreuzigten sie zwei Verbrecher, einen zur seiner Rechten und einen zur seiner Linken. </w:t>
      </w:r>
      <w:r>
        <w:rPr>
          <w:rStyle w:val="Funotenanker"/>
        </w:rPr>
        <w:footnoteReference w:customMarkFollows="1" w:id="142"/>
        <w:t>d</w:t>
      </w:r>
      <w:r>
        <w:rPr/>
        <w:t xml:space="preserve"> {{field-off:bible}} </w:t>
        <w:br/>
        <w:t>[[@BibleTOBIBLE:Mk 15:29]]</w:t>
      </w:r>
      <w:r>
        <w:rPr>
          <w:b/>
        </w:rPr>
        <w:t>29</w:t>
      </w:r>
      <w:r>
        <w:rPr/>
        <w:t xml:space="preserve"> {{field-on:bible}}Und die Vobeilaufenden, lästerten über ihn, schüttelten ihre Köpfe und sagten: „Aha! Wenn du den Tempel niederreißen und in drei Tagen aufbauen willst,{{field-off:bible}} </w:t>
        <w:br/>
        <w:t>[[@BibleTOBIBLE:Mk 15:30]]</w:t>
      </w:r>
      <w:r>
        <w:rPr>
          <w:b/>
        </w:rPr>
        <w:t>30</w:t>
      </w:r>
      <w:r>
        <w:rPr/>
        <w:t xml:space="preserve"> {{field-on:bible}}dann rette dich selbst, indem du von dem Kreuz herabsteigst!“{{field-off:bible}} </w:t>
        <w:br/>
        <w:t>[[@BibleTOBIBLE:Mk 15:31]]</w:t>
      </w:r>
      <w:r>
        <w:rPr>
          <w:b/>
        </w:rPr>
        <w:t>31</w:t>
      </w:r>
      <w:r>
        <w:rPr/>
        <w:t xml:space="preserve"> {{field-on:bible}}Genauso spotteten auch die Hohepriester und die Schriftgelehrten miteinander: „Andere hat er gerettet, sich selbst kann er nicht retten.{{field-off:bible}} </w:t>
        <w:br/>
        <w:t>[[@BibleTOBIBLE:Mk 15:32]]</w:t>
      </w:r>
      <w:r>
        <w:rPr>
          <w:b/>
        </w:rPr>
        <w:t>32</w:t>
      </w:r>
      <w:r>
        <w:rPr/>
        <w:t xml:space="preserve"> {{field-on:bible}}Der Retter, der König Israels, er soll jetzt von dem Kreuz herabsteigen, damit wir sehen und glauben!“ Und die Mitgekreuzigten beleidigten ihn auch. {{field-off:bible}} </w:t>
      </w:r>
    </w:p>
    <w:p>
      <w:pPr>
        <w:pStyle w:val="Berschrift4"/>
        <w:rPr/>
      </w:pPr>
      <w:r>
        <w:rPr/>
        <w:t>Jesus stirbt</w:t>
      </w:r>
    </w:p>
    <w:p>
      <w:pPr>
        <w:pStyle w:val="Textkrper"/>
        <w:rPr/>
      </w:pPr>
      <w:r>
        <w:rPr/>
        <w:br/>
        <w:t>[[@BibleTOBIBLE:Mk 15:33]]</w:t>
      </w:r>
      <w:r>
        <w:rPr>
          <w:b/>
        </w:rPr>
        <w:t>33</w:t>
      </w:r>
      <w:r>
        <w:rPr/>
        <w:t xml:space="preserve"> {{field-on:bible}}Und zur sechsten Stunde, begann eine Finsternis über dem ganzen Land, die bis zur neunten Stunde andauerte.{{field-off:bible}} </w:t>
        <w:br/>
        <w:t>[[@BibleTOBIBLE:Mk 15:34]]</w:t>
      </w:r>
      <w:r>
        <w:rPr>
          <w:b/>
        </w:rPr>
        <w:t>34</w:t>
      </w:r>
      <w:r>
        <w:rPr/>
        <w:t xml:space="preserve"> {{field-on:bible}}Und zur neunten Stunde rief Jesus mit lauter Stimme: „Eloi, eloi, lema sabachthani?“ Das heißt übersetzt: „Mein Gott, mein Gott, warum hast du mich verlassen?“{{field-off:bible}} </w:t>
        <w:br/>
        <w:t>[[@BibleTOBIBLE:Mk 15:35]]</w:t>
      </w:r>
      <w:r>
        <w:rPr>
          <w:b/>
        </w:rPr>
        <w:t>35</w:t>
      </w:r>
      <w:r>
        <w:rPr/>
        <w:t xml:space="preserve"> {{field-on:bible}}Und als einige der Beistehenden dies hörten, sprachen sie: „Seht doch, er ruft Elia.“{{field-off:bible}}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3"/>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4"/>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5"/>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Sohn zur Welt, ihr erstes Kind, wickelte ihn in Windeln und legte ihn in einen Futtertrog, weil es in der Unterkunft für sie keinen Platz mehr gab</w:t>
      </w:r>
      <w:r>
        <w:rPr>
          <w:rStyle w:val="Funotenanker"/>
        </w:rPr>
        <w:footnoteReference w:customMarkFollows="1" w:id="146"/>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47"/>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48"/>
        <w:t>Status</w:t>
      </w:r>
      <w:r>
        <w:rPr/>
        <w:t xml:space="preserve"> Im fünfzehnten Herrschaftsjahr des Kaisers Tiberius, als Pontius Pilatus über Judäa herrschte und als Herodes Vierfürst über Galiläa war, sein Bruder Philippus Vierfürst über Ituräa und das trachonitische Gebiet war und Lysanias Vierfürst über Abilene,{{field-off:bible}} </w:t>
        <w:br/>
        <w:t>[[@BibleTOBIBLE:Lk 3:2]]</w:t>
      </w:r>
      <w:r>
        <w:rPr>
          <w:b/>
        </w:rPr>
        <w:t>2</w:t>
      </w:r>
      <w:r>
        <w:rPr/>
        <w:t xml:space="preserve"> {{field-on:bible}}zur Zeit der Hohenpriester Hannas und Kajaphas –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antwortete er jeweils: „Wer zwei Untergewänder hat, teile mit dem, der keines hat, und wer Essen hat, tue ebenso.“{{field-off:bible}} </w:t>
        <w:br/>
        <w:t>[[@BibleTOBIBLE:Lk 3:12]]</w:t>
      </w:r>
      <w:r>
        <w:rPr>
          <w:b/>
        </w:rPr>
        <w:t>12</w:t>
      </w:r>
      <w:r>
        <w:rPr/>
        <w:t xml:space="preserve"> {{field-on:bible}}Es kamen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{{field-on:bible}}Dann wiederum war die Volksmenge erwartungsvoll und sie überlegten in ihren Herzen, dass Johannes vielleicht der Messias sei.{{field-off:bible}} </w:t>
        <w:br/>
        <w:t>[[@BibleTOBIBLE:Lk 3:16]]</w:t>
      </w:r>
      <w:r>
        <w:rPr>
          <w:b/>
        </w:rPr>
        <w:t>16</w:t>
      </w:r>
      <w:r>
        <w:rPr/>
        <w:t xml:space="preserve"> {{field-on:bible}}Johannes antwortete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{{field-on:bible}}Einer von den Pharisäern und führenden Juden</w:t>
      </w:r>
      <w:r>
        <w:rPr>
          <w:rStyle w:val="Funotenanker"/>
        </w:rPr>
        <w:footnoteReference w:customMarkFollows="1" w:id="149"/>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{{field-on:bible}}Schließlich kam das Fest der Ernte. Alle Jünger Jesu haben sich getroffen.{{field-off:bible}} </w:t>
        <w:br/>
        <w:t>[[@BibleTOBIBLE:Ac 2:2]]</w:t>
      </w:r>
      <w:r>
        <w:rPr>
          <w:b/>
        </w:rPr>
        <w:t>2</w:t>
      </w:r>
      <w:r>
        <w:rPr/>
        <w:t xml:space="preserve"> {{field-on:bible}}Da hörte man plötzlich einen heftigen Wind von oben kommen. Das ganze Haus, indem sie waren, war voll davon.{{field-off:bible}} </w:t>
        <w:br/>
        <w:t>[[@BibleTOBIBLE:Ac 2:3]]</w:t>
      </w:r>
      <w:r>
        <w:rPr>
          <w:b/>
        </w:rPr>
        <w:t>3</w:t>
      </w:r>
      <w:r>
        <w:rPr/>
        <w:t xml:space="preserve"> {{field-on:bible}}Sie sahen, wie sich Feuerflammen auf sie verteilten.{{field-off:bible}} </w:t>
        <w:br/>
        <w:t>[[@BibleTOBIBLE:Ac 2:4]]</w:t>
      </w:r>
      <w:r>
        <w:rPr>
          <w:b/>
        </w:rPr>
        <w:t>4</w:t>
      </w:r>
      <w:r>
        <w:rPr/>
        <w:t xml:space="preserve"> {{field-on:bible}}Alle bekamen den Heiligen Geist und fingen an, in Sprachen zu sprechen, so wie der Geist sie inspirierte.{{field-off:bible}}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0"/>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1"/>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2"/>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Abrahams Kinder sind.{{field-off:bible}} </w:t>
        <w:br/>
        <w:t>[[@BibleTOBIBLE:Ga 3:8]]</w:t>
      </w:r>
      <w:r>
        <w:rPr>
          <w:b/>
        </w:rPr>
        <w:t>8</w:t>
      </w:r>
      <w:r>
        <w:rPr/>
        <w:t xml:space="preserve"> {{field-on:bible}}Die Schrift sagt aber vorher, dass Gott auch die nicht-jüdischen Völker gerecht macht, wenn sie an ihn glauben, sie sagt Abraham voraus: „Durch dich werden alle Völker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Völker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Gottes Kinder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53"/>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54"/>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55"/>
        <w:t>Status</w:t>
      </w:r>
      <w:r>
        <w:rPr/>
        <w:t xml:space="preserve"> Von Jakobus, einem Knecht Gottes und des Herrn Jesus Christus, an die zerstreuten zwölf Stämme Israels.</w:t>
      </w:r>
      <w:r>
        <w:rPr>
          <w:rStyle w:val="Funotenanker"/>
        </w:rPr>
        <w:footnoteReference w:customMarkFollows="1" w:id="156"/>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57"/>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58"/>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59"/>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0"/>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rStyle w:val="Funotenzeichen"/>
        </w:rPr>
        <w:footnoteRef/>
      </w:r>
      <w:r>
        <w:rPr/>
        <w:tab/>
        <w:t xml:space="preserve">Die meisten Übersetzungen haben hier „Geist Gottes“. Dieser wird nach einer alten christlichen Tradition häufig mit dem Heiligen Geist identifiziert (so z.B. schon </w:t>
      </w:r>
      <w:hyperlink r:id="rId1">
        <w:r>
          <w:rPr>
            <w:rStyle w:val="Internetverknpfung"/>
          </w:rPr>
          <w:t>Basilius, Hexaemeron 2,6</w:t>
        </w:r>
      </w:hyperlink>
      <w:r>
        <w:rPr/>
        <w:t>).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3">
    <w:p>
      <w:pPr>
        <w:pStyle w:val="Funote"/>
        <w:rPr/>
      </w:pPr>
      <w:r>
        <w:rPr>
          <w:rStyle w:val="Funotenzeichen"/>
        </w:rPr>
        <w:footnoteRef/>
      </w:r>
      <w:r>
        <w:rPr/>
        <w:tab/>
        <w:t>[Status: Ungeprüft]</w:t>
      </w:r>
    </w:p>
  </w:footnote>
  <w:footnote w:id="4">
    <w:p>
      <w:pPr>
        <w:pStyle w:val="Funote"/>
        <w:rPr/>
      </w:pPr>
      <w:r>
        <w:rPr>
          <w:rStyle w:val="Funotenzeichen"/>
        </w:rPr>
        <w:footnoteRef/>
      </w:r>
      <w:r>
        <w:rPr/>
        <w:tab/>
        <w:t>Tragakant ist eine pflanzlich gewonnene, gummiartige Substanz, die im Altertum u.a. bei der Herstellung von Räucherwerk, Arzneien und Kosmetikprodukten Verwendung fand.</w:t>
      </w:r>
    </w:p>
  </w:footnote>
  <w:footnote w:id="5">
    <w:p>
      <w:pPr>
        <w:pStyle w:val="Funote"/>
        <w:rPr/>
      </w:pPr>
      <w:r>
        <w:rPr>
          <w:rStyle w:val="Funotenzeichen"/>
        </w:rPr>
        <w:footnoteRef/>
      </w:r>
      <w:r>
        <w:rPr/>
        <w:tab/>
        <w:t>Ladanum ist ein Pflanzenharz, das u.a. als Heilmittel für Atem- und Verdauungsprobleme verwendet wurde.</w:t>
      </w:r>
    </w:p>
  </w:footnote>
  <w:footnote w:id="6">
    <w:p>
      <w:pPr>
        <w:pStyle w:val="Funote"/>
        <w:rPr/>
      </w:pPr>
      <w:r>
        <w:rPr>
          <w:rStyle w:val="Funotenzeichen"/>
        </w:rPr>
        <w:footnoteRef/>
      </w:r>
      <w:r>
        <w:rPr/>
        <w:tab/>
        <w:t>Vgl. Gen 4:10, wo nach Abels Tod die „Stimme seines Blutes“ vom Ackerboden her den Klageruf erhebt und von Gott erhört wird.</w:t>
      </w:r>
    </w:p>
  </w:footnote>
  <w:footnote w:id="7">
    <w:p>
      <w:pPr>
        <w:pStyle w:val="Funote"/>
        <w:rPr/>
      </w:pPr>
      <w:r>
        <w:rPr>
          <w:rStyle w:val="Funotenzeichen"/>
        </w:rPr>
        <w:footnoteRef/>
      </w:r>
      <w:r>
        <w:rPr/>
        <w:tab/>
        <w:t>Im alten Orient war das Zerreißen der eigenen Kleidung eine Trauergeste</w:t>
      </w:r>
    </w:p>
  </w:footnote>
  <w:footnote w:id="8">
    <w:p>
      <w:pPr>
        <w:pStyle w:val="Funote"/>
        <w:rPr/>
      </w:pPr>
      <w:r>
        <w:rPr>
          <w:rStyle w:val="Funotenzeichen"/>
        </w:rPr>
        <w:footnoteRef/>
      </w:r>
      <w:r>
        <w:rPr/>
        <w:tab/>
        <w:t>[Status: Ungeprüft]</w:t>
      </w:r>
    </w:p>
  </w:footnote>
  <w:footnote w:id="9">
    <w:p>
      <w:pPr>
        <w:pStyle w:val="Funote"/>
        <w:rPr/>
      </w:pPr>
      <w:r>
        <w:rPr>
          <w:rStyle w:val="Funotenzeichen"/>
        </w:rPr>
        <w:footnoteRef/>
      </w:r>
      <w:r>
        <w:rPr/>
        <w:tab/>
        <w:t>[Status: Ungeprüft]</w:t>
      </w:r>
    </w:p>
  </w:footnote>
  <w:footnote w:id="10">
    <w:p>
      <w:pPr>
        <w:pStyle w:val="Funote"/>
        <w:rPr/>
      </w:pPr>
      <w:r>
        <w:rPr>
          <w:rStyle w:val="Funotenzeichen"/>
        </w:rPr>
        <w:footnoteRef/>
      </w:r>
      <w:r>
        <w:rPr/>
        <w:tab/>
        <w:t>[Status: Ungeprüft]</w:t>
      </w:r>
    </w:p>
  </w:footnote>
  <w:footnote w:id="11">
    <w:p>
      <w:pPr>
        <w:pStyle w:val="Funote"/>
        <w:rPr/>
      </w:pPr>
      <w:r>
        <w:rPr>
          <w:rStyle w:val="Funotenzeichen"/>
        </w:rPr>
        <w:footnoteRef/>
      </w:r>
      <w:r>
        <w:rPr/>
        <w:tab/>
        <w:t>wörtlich: "Zur Zeit der Richter".</w:t>
      </w:r>
    </w:p>
  </w:footnote>
  <w:footnote w:id="12">
    <w:p>
      <w:pPr>
        <w:pStyle w:val="Funote"/>
        <w:rPr/>
      </w:pPr>
      <w:r>
        <w:rPr>
          <w:rStyle w:val="Funotenzeichen"/>
        </w:rPr>
        <w:footnoteRef/>
      </w:r>
      <w:r>
        <w:rPr/>
        <w:tab/>
        <w:t xml:space="preserve">Esra 4,8-6,18 (sowie 7,12-26) sind auf Aramäisch verfasst bzw. aus aramäischen Quellen zitiert (zudem Dan 2,4b-7,28; Jer 10,11 und ein Teil von Gen 31,47). </w:t>
      </w:r>
    </w:p>
  </w:footnote>
  <w:footnote w:id="13">
    <w:p>
      <w:pPr>
        <w:pStyle w:val="Funote"/>
        <w:rPr/>
      </w:pPr>
      <w:r>
        <w:rPr>
          <w:rStyle w:val="Funotenzeichen"/>
        </w:rPr>
        <w:footnoteRef/>
      </w:r>
      <w:r>
        <w:rPr/>
        <w:tab/>
        <w:t>Oder: „gegen“</w:t>
      </w:r>
    </w:p>
  </w:footnote>
  <w:footnote w:id="14">
    <w:p>
      <w:pPr>
        <w:pStyle w:val="Funote"/>
        <w:rPr/>
      </w:pPr>
      <w:r>
        <w:rPr>
          <w:rStyle w:val="Funotenzeichen"/>
        </w:rPr>
        <w:footnoteRef/>
      </w:r>
      <w:r>
        <w:rPr/>
        <w:tab/>
        <w:t xml:space="preserve">Artaxerxes war 486-465 v. Chr. König von Persien (Loken 2011, 4:6-24 Commentary). </w:t>
      </w:r>
    </w:p>
  </w:footnote>
  <w:footnote w:id="15">
    <w:p>
      <w:pPr>
        <w:pStyle w:val="Funote"/>
        <w:rPr/>
      </w:pPr>
      <w:r>
        <w:rPr>
          <w:rStyle w:val="Funotenzeichen"/>
        </w:rPr>
        <w:footnoteRef/>
      </w:r>
      <w:r>
        <w:rPr/>
        <w:tab/>
        <w:t>W. „dann“</w:t>
      </w:r>
    </w:p>
  </w:footnote>
  <w:footnote w:id="16">
    <w:p>
      <w:pPr>
        <w:pStyle w:val="Funote"/>
        <w:rPr/>
      </w:pPr>
      <w:r>
        <w:rPr>
          <w:rStyle w:val="Funotenzeichen"/>
        </w:rPr>
        <w:footnoteRef/>
      </w:r>
      <w:r>
        <w:rPr/>
        <w:tab/>
        <w:t xml:space="preserve">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 </w:t>
      </w:r>
    </w:p>
  </w:footnote>
  <w:footnote w:id="17">
    <w:p>
      <w:pPr>
        <w:pStyle w:val="Funote"/>
        <w:rPr/>
      </w:pPr>
      <w:r>
        <w:rPr>
          <w:rStyle w:val="Funotenzeichen"/>
        </w:rPr>
        <w:footnoteRef/>
      </w:r>
      <w:r>
        <w:rPr/>
        <w:tab/>
        <w:t xml:space="preserve">Hier ist von der Satrapie Transeuphrat, „Jenseits des Stromes“ die Rede (Loken 2011, 4:10). Samaria ist die alte Hauptstadt des israelischen Nordreichs, die von den Assyrern 722 zerstört worden war. </w:t>
      </w:r>
    </w:p>
  </w:footnote>
  <w:footnote w:id="18">
    <w:p>
      <w:pPr>
        <w:pStyle w:val="Funote"/>
        <w:rPr/>
      </w:pPr>
      <w:r>
        <w:rPr>
          <w:rStyle w:val="Funotenzeichen"/>
        </w:rPr>
        <w:footnoteRef/>
      </w:r>
      <w:r>
        <w:rPr/>
        <w:tab/>
        <w:t xml:space="preserve">W. „Weil wir das Salz des Palastes essen“ oder „Weil wir mit dem Salz des Palastes würzen“, danach könnte man die Aussage auch so interpretieren, dass die Verfasser an der Zerstörung Jerusalems beteiligt waren und Salz verstreuten, um das Ackerland unbrauchbar zu machen. </w:t>
      </w:r>
    </w:p>
  </w:footnote>
  <w:footnote w:id="19">
    <w:p>
      <w:pPr>
        <w:pStyle w:val="Funote"/>
        <w:rPr/>
      </w:pPr>
      <w:r>
        <w:rPr>
          <w:rStyle w:val="Funotenzeichen"/>
        </w:rPr>
        <w:footnoteRef/>
      </w:r>
      <w:r>
        <w:rPr/>
        <w:tab/>
        <w:t>W. „ Frieden!“</w:t>
      </w:r>
    </w:p>
  </w:footnote>
  <w:footnote w:id="20">
    <w:p>
      <w:pPr>
        <w:pStyle w:val="Funote"/>
        <w:rPr/>
      </w:pPr>
      <w:r>
        <w:rPr>
          <w:rStyle w:val="Funotenzeichen"/>
        </w:rPr>
        <w:footnoteRef/>
      </w:r>
      <w:r>
        <w:rPr/>
        <w:tab/>
        <w:t>Oder: „klar“</w:t>
      </w:r>
    </w:p>
  </w:footnote>
  <w:footnote w:id="21">
    <w:p>
      <w:pPr>
        <w:pStyle w:val="Funote"/>
        <w:rPr/>
      </w:pPr>
      <w:r>
        <w:rPr>
          <w:rStyle w:val="Funotenzeichen"/>
        </w:rPr>
        <w:footnoteRef/>
      </w:r>
      <w:r>
        <w:rPr/>
        <w:tab/>
        <w:t xml:space="preserve">Oder „Allerdings“, dann wären die erwähnten Könige keine israelischen, sondern fremde, denen das Land keine Schwierigkeiten gemacht hätte. </w:t>
      </w:r>
    </w:p>
  </w:footnote>
  <w:footnote w:id="22">
    <w:p>
      <w:pPr>
        <w:pStyle w:val="Funote"/>
        <w:rPr/>
      </w:pPr>
      <w:r>
        <w:rPr>
          <w:rStyle w:val="Funotenzeichen"/>
        </w:rPr>
        <w:footnoteRef/>
      </w:r>
      <w:r>
        <w:rPr/>
        <w:tab/>
        <w:t xml:space="preserve">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 </w:t>
      </w:r>
    </w:p>
  </w:footnote>
  <w:footnote w:id="23">
    <w:p>
      <w:pPr>
        <w:pStyle w:val="Funote"/>
        <w:rPr/>
      </w:pPr>
      <w:r>
        <w:rPr>
          <w:rStyle w:val="Funotenzeichen"/>
        </w:rPr>
        <w:footnoteRef/>
      </w:r>
      <w:r>
        <w:rPr/>
        <w:tab/>
        <w:t>der über ihnen war So die meisten Übersetzungen. Oder: „im Namen Gottes [prophezeiten sie] ihnen gegenüber“ (so SLT und Loken 2011, 5:1-5 Translation).</w:t>
      </w:r>
    </w:p>
  </w:footnote>
  <w:footnote w:id="24">
    <w:p>
      <w:pPr>
        <w:pStyle w:val="Funote"/>
        <w:rPr/>
      </w:pPr>
      <w:r>
        <w:rPr>
          <w:rStyle w:val="Funotenzeichen"/>
        </w:rPr>
        <w:footnoteRef/>
      </w:r>
      <w:r>
        <w:rPr/>
        <w:tab/>
        <w:t xml:space="preserve">Aus </w:t>
      </w:r>
      <w:r>
        <w:fldChar w:fldCharType="begin"/>
      </w:r>
      <w:r>
        <w:rPr>
          <w:rStyle w:val="Internetverknpfung"/>
        </w:rPr>
        <w:instrText> HYPERLINK "../../../../../../../../../wiki/Esra_4" \l "l24"</w:instrText>
      </w:r>
      <w:r>
        <w:rPr>
          <w:rStyle w:val="Internetverknpfung"/>
        </w:rPr>
        <w:fldChar w:fldCharType="separate"/>
      </w:r>
      <w:r>
        <w:rPr>
          <w:rStyle w:val="Internetverknpfung"/>
        </w:rPr>
        <w:t>Esr 4,24</w:t>
      </w:r>
      <w:r>
        <w:rPr>
          <w:rStyle w:val="Internetverknpfung"/>
        </w:rPr>
        <w:fldChar w:fldCharType="end"/>
      </w:r>
      <w:r>
        <w:rPr/>
        <w:t xml:space="preserve">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 </w:t>
      </w:r>
    </w:p>
  </w:footnote>
  <w:footnote w:id="25">
    <w:p>
      <w:pPr>
        <w:pStyle w:val="Funote"/>
        <w:rPr/>
      </w:pPr>
      <w:r>
        <w:rPr>
          <w:rStyle w:val="Funotenzeichen"/>
        </w:rPr>
        <w:footnoteRef/>
      </w:r>
      <w:r>
        <w:rPr/>
        <w:tab/>
        <w:t xml:space="preserve">Hier ist von der Satrapie Transeuphrat, „Jenseits des Stromes“ die Rede (Loken 2011, 4:10). Tattenai ist 502 v. Chr. aus einem babylonischen Dokument als Statthalter der Satrapie Transeuphrat bekannt (Loken 2011, 5:3). </w:t>
      </w:r>
    </w:p>
  </w:footnote>
  <w:footnote w:id="26">
    <w:p>
      <w:pPr>
        <w:pStyle w:val="Funote"/>
        <w:rPr/>
      </w:pPr>
      <w:r>
        <w:rPr>
          <w:rStyle w:val="Funotenzeichen"/>
        </w:rPr>
        <w:footnoteRef/>
      </w:r>
      <w:r>
        <w:rPr/>
        <w:tab/>
        <w:t xml:space="preserve">Dieser Brief muss zwischen dem 21.09.520 (das Datum von Haggais Prophezeiung, </w:t>
      </w:r>
      <w:r>
        <w:fldChar w:fldCharType="begin"/>
      </w:r>
      <w:r>
        <w:rPr>
          <w:rStyle w:val="Internetverknpfung"/>
        </w:rPr>
        <w:instrText> HYPERLINK "../../../../../../../../../wiki/Haggai_1" \l "s15"</w:instrText>
      </w:r>
      <w:r>
        <w:rPr>
          <w:rStyle w:val="Internetverknpfung"/>
        </w:rPr>
        <w:fldChar w:fldCharType="separate"/>
      </w:r>
      <w:r>
        <w:rPr>
          <w:rStyle w:val="Internetverknpfung"/>
        </w:rPr>
        <w:t>Hag 1,15</w:t>
      </w:r>
      <w:r>
        <w:rPr>
          <w:rStyle w:val="Internetverknpfung"/>
        </w:rPr>
        <w:fldChar w:fldCharType="end"/>
      </w:r>
      <w:r>
        <w:rPr/>
        <w:t>) und der Fertigstellung des Tempels am 12.03.515 v. Chr. (</w:t>
      </w:r>
      <w:r>
        <w:fldChar w:fldCharType="begin"/>
      </w:r>
      <w:r>
        <w:rPr>
          <w:rStyle w:val="Internetverknpfung"/>
        </w:rPr>
        <w:instrText> HYPERLINK "../../../../../../../../../wiki/Esra_6" \l "s15"</w:instrText>
      </w:r>
      <w:r>
        <w:rPr>
          <w:rStyle w:val="Internetverknpfung"/>
        </w:rPr>
        <w:fldChar w:fldCharType="separate"/>
      </w:r>
      <w:r>
        <w:rPr>
          <w:rStyle w:val="Internetverknpfung"/>
        </w:rPr>
        <w:t>Esr 6,15</w:t>
      </w:r>
      <w:r>
        <w:rPr>
          <w:rStyle w:val="Internetverknpfung"/>
        </w:rPr>
        <w:fldChar w:fldCharType="end"/>
      </w:r>
      <w:r>
        <w:rPr/>
        <w:t xml:space="preserve">) entstanden sein, am ehesten wohl zwischen 520 und 517 v. Chr. (Loken 2011, 5:6). </w:t>
      </w:r>
    </w:p>
  </w:footnote>
  <w:footnote w:id="27">
    <w:p>
      <w:pPr>
        <w:pStyle w:val="Funote"/>
        <w:rPr/>
      </w:pPr>
      <w:r>
        <w:rPr>
          <w:rStyle w:val="Funotenzeichen"/>
        </w:rPr>
        <w:footnoteRef/>
      </w:r>
      <w:r>
        <w:rPr/>
        <w:tab/>
        <w:t xml:space="preserve">Juda war eine Provinz innerhalb der Satrapie Transeuphrat, also eine Provinz auf einer niedrigeren Ebene (Loken 2011, 5:8). </w:t>
      </w:r>
    </w:p>
  </w:footnote>
  <w:footnote w:id="28">
    <w:p>
      <w:pPr>
        <w:pStyle w:val="Funote"/>
        <w:rPr/>
      </w:pPr>
      <w:r>
        <w:rPr>
          <w:rStyle w:val="Funotenzeichen"/>
        </w:rPr>
        <w:footnoteRef/>
      </w:r>
      <w:r>
        <w:rPr/>
        <w:tab/>
        <w:t xml:space="preserve">Dieselbe Bautechnik wie in </w:t>
      </w:r>
      <w:hyperlink r:id="rId2">
        <w:r>
          <w:rPr>
            <w:rStyle w:val="Internetverknpfung"/>
          </w:rPr>
          <w:t>1. Kön 6,36</w:t>
        </w:r>
      </w:hyperlink>
      <w:r>
        <w:rPr/>
        <w:t xml:space="preserve">. Die Holzbalken dienen dabei zur Verstärkung der Wände (Loken 2011, 5:8). </w:t>
      </w:r>
    </w:p>
  </w:footnote>
  <w:footnote w:id="29">
    <w:p>
      <w:pPr>
        <w:pStyle w:val="Funote"/>
        <w:rPr/>
      </w:pPr>
      <w:r>
        <w:rPr>
          <w:rStyle w:val="Funotenzeichen"/>
        </w:rPr>
        <w:footnoteRef/>
      </w:r>
      <w:r>
        <w:rPr/>
        <w:tab/>
        <w:t>Oder: „mit großem Eifer“</w:t>
      </w:r>
    </w:p>
  </w:footnote>
  <w:footnote w:id="30">
    <w:p>
      <w:pPr>
        <w:pStyle w:val="Funote"/>
        <w:rPr/>
      </w:pPr>
      <w:r>
        <w:rPr>
          <w:rStyle w:val="Funotenzeichen"/>
        </w:rPr>
        <w:footnoteRef/>
      </w:r>
      <w:r>
        <w:rPr/>
        <w:tab/>
        <w:t>Oder: „verhörten“</w:t>
      </w:r>
    </w:p>
  </w:footnote>
  <w:footnote w:id="31">
    <w:p>
      <w:pPr>
        <w:pStyle w:val="Funote"/>
        <w:rPr/>
      </w:pPr>
      <w:r>
        <w:rPr>
          <w:rStyle w:val="Funotenzeichen"/>
        </w:rPr>
        <w:footnoteRef/>
      </w:r>
      <w:r>
        <w:rPr/>
        <w:tab/>
        <w:t xml:space="preserve">Scheschbazzars Tätigkeiten werden in </w:t>
      </w:r>
      <w:hyperlink r:id="rId3">
        <w:r>
          <w:rPr>
            <w:rStyle w:val="Internetverknpfung"/>
          </w:rPr>
          <w:t>Esr 1,5-11</w:t>
        </w:r>
      </w:hyperlink>
      <w:r>
        <w:rPr/>
        <w:t xml:space="preserve"> etwas genauer beschrieben. </w:t>
      </w:r>
    </w:p>
  </w:footnote>
  <w:footnote w:id="32">
    <w:p>
      <w:pPr>
        <w:pStyle w:val="Funote"/>
        <w:rPr/>
      </w:pPr>
      <w:r>
        <w:rPr>
          <w:rStyle w:val="Funotenzeichen"/>
        </w:rPr>
        <w:footnoteRef/>
      </w:r>
      <w:r>
        <w:rPr/>
        <w:tab/>
        <w:t xml:space="preserve">Wo sich offenbar auch die Archive befanden (vgl. </w:t>
      </w:r>
      <w:r>
        <w:fldChar w:fldCharType="begin"/>
      </w:r>
      <w:r>
        <w:rPr>
          <w:rStyle w:val="Internetverknpfung"/>
        </w:rPr>
        <w:instrText> HYPERLINK "../../../../../../../../../wiki/Esra_6" \l "l1"</w:instrText>
      </w:r>
      <w:r>
        <w:rPr>
          <w:rStyle w:val="Internetverknpfung"/>
        </w:rPr>
        <w:fldChar w:fldCharType="separate"/>
      </w:r>
      <w:r>
        <w:rPr>
          <w:rStyle w:val="Internetverknpfung"/>
        </w:rPr>
        <w:t>6,1</w:t>
      </w:r>
      <w:r>
        <w:rPr>
          <w:rStyle w:val="Internetverknpfung"/>
        </w:rPr>
        <w:fldChar w:fldCharType="end"/>
      </w:r>
      <w:r>
        <w:rPr/>
        <w:t xml:space="preserve">. </w:t>
      </w:r>
    </w:p>
  </w:footnote>
  <w:footnote w:id="33">
    <w:p>
      <w:pPr>
        <w:pStyle w:val="Funote"/>
        <w:rPr/>
      </w:pPr>
      <w:r>
        <w:rPr>
          <w:rStyle w:val="Funotenzeichen"/>
        </w:rPr>
        <w:footnoteRef/>
      </w:r>
      <w:r>
        <w:rPr>
          <w:i/>
        </w:rPr>
        <w:tab/>
        <w:t>Ekbata</w:t>
      </w:r>
      <w:r>
        <w:rPr/>
        <w:t xml:space="preserve"> Die Sommerresidenz des Königs Kyrus lag in den Bergen. Vor seiner Zeit (bis 550 v. Chr.) war sie Hauptstadt der Meder (Loken 2011, 6:2). </w:t>
      </w:r>
    </w:p>
  </w:footnote>
  <w:footnote w:id="34">
    <w:p>
      <w:pPr>
        <w:pStyle w:val="Funote"/>
        <w:rPr/>
      </w:pPr>
      <w:r>
        <w:rPr>
          <w:rStyle w:val="Funotenzeichen"/>
        </w:rPr>
        <w:footnoteRef/>
      </w:r>
      <w:r>
        <w:rPr/>
        <w:tab/>
        <w:t xml:space="preserve">Der Begriff wurde regelmäßig als Überschrift von Listen und Inventarprotokollen gebraucht (Loken 2011, 6:2). </w:t>
      </w:r>
    </w:p>
  </w:footnote>
  <w:footnote w:id="35">
    <w:p>
      <w:pPr>
        <w:pStyle w:val="Funote"/>
        <w:rPr/>
      </w:pPr>
      <w:r>
        <w:rPr>
          <w:rStyle w:val="Funotenzeichen"/>
        </w:rPr>
        <w:footnoteRef/>
      </w:r>
      <w:r>
        <w:rPr/>
        <w:tab/>
        <w:t xml:space="preserve">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 </w:t>
      </w:r>
    </w:p>
  </w:footnote>
  <w:footnote w:id="36">
    <w:p>
      <w:pPr>
        <w:pStyle w:val="Funote"/>
        <w:rPr/>
      </w:pPr>
      <w:r>
        <w:rPr>
          <w:rStyle w:val="Funotenzeichen"/>
        </w:rPr>
        <w:footnoteRef/>
      </w:r>
      <w:r>
        <w:rPr/>
        <w:tab/>
        <w:t xml:space="preserve">Oder: „Das Haus soll wieder aufgebaut werden, die Stätte, an der sie Opfer darbrachten (darbringen)“ Da weder die Perser noch die Juden während des persischen Exils Opfer darbrachten, dient diese Angabe als Unterscheidungsmerkmal gegenüber anderen Tempeln (Loken 2011, 6:3-5). </w:t>
      </w:r>
    </w:p>
  </w:footnote>
  <w:footnote w:id="37">
    <w:p>
      <w:pPr>
        <w:pStyle w:val="Funote"/>
        <w:rPr/>
      </w:pPr>
      <w:r>
        <w:rPr>
          <w:rStyle w:val="Funotenzeichen"/>
        </w:rPr>
        <w:footnoteRef/>
      </w:r>
      <w:r>
        <w:rPr/>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38">
    <w:p>
      <w:pPr>
        <w:pStyle w:val="Funote"/>
        <w:rPr/>
      </w:pPr>
      <w:r>
        <w:rPr>
          <w:rStyle w:val="Funotenzeichen"/>
        </w:rPr>
        <w:footnoteRef/>
      </w:r>
      <w:r>
        <w:rPr/>
        <w:tab/>
        <w:t xml:space="preserve">Dieser Teil stimmt bis hierhin fast wortwörtlich mit dem entsprechenden Abschnitt aus dem Bericht der Juden in </w:t>
      </w:r>
      <w:r>
        <w:fldChar w:fldCharType="begin"/>
      </w:r>
      <w:r>
        <w:rPr>
          <w:rStyle w:val="Internetverknpfung"/>
        </w:rPr>
        <w:instrText> HYPERLINK "../../../../../../../../../wiki/Esra_5" \l "l14"</w:instrText>
      </w:r>
      <w:r>
        <w:rPr>
          <w:rStyle w:val="Internetverknpfung"/>
        </w:rPr>
        <w:fldChar w:fldCharType="separate"/>
      </w:r>
      <w:r>
        <w:rPr>
          <w:rStyle w:val="Internetverknpfung"/>
        </w:rPr>
        <w:t>5,14</w:t>
      </w:r>
      <w:r>
        <w:rPr>
          <w:rStyle w:val="Internetverknpfung"/>
        </w:rPr>
        <w:fldChar w:fldCharType="end"/>
      </w:r>
      <w:r>
        <w:rPr/>
        <w:t xml:space="preserve"> überein. </w:t>
      </w:r>
    </w:p>
  </w:footnote>
  <w:footnote w:id="39">
    <w:p>
      <w:pPr>
        <w:pStyle w:val="Funote"/>
        <w:rPr/>
      </w:pPr>
      <w:r>
        <w:rPr>
          <w:rStyle w:val="Funotenzeichen"/>
        </w:rPr>
        <w:footnoteRef/>
      </w:r>
      <w:r>
        <w:rPr/>
        <w:tab/>
        <w:t xml:space="preserve">Diese Einleitung wurde zur Verdeutlichung eingefügt. </w:t>
      </w:r>
    </w:p>
  </w:footnote>
  <w:footnote w:id="40">
    <w:p>
      <w:pPr>
        <w:pStyle w:val="Funote"/>
        <w:rPr/>
      </w:pPr>
      <w:r>
        <w:rPr>
          <w:rStyle w:val="Funotenzeichen"/>
        </w:rPr>
        <w:footnoteRef/>
      </w:r>
      <w:r>
        <w:rPr/>
        <w:tab/>
        <w:t xml:space="preserve">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 </w:t>
      </w:r>
    </w:p>
  </w:footnote>
  <w:footnote w:id="41">
    <w:p>
      <w:pPr>
        <w:pStyle w:val="Funote"/>
        <w:rPr/>
      </w:pPr>
      <w:r>
        <w:rPr>
          <w:rStyle w:val="Funotenzeichen"/>
        </w:rPr>
        <w:footnoteRef/>
      </w:r>
      <w:r>
        <w:rPr/>
        <w:tab/>
        <w:t>Am 12. März 515 v. Chr. In der Parallelstelle 1. Esdras 7,5 ist vielleicht deshalb nicht vom 3., sondern vom 23. Tag die Rede, weil der 12. März 515 ein Sabbat war (Loken 2011, 6:15).</w:t>
      </w:r>
    </w:p>
  </w:footnote>
  <w:footnote w:id="42">
    <w:p>
      <w:pPr>
        <w:pStyle w:val="Funote"/>
        <w:rPr/>
      </w:pPr>
      <w:r>
        <w:rPr>
          <w:rStyle w:val="Funotenzeichen"/>
        </w:rPr>
        <w:footnoteRef/>
      </w:r>
      <w:r>
        <w:rPr/>
        <w:tab/>
        <w:t xml:space="preserve">Ex 29; Lev 8; Num 3; 8; 18. </w:t>
      </w:r>
    </w:p>
  </w:footnote>
  <w:footnote w:id="43">
    <w:p>
      <w:pPr>
        <w:pStyle w:val="Funote"/>
        <w:rPr/>
      </w:pPr>
      <w:r>
        <w:rPr>
          <w:rStyle w:val="Funotenzeichen"/>
        </w:rPr>
        <w:footnoteRef/>
      </w:r>
      <w:r>
        <w:rPr/>
        <w:tab/>
        <w:t>[Status: Ungeprüft]</w:t>
      </w:r>
    </w:p>
  </w:footnote>
  <w:footnote w:id="44">
    <w:p>
      <w:pPr>
        <w:pStyle w:val="Funote"/>
        <w:rPr/>
      </w:pPr>
      <w:r>
        <w:rPr>
          <w:rStyle w:val="Funotenzeichen"/>
        </w:rPr>
        <w:footnoteRef/>
      </w:r>
      <w:r>
        <w:rPr/>
        <w:tab/>
        <w:t>[Status: Ungeprüft]</w:t>
      </w:r>
    </w:p>
  </w:footnote>
  <w:footnote w:id="45">
    <w:p>
      <w:pPr>
        <w:pStyle w:val="Funote"/>
        <w:rPr/>
      </w:pPr>
      <w:r>
        <w:rPr>
          <w:rStyle w:val="Funotenzeichen"/>
        </w:rPr>
        <w:footnoteRef/>
      </w:r>
      <w:r>
        <w:rPr/>
        <w:tab/>
        <w:t>[Status: Ungeprüft]</w:t>
      </w:r>
    </w:p>
  </w:footnote>
  <w:footnote w:id="46">
    <w:p>
      <w:pPr>
        <w:pStyle w:val="Funote"/>
        <w:rPr/>
      </w:pPr>
      <w:r>
        <w:rPr>
          <w:rStyle w:val="Funotenzeichen"/>
        </w:rPr>
        <w:footnoteRef/>
      </w:r>
      <w:r>
        <w:rPr/>
        <w:tab/>
        <w:t>[Status: Ungeprüft]</w:t>
      </w:r>
    </w:p>
  </w:footnote>
  <w:footnote w:id="47">
    <w:p>
      <w:pPr>
        <w:pStyle w:val="Funote"/>
        <w:rPr/>
      </w:pPr>
      <w:r>
        <w:rPr>
          <w:rStyle w:val="Funotenzeichen"/>
        </w:rPr>
        <w:footnoteRef/>
      </w:r>
      <w:r>
        <w:rPr/>
        <w:tab/>
        <w:t>[Status: Ungeprüft]</w:t>
      </w:r>
    </w:p>
  </w:footnote>
  <w:footnote w:id="48">
    <w:p>
      <w:pPr>
        <w:pStyle w:val="Funote"/>
        <w:rPr/>
      </w:pPr>
      <w:r>
        <w:rPr>
          <w:rStyle w:val="Funotenzeichen"/>
        </w:rPr>
        <w:footnoteRef/>
      </w:r>
      <w:r>
        <w:rPr/>
        <w:tab/>
        <w:t>[Status: Ungeprüft]</w:t>
      </w:r>
    </w:p>
  </w:footnote>
  <w:footnote w:id="49">
    <w:p>
      <w:pPr>
        <w:pStyle w:val="Funote"/>
        <w:rPr/>
      </w:pPr>
      <w:r>
        <w:rPr>
          <w:rStyle w:val="Funotenzeichen"/>
        </w:rPr>
        <w:footnoteRef/>
      </w:r>
      <w:r>
        <w:rPr/>
        <w:tab/>
        <w:t>[Status: Ungeprüft]</w:t>
      </w:r>
    </w:p>
  </w:footnote>
  <w:footnote w:id="50">
    <w:p>
      <w:pPr>
        <w:pStyle w:val="Funote"/>
        <w:rPr/>
      </w:pPr>
      <w:r>
        <w:rPr>
          <w:rStyle w:val="Funotenzeichen"/>
        </w:rPr>
        <w:footnoteRef/>
      </w:r>
      <w:r>
        <w:rPr/>
        <w:tab/>
        <w:t>[Status: Ungeprüft]</w:t>
      </w:r>
    </w:p>
  </w:footnote>
  <w:footnote w:id="51">
    <w:p>
      <w:pPr>
        <w:pStyle w:val="Funote"/>
        <w:rPr/>
      </w:pPr>
      <w:r>
        <w:rPr>
          <w:rStyle w:val="Funotenzeichen"/>
        </w:rPr>
        <w:footnoteRef/>
      </w:r>
      <w:r>
        <w:rPr/>
        <w:tab/>
        <w:t>[Status: Ungeprüft]</w:t>
      </w:r>
    </w:p>
  </w:footnote>
  <w:footnote w:id="52">
    <w:p>
      <w:pPr>
        <w:pStyle w:val="Funote"/>
        <w:rPr/>
      </w:pPr>
      <w:r>
        <w:rPr>
          <w:rStyle w:val="Funotenzeichen"/>
        </w:rPr>
        <w:footnoteRef/>
      </w:r>
      <w:r>
        <w:rPr/>
        <w:tab/>
        <w:t>[Status: Ungeprüft]</w:t>
      </w:r>
    </w:p>
  </w:footnote>
  <w:footnote w:id="53">
    <w:p>
      <w:pPr>
        <w:pStyle w:val="Funote"/>
        <w:rPr/>
      </w:pPr>
      <w:r>
        <w:rPr>
          <w:rStyle w:val="Funotenzeichen"/>
        </w:rPr>
        <w:footnoteRef/>
      </w:r>
      <w:r>
        <w:rPr/>
        <w:tab/>
        <w:t>[Status: Ungeprüft]</w:t>
      </w:r>
    </w:p>
  </w:footnote>
  <w:footnote w:id="54">
    <w:p>
      <w:pPr>
        <w:pStyle w:val="Funote"/>
        <w:rPr/>
      </w:pPr>
      <w:r>
        <w:rPr>
          <w:rStyle w:val="Funotenzeichen"/>
        </w:rPr>
        <w:footnoteRef/>
      </w:r>
      <w:r>
        <w:rPr/>
        <w:tab/>
        <w:t>[Status: Ungeprüft]</w:t>
      </w:r>
    </w:p>
  </w:footnote>
  <w:footnote w:id="55">
    <w:p>
      <w:pPr>
        <w:pStyle w:val="Funote"/>
        <w:rPr/>
      </w:pPr>
      <w:r>
        <w:rPr>
          <w:rStyle w:val="Funotenzeichen"/>
        </w:rPr>
        <w:footnoteRef/>
      </w:r>
      <w:r>
        <w:rPr/>
        <w:tab/>
        <w:t xml:space="preserve">Dieser Vers ist auf Aramäisch verfasst (sonst </w:t>
      </w:r>
      <w:r>
        <w:fldChar w:fldCharType="begin"/>
      </w:r>
      <w:r>
        <w:rPr>
          <w:rStyle w:val="Internetverknpfung"/>
        </w:rPr>
        <w:instrText> HYPERLINK "../../../../../../../../../wiki/Daniel_2" \l "s4"</w:instrText>
      </w:r>
      <w:r>
        <w:rPr>
          <w:rStyle w:val="Internetverknpfung"/>
        </w:rPr>
        <w:fldChar w:fldCharType="separate"/>
      </w:r>
      <w:r>
        <w:rPr>
          <w:rStyle w:val="Internetverknpfung"/>
        </w:rPr>
        <w:t>Dan 2,4b</w:t>
      </w:r>
      <w:r>
        <w:rPr>
          <w:rStyle w:val="Internetverknpfung"/>
        </w:rPr>
        <w:fldChar w:fldCharType="end"/>
      </w:r>
      <w:r>
        <w:rPr/>
        <w:t>-</w:t>
      </w:r>
      <w:hyperlink r:id="rId4">
        <w:r>
          <w:rPr>
            <w:rStyle w:val="Internetverknpfung"/>
          </w:rPr>
          <w:t>7,28</w:t>
        </w:r>
      </w:hyperlink>
      <w:r>
        <w:rPr/>
        <w:t xml:space="preserve">; </w:t>
      </w:r>
      <w:r>
        <w:fldChar w:fldCharType="begin"/>
      </w:r>
      <w:r>
        <w:rPr>
          <w:rStyle w:val="Internetverknpfung"/>
        </w:rPr>
        <w:instrText> HYPERLINK "../../../../../../../../../wiki/Esra_4" \l "s8"</w:instrText>
      </w:r>
      <w:r>
        <w:rPr>
          <w:rStyle w:val="Internetverknpfung"/>
        </w:rPr>
        <w:fldChar w:fldCharType="separate"/>
      </w:r>
      <w:r>
        <w:rPr>
          <w:rStyle w:val="Internetverknpfung"/>
        </w:rPr>
        <w:t>Esr 4,8</w:t>
      </w:r>
      <w:r>
        <w:rPr>
          <w:rStyle w:val="Internetverknpfung"/>
        </w:rPr>
        <w:fldChar w:fldCharType="end"/>
      </w:r>
      <w:r>
        <w:rPr/>
        <w:t>-</w:t>
      </w:r>
      <w:r>
        <w:fldChar w:fldCharType="begin"/>
      </w:r>
      <w:r>
        <w:rPr>
          <w:rStyle w:val="Internetverknpfung"/>
        </w:rPr>
        <w:instrText> HYPERLINK "../../../../../../../../../wiki/Esra_6" \l "s18"</w:instrText>
      </w:r>
      <w:r>
        <w:rPr>
          <w:rStyle w:val="Internetverknpfung"/>
        </w:rPr>
        <w:fldChar w:fldCharType="separate"/>
      </w:r>
      <w:r>
        <w:rPr>
          <w:rStyle w:val="Internetverknpfung"/>
        </w:rPr>
        <w:t>6,18</w:t>
      </w:r>
      <w:r>
        <w:rPr>
          <w:rStyle w:val="Internetverknpfung"/>
        </w:rPr>
        <w:fldChar w:fldCharType="end"/>
      </w:r>
      <w:r>
        <w:rPr/>
        <w:t xml:space="preserve">; </w:t>
      </w:r>
      <w:r>
        <w:fldChar w:fldCharType="begin"/>
      </w:r>
      <w:r>
        <w:rPr>
          <w:rStyle w:val="Internetverknpfung"/>
        </w:rPr>
        <w:instrText> HYPERLINK "../../../../../../../../../wiki/Esra_7" \l "s12"</w:instrText>
      </w:r>
      <w:r>
        <w:rPr>
          <w:rStyle w:val="Internetverknpfung"/>
        </w:rPr>
        <w:fldChar w:fldCharType="separate"/>
      </w:r>
      <w:r>
        <w:rPr>
          <w:rStyle w:val="Internetverknpfung"/>
        </w:rPr>
        <w:t>7,12-26</w:t>
      </w:r>
      <w:r>
        <w:rPr>
          <w:rStyle w:val="Internetverknpfung"/>
        </w:rPr>
        <w:fldChar w:fldCharType="end"/>
      </w:r>
      <w:r>
        <w:rPr/>
        <w:t xml:space="preserve"> und Teile von </w:t>
      </w:r>
      <w:hyperlink r:id="rId5">
        <w:r>
          <w:rPr>
            <w:rStyle w:val="Internetverknpfung"/>
          </w:rPr>
          <w:t>Gen 31,47</w:t>
        </w:r>
      </w:hyperlink>
      <w:r>
        <w:rPr/>
        <w:t xml:space="preserve">). Manche nehmen an, es handele sich um eine spätere Einfügung, doch er scheint gut in den Kontext zu passen. Für eine gute Zusammenfassung siehe NET Jer 10,11, Fußnote 23. </w:t>
      </w:r>
    </w:p>
  </w:footnote>
  <w:footnote w:id="56">
    <w:p>
      <w:pPr>
        <w:pStyle w:val="Funote"/>
        <w:rPr/>
      </w:pPr>
      <w:r>
        <w:rPr>
          <w:rStyle w:val="Funotenzeichen"/>
        </w:rPr>
        <w:footnoteRef/>
      </w:r>
      <w:r>
        <w:rPr/>
        <w:tab/>
        <w:t>[Status: Ungeprüft]</w:t>
      </w:r>
    </w:p>
  </w:footnote>
  <w:footnote w:id="57">
    <w:p>
      <w:pPr>
        <w:pStyle w:val="Funote"/>
        <w:rPr/>
      </w:pPr>
      <w:r>
        <w:rPr>
          <w:rStyle w:val="Funotenzeichen"/>
        </w:rPr>
        <w:footnoteRef/>
      </w:r>
      <w:r>
        <w:rPr/>
        <w:tab/>
        <w:t xml:space="preserve">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 </w:t>
      </w:r>
    </w:p>
  </w:footnote>
  <w:footnote w:id="58">
    <w:p>
      <w:pPr>
        <w:pStyle w:val="Funote"/>
        <w:rPr/>
      </w:pPr>
      <w:r>
        <w:rPr>
          <w:rStyle w:val="Funotenzeichen"/>
        </w:rPr>
        <w:footnoteRef/>
      </w:r>
      <w:r>
        <w:rPr/>
        <w:tab/>
        <w:t xml:space="preserve">Von hier an ist der Text Aramäisch (Dan 2,4b-7,28). Neben diesem Abschnitt aus dem Danielbuch sind auch Esra 4,8-6,18; 7,12-26 auf Aramäisch verfasst bzw. aus aramäischen Quellen zitiert (zudem Jer 10,11 und ein Teil von Gen 31,47). </w:t>
      </w:r>
    </w:p>
  </w:footnote>
  <w:footnote w:id="59">
    <w:p>
      <w:pPr>
        <w:pStyle w:val="Funote"/>
        <w:rPr/>
      </w:pPr>
      <w:r>
        <w:rPr>
          <w:rStyle w:val="Funotenzeichen"/>
        </w:rPr>
        <w:footnoteRef/>
      </w:r>
      <w:r>
        <w:rPr/>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0">
    <w:p>
      <w:pPr>
        <w:pStyle w:val="Funote"/>
        <w:rPr/>
      </w:pPr>
      <w:r>
        <w:rPr>
          <w:rStyle w:val="Funotenzeichen"/>
        </w:rPr>
        <w:footnoteRef/>
      </w:r>
      <w:r>
        <w:rPr/>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1">
    <w:p>
      <w:pPr>
        <w:pStyle w:val="Funote"/>
        <w:rPr/>
      </w:pPr>
      <w:r>
        <w:rPr>
          <w:rStyle w:val="Funotenzeichen"/>
        </w:rPr>
        <w:footnoteRef/>
      </w:r>
      <w:r>
        <w:rPr>
          <w:i/>
        </w:rPr>
        <w:tab/>
        <w:t>Weisen</w:t>
      </w:r>
      <w:r>
        <w:rPr/>
        <w:t xml:space="preserve">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 </w:t>
      </w:r>
    </w:p>
  </w:footnote>
  <w:footnote w:id="62">
    <w:p>
      <w:pPr>
        <w:pStyle w:val="Funote"/>
        <w:rPr/>
      </w:pPr>
      <w:r>
        <w:rPr>
          <w:rStyle w:val="Funotenzeichen"/>
        </w:rPr>
        <w:footnoteRef/>
      </w:r>
      <w:r>
        <w:rPr/>
        <w:tab/>
        <w:t>Oder „Er fragte Arioch, den Bevollmächtigten des Königs: Was...“</w:t>
      </w:r>
    </w:p>
  </w:footnote>
  <w:footnote w:id="63">
    <w:p>
      <w:pPr>
        <w:pStyle w:val="Funote"/>
        <w:rPr/>
      </w:pPr>
      <w:r>
        <w:rPr>
          <w:rStyle w:val="Funotenzeichen"/>
        </w:rPr>
        <w:footnoteRef/>
      </w:r>
      <w:r>
        <w:rPr/>
        <w:tab/>
        <w:t xml:space="preserve">Daniel kennt also den Erlass, erfährt aber erst jetzt die Geschichte, die dahinter steht, und kann die richtige Entscheidung treffen (vgl. Koch 2005, 157f.). </w:t>
      </w:r>
    </w:p>
  </w:footnote>
  <w:footnote w:id="64">
    <w:p>
      <w:pPr>
        <w:pStyle w:val="Funote"/>
        <w:rPr/>
      </w:pPr>
      <w:r>
        <w:rPr>
          <w:rStyle w:val="Funotenzeichen"/>
        </w:rPr>
        <w:footnoteRef/>
      </w:r>
      <w:r>
        <w:rPr/>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65">
    <w:p>
      <w:pPr>
        <w:pStyle w:val="Funote"/>
        <w:rPr/>
      </w:pPr>
      <w:r>
        <w:rPr>
          <w:rStyle w:val="Funotenzeichen"/>
        </w:rPr>
        <w:footnoteRef/>
      </w:r>
      <w:r>
        <w:rPr/>
        <w:tab/>
        <w:t>[Status: Ungeprüft]</w:t>
      </w:r>
    </w:p>
  </w:footnote>
  <w:footnote w:id="66">
    <w:p>
      <w:pPr>
        <w:pStyle w:val="Funote"/>
        <w:rPr/>
      </w:pPr>
      <w:r>
        <w:rPr>
          <w:rStyle w:val="Funotenzeichen"/>
        </w:rPr>
        <w:footnoteRef/>
      </w:r>
      <w:r>
        <w:rPr/>
        <w:tab/>
        <w:t>[Status: Ungeprüft]</w:t>
      </w:r>
    </w:p>
  </w:footnote>
  <w:footnote w:id="67">
    <w:p>
      <w:pPr>
        <w:pStyle w:val="Funote"/>
        <w:rPr/>
      </w:pPr>
      <w:r>
        <w:rPr>
          <w:rStyle w:val="Funotenzeichen"/>
        </w:rPr>
        <w:footnoteRef/>
      </w:r>
      <w:r>
        <w:rPr/>
        <w:tab/>
        <w:t>[Status: Ungeprüft]</w:t>
      </w:r>
    </w:p>
  </w:footnote>
  <w:footnote w:id="68">
    <w:p>
      <w:pPr>
        <w:pStyle w:val="Funote"/>
        <w:rPr/>
      </w:pPr>
      <w:r>
        <w:rPr>
          <w:rStyle w:val="Funotenzeichen"/>
        </w:rPr>
        <w:footnoteRef/>
      </w:r>
      <w:r>
        <w:rPr/>
        <w:tab/>
        <w:t>[Status: Ungeprüft]</w:t>
      </w:r>
    </w:p>
  </w:footnote>
  <w:footnote w:id="69">
    <w:p>
      <w:pPr>
        <w:pStyle w:val="Funote"/>
        <w:rPr/>
      </w:pPr>
      <w:r>
        <w:rPr>
          <w:rStyle w:val="Funotenzeichen"/>
        </w:rPr>
        <w:footnoteRef/>
      </w:r>
      <w:r>
        <w:rPr/>
        <w:tab/>
        <w:t>[Status: Ungeprüft]</w:t>
      </w:r>
    </w:p>
  </w:footnote>
  <w:footnote w:id="70">
    <w:p>
      <w:pPr>
        <w:pStyle w:val="Funote"/>
        <w:rPr/>
      </w:pPr>
      <w:r>
        <w:rPr>
          <w:rStyle w:val="Funotenzeichen"/>
        </w:rPr>
        <w:footnoteRef/>
      </w:r>
      <w:r>
        <w:rPr/>
        <w:tab/>
        <w:t>[Status: Ungeprüft]</w:t>
      </w:r>
    </w:p>
  </w:footnote>
  <w:footnote w:id="71">
    <w:p>
      <w:pPr>
        <w:pStyle w:val="Funote"/>
        <w:rPr/>
      </w:pPr>
      <w:r>
        <w:rPr>
          <w:rStyle w:val="Funotenzeichen"/>
        </w:rPr>
        <w:footnoteRef/>
      </w:r>
      <w:r>
        <w:fldChar w:fldCharType="begin"/>
      </w:r>
      <w:r>
        <w:rPr>
          <w:rStyle w:val="Internetverknpfung"/>
        </w:rPr>
        <w:instrText> HYPERLINK "../../../../../../../../../wiki/Micha_5" \l "s1"</w:instrText>
      </w:r>
      <w:r>
        <w:rPr>
          <w:rStyle w:val="Internetverknpfung"/>
        </w:rPr>
        <w:fldChar w:fldCharType="separate"/>
      </w:r>
      <w:r>
        <w:rPr>
          <w:rStyle w:val="Internetverknpfung"/>
        </w:rPr>
        <w:tab/>
        <w:t>Mi 5,1.3</w:t>
      </w:r>
      <w:r>
        <w:rPr>
          <w:rStyle w:val="Internetverknpfung"/>
        </w:rPr>
        <w:fldChar w:fldCharType="end"/>
      </w:r>
    </w:p>
  </w:footnote>
  <w:footnote w:id="72">
    <w:p>
      <w:pPr>
        <w:pStyle w:val="Funote"/>
        <w:rPr/>
      </w:pPr>
      <w:r>
        <w:rPr>
          <w:rStyle w:val="Funotenzeichen"/>
        </w:rPr>
        <w:footnoteRef/>
      </w:r>
      <w:hyperlink r:id="rId6">
        <w:r>
          <w:rPr>
            <w:rStyle w:val="Internetverknpfung"/>
          </w:rPr>
          <w:tab/>
          <w:t>Jer 31,15</w:t>
        </w:r>
      </w:hyperlink>
    </w:p>
  </w:footnote>
  <w:footnote w:id="73">
    <w:p>
      <w:pPr>
        <w:pStyle w:val="Funote"/>
        <w:rPr/>
      </w:pPr>
      <w:r>
        <w:rPr>
          <w:rStyle w:val="Funotenzeichen"/>
        </w:rPr>
        <w:footnoteRef/>
      </w:r>
      <w:r>
        <w:rPr/>
        <w:tab/>
        <w:t>[Status: Ungeprüft]</w:t>
      </w:r>
    </w:p>
  </w:footnote>
  <w:footnote w:id="74">
    <w:p>
      <w:pPr>
        <w:pStyle w:val="Funote"/>
        <w:rPr/>
      </w:pPr>
      <w:r>
        <w:rPr>
          <w:rStyle w:val="Funotenzeichen"/>
        </w:rPr>
        <w:footnoteRef/>
      </w:r>
      <w:r>
        <w:rPr/>
        <w:tab/>
        <w:t>[Status: Ungeprüft]</w:t>
      </w:r>
    </w:p>
  </w:footnote>
  <w:footnote w:id="75">
    <w:p>
      <w:pPr>
        <w:pStyle w:val="Funote"/>
        <w:rPr/>
      </w:pPr>
      <w:r>
        <w:rPr>
          <w:rStyle w:val="Funotenzeichen"/>
        </w:rPr>
        <w:footnoteRef/>
      </w:r>
      <w:r>
        <w:rPr/>
        <w:tab/>
        <w:t xml:space="preserve">Griech. für „[Gebiet der] zehn Städte“, ein heidnisch bewohntes Gebiet östlich des Toten Meeres. </w:t>
      </w:r>
    </w:p>
  </w:footnote>
  <w:footnote w:id="76">
    <w:p>
      <w:pPr>
        <w:pStyle w:val="Funote"/>
        <w:rPr/>
      </w:pPr>
      <w:r>
        <w:rPr>
          <w:rStyle w:val="Funotenzeichen"/>
        </w:rPr>
        <w:footnoteRef/>
      </w:r>
      <w:r>
        <w:rPr/>
        <w:tab/>
        <w:t>[Status: Ungeprüft]</w:t>
      </w:r>
    </w:p>
  </w:footnote>
  <w:footnote w:id="77">
    <w:p>
      <w:pPr>
        <w:pStyle w:val="Funote"/>
        <w:rPr/>
      </w:pPr>
      <w:r>
        <w:rPr>
          <w:rStyle w:val="Funotenzeichen"/>
        </w:rPr>
        <w:footnoteRef/>
      </w:r>
      <w:r>
        <w:rPr/>
        <w:tab/>
        <w:t>Gemeint ist wohl Gott (Haubeck/Siebthal 2008, S. 25)</w:t>
      </w:r>
    </w:p>
  </w:footnote>
  <w:footnote w:id="78">
    <w:p>
      <w:pPr>
        <w:pStyle w:val="Funote"/>
        <w:rPr/>
      </w:pPr>
      <w:r>
        <w:rPr>
          <w:rStyle w:val="Funotenzeichen"/>
        </w:rPr>
        <w:footnoteRef/>
      </w:r>
      <w:r>
        <w:rPr/>
        <w:tab/>
        <w:t>2.Mose 21,24, 3.Mose 24,20, 5.Mose 19,21</w:t>
      </w:r>
    </w:p>
  </w:footnote>
  <w:footnote w:id="79">
    <w:p>
      <w:pPr>
        <w:pStyle w:val="Funote"/>
        <w:rPr/>
      </w:pPr>
      <w:r>
        <w:rPr>
          <w:rStyle w:val="Funotenzeichen"/>
        </w:rPr>
        <w:footnoteRef/>
      </w:r>
      <w:r>
        <w:rPr/>
        <w:tab/>
        <w:t xml:space="preserve">Mit </w:t>
      </w:r>
      <w:r>
        <w:rPr>
          <w:lang w:val="el-GR"/>
        </w:rPr>
        <w:t>χιτών</w:t>
      </w:r>
      <w:r>
        <w:rPr/>
        <w:t xml:space="preserve"> ist ein Untergewand gemeint, unter dem nichts anderes getragen wird. Somit kann der Begriff mit Unterwäsche übertragen werden.</w:t>
      </w:r>
    </w:p>
  </w:footnote>
  <w:footnote w:id="80">
    <w:p>
      <w:pPr>
        <w:pStyle w:val="Funote"/>
        <w:rPr/>
      </w:pPr>
      <w:r>
        <w:rPr>
          <w:rStyle w:val="Funotenzeichen"/>
        </w:rPr>
        <w:footnoteRef/>
      </w:r>
      <w:r>
        <w:rPr/>
        <w:tab/>
        <w:t xml:space="preserve">Das Wort </w:t>
      </w:r>
      <w:r>
        <w:rPr>
          <w:lang w:val="el-GR"/>
        </w:rPr>
        <w:t>ἀγγαρεύω</w:t>
      </w:r>
      <w:r>
        <w:rPr/>
        <w:t xml:space="preserve"> bezeichnet häufig erzwungene Dienste zugunsten des römischen Militärs. In seinem Kommentar hält Ulrich Luz (</w:t>
      </w:r>
      <w:r>
        <w:rPr>
          <w:position w:val="7"/>
          <w:sz w:val="16"/>
        </w:rPr>
        <w:t>5</w:t>
      </w:r>
      <w:r>
        <w:rPr/>
        <w:t>2002, 386) eine Anspielung hierauf für denkbar, aber nicht für gesichert. Siebenthal geht von einer Zwangsarbeit für den Beförderungsdienst aus (Haubeck/Siebthal 2008, S. 27)</w:t>
      </w:r>
    </w:p>
  </w:footnote>
  <w:footnote w:id="81">
    <w:p>
      <w:pPr>
        <w:pStyle w:val="Funote"/>
        <w:rPr/>
      </w:pPr>
      <w:r>
        <w:rPr>
          <w:rStyle w:val="Funotenzeichen"/>
        </w:rPr>
        <w:footnoteRef/>
      </w:r>
      <w:r>
        <w:rPr/>
        <w:tab/>
        <w:t>3.Mose 19,18, die Einschränkung war verbreitet und gründet sich vermeintlich auf 5.Mose 23,4.7</w:t>
      </w:r>
    </w:p>
  </w:footnote>
  <w:footnote w:id="82">
    <w:p>
      <w:pPr>
        <w:pStyle w:val="Funote"/>
        <w:rPr/>
      </w:pPr>
      <w:r>
        <w:rPr>
          <w:rStyle w:val="Funotenzeichen"/>
        </w:rPr>
        <w:footnoteRef/>
      </w:r>
      <w:r>
        <w:rPr/>
        <w:tab/>
        <w:t>[Status: Ungeprüft]</w:t>
      </w:r>
    </w:p>
  </w:footnote>
  <w:footnote w:id="83">
    <w:p>
      <w:pPr>
        <w:pStyle w:val="Funote"/>
        <w:rPr/>
      </w:pPr>
      <w:r>
        <w:rPr>
          <w:rStyle w:val="Funotenzeichen"/>
        </w:rPr>
        <w:footnoteRef/>
      </w:r>
      <w:r>
        <w:rPr/>
        <w:tab/>
        <w:t>Das gr. Wort steht für Spenden, Almosen oder „Wohltaten“.</w:t>
      </w:r>
    </w:p>
  </w:footnote>
  <w:footnote w:id="84">
    <w:p>
      <w:pPr>
        <w:pStyle w:val="Funote"/>
        <w:rPr/>
      </w:pPr>
      <w:r>
        <w:rPr>
          <w:rStyle w:val="Funotenzeichen"/>
        </w:rPr>
        <w:footnoteRef/>
      </w:r>
      <w:r>
        <w:rPr/>
        <w:tab/>
        <w:t>Eigentlich: Heiden</w:t>
      </w:r>
    </w:p>
  </w:footnote>
  <w:footnote w:id="85">
    <w:p>
      <w:pPr>
        <w:pStyle w:val="Funote"/>
        <w:rPr/>
      </w:pPr>
      <w:r>
        <w:rPr>
          <w:rStyle w:val="Funotenzeichen"/>
        </w:rPr>
        <w:footnoteRef/>
      </w:r>
      <w:r>
        <w:rPr/>
        <w:tab/>
        <w:t>Eigentlich: „was ihr nötig habt“</w:t>
      </w:r>
    </w:p>
  </w:footnote>
  <w:footnote w:id="86">
    <w:p>
      <w:pPr>
        <w:pStyle w:val="Funote"/>
        <w:rPr/>
      </w:pPr>
      <w:r>
        <w:rPr>
          <w:rStyle w:val="Funotenzeichen"/>
        </w:rPr>
        <w:footnoteRef/>
      </w:r>
      <w:r>
        <w:rPr/>
        <w:tab/>
        <w:t>Gemeint ist, durch wenig Körperpflege, also Dreck, oder durch Verhüllen (Haubeck/Siebthal 2007, 29)</w:t>
      </w:r>
    </w:p>
  </w:footnote>
  <w:footnote w:id="87">
    <w:p>
      <w:pPr>
        <w:pStyle w:val="Funote"/>
        <w:rPr/>
      </w:pPr>
      <w:r>
        <w:rPr>
          <w:rStyle w:val="Funotenzeichen"/>
        </w:rPr>
        <w:footnoteRef/>
      </w:r>
      <w:r>
        <w:rPr/>
        <w:tab/>
        <w:t>Mögliche atl. Hintergründe: ungeteilte Loyalität Gott gegenüber oder Haltung anderen gegenüber gütig (Haubeck/Siebthal 2007, 32)</w:t>
      </w:r>
    </w:p>
  </w:footnote>
  <w:footnote w:id="88">
    <w:p>
      <w:pPr>
        <w:pStyle w:val="Funote"/>
        <w:rPr/>
      </w:pPr>
      <w:r>
        <w:rPr>
          <w:rStyle w:val="Funotenzeichen"/>
        </w:rPr>
        <w:footnoteRef/>
      </w:r>
      <w:r>
        <w:rPr/>
        <w:tab/>
        <w:t>Manche Handschriften ergänzen: „oder was ihr trinken sollt“</w:t>
      </w:r>
    </w:p>
  </w:footnote>
  <w:footnote w:id="89">
    <w:p>
      <w:pPr>
        <w:pStyle w:val="Funote"/>
        <w:rPr/>
      </w:pPr>
      <w:r>
        <w:rPr>
          <w:rStyle w:val="Funotenzeichen"/>
        </w:rPr>
        <w:footnoteRef/>
      </w:r>
      <w:r>
        <w:rPr/>
        <w:tab/>
        <w:t>Gras wurde auch als Brennstoff genutzt.</w:t>
      </w:r>
    </w:p>
  </w:footnote>
  <w:footnote w:id="90">
    <w:p>
      <w:pPr>
        <w:pStyle w:val="Funote"/>
        <w:rPr/>
      </w:pPr>
      <w:r>
        <w:rPr>
          <w:rStyle w:val="Funotenzeichen"/>
        </w:rPr>
        <w:footnoteRef/>
      </w:r>
      <w:r>
        <w:rPr/>
        <w:tab/>
        <w:t>Wörtlich: Die Völker oder Heiden</w:t>
      </w:r>
    </w:p>
  </w:footnote>
  <w:footnote w:id="91">
    <w:p>
      <w:pPr>
        <w:pStyle w:val="Funote"/>
        <w:rPr/>
      </w:pPr>
      <w:r>
        <w:rPr>
          <w:rStyle w:val="Funotenzeichen"/>
        </w:rPr>
        <w:footnoteRef/>
      </w:r>
      <w:r>
        <w:rPr/>
        <w:tab/>
        <w:t>Einige Handschriften schreiben nur „Herrschaft“</w:t>
      </w:r>
    </w:p>
  </w:footnote>
  <w:footnote w:id="92">
    <w:p>
      <w:pPr>
        <w:pStyle w:val="Funote"/>
        <w:rPr/>
      </w:pPr>
      <w:r>
        <w:rPr>
          <w:rStyle w:val="Funotenzeichen"/>
        </w:rPr>
        <w:footnoteRef/>
      </w:r>
      <w:r>
        <w:rPr/>
        <w:tab/>
        <w:t>[Status: Ungeprüft]</w:t>
      </w:r>
    </w:p>
  </w:footnote>
  <w:footnote w:id="93">
    <w:p>
      <w:pPr>
        <w:pStyle w:val="Funote"/>
        <w:rPr/>
      </w:pPr>
      <w:r>
        <w:rPr>
          <w:rStyle w:val="Funotenzeichen"/>
        </w:rPr>
        <w:footnoteRef/>
      </w:r>
      <w:r>
        <w:rPr/>
        <w:tab/>
        <w:t>Wörtlich: „an ihren Früchten“ - damit erklärt sich das folgende Wortspiel. Ohne den Zusammenhang ist das aber nicht verständlich.</w:t>
      </w:r>
    </w:p>
  </w:footnote>
  <w:footnote w:id="94">
    <w:p>
      <w:pPr>
        <w:pStyle w:val="Funote"/>
        <w:rPr/>
      </w:pPr>
      <w:r>
        <w:rPr>
          <w:rStyle w:val="Funotenzeichen"/>
        </w:rPr>
        <w:footnoteRef/>
      </w:r>
      <w:r>
        <w:rPr/>
        <w:tab/>
        <w:t>[Status: Ungeprüft]</w:t>
      </w:r>
    </w:p>
  </w:footnote>
  <w:footnote w:id="95">
    <w:p>
      <w:pPr>
        <w:pStyle w:val="Funote"/>
        <w:rPr/>
      </w:pPr>
      <w:r>
        <w:rPr>
          <w:rStyle w:val="Funotenzeichen"/>
        </w:rPr>
        <w:footnoteRef/>
      </w:r>
      <w:r>
        <w:rPr/>
        <w:tab/>
        <w:t>[Status: Ungeprüft]</w:t>
      </w:r>
    </w:p>
  </w:footnote>
  <w:footnote w:id="96">
    <w:p>
      <w:pPr>
        <w:pStyle w:val="Funote"/>
        <w:rPr/>
      </w:pPr>
      <w:r>
        <w:rPr>
          <w:rStyle w:val="Funotenzeichen"/>
        </w:rPr>
        <w:footnoteRef/>
      </w:r>
      <w:r>
        <w:rPr/>
        <w:tab/>
        <w:t>Hos. 6,6</w:t>
      </w:r>
    </w:p>
  </w:footnote>
  <w:footnote w:id="97">
    <w:p>
      <w:pPr>
        <w:pStyle w:val="Funote"/>
        <w:rPr/>
      </w:pPr>
      <w:r>
        <w:rPr>
          <w:rStyle w:val="Funotenzeichen"/>
        </w:rPr>
        <w:footnoteRef/>
      </w:r>
      <w:r>
        <w:rPr/>
        <w:tab/>
        <w:t>die zu der Beerdigung kam</w:t>
      </w:r>
    </w:p>
  </w:footnote>
  <w:footnote w:id="98">
    <w:p>
      <w:pPr>
        <w:pStyle w:val="Funote"/>
        <w:rPr/>
      </w:pPr>
      <w:r>
        <w:rPr>
          <w:rStyle w:val="Funotenzeichen"/>
        </w:rPr>
        <w:footnoteRef/>
      </w:r>
      <w:r>
        <w:rPr/>
        <w:tab/>
        <w:t>[Status: Ungeprüft]</w:t>
      </w:r>
    </w:p>
  </w:footnote>
  <w:footnote w:id="99">
    <w:p>
      <w:pPr>
        <w:pStyle w:val="Funote"/>
        <w:rPr/>
      </w:pPr>
      <w:r>
        <w:rPr>
          <w:rStyle w:val="Funotenzeichen"/>
        </w:rPr>
        <w:footnoteRef/>
      </w:r>
      <w:r>
        <w:rPr/>
        <w:tab/>
        <w:t>[Status: Ungeprüft]</w:t>
      </w:r>
    </w:p>
  </w:footnote>
  <w:footnote w:id="100">
    <w:p>
      <w:pPr>
        <w:pStyle w:val="Funote"/>
        <w:rPr/>
      </w:pPr>
      <w:r>
        <w:rPr>
          <w:rStyle w:val="Funotenzeichen"/>
        </w:rPr>
        <w:footnoteRef/>
      </w:r>
      <w:r>
        <w:rPr/>
        <w:tab/>
        <w:t>[Status: Ungeprüft]</w:t>
      </w:r>
    </w:p>
  </w:footnote>
  <w:footnote w:id="101">
    <w:p>
      <w:pPr>
        <w:pStyle w:val="Funote"/>
        <w:rPr/>
      </w:pPr>
      <w:r>
        <w:rPr>
          <w:rStyle w:val="Funotenzeichen"/>
        </w:rPr>
        <w:footnoteRef/>
      </w:r>
      <w:r>
        <w:rPr/>
        <w:tab/>
        <w:t>D.h. gegen Ende der Nacht. Man teilte auf einem Boot die Nacht in drei oder vier Nachtwachen ein.</w:t>
      </w:r>
    </w:p>
  </w:footnote>
  <w:footnote w:id="102">
    <w:p>
      <w:pPr>
        <w:pStyle w:val="Funote"/>
        <w:rPr/>
      </w:pPr>
      <w:r>
        <w:rPr>
          <w:rStyle w:val="Funotenzeichen"/>
        </w:rPr>
        <w:footnoteRef/>
      </w:r>
      <w:r>
        <w:rPr/>
        <w:tab/>
        <w:t>D.h. Jesus</w:t>
      </w:r>
    </w:p>
  </w:footnote>
  <w:footnote w:id="103">
    <w:p>
      <w:pPr>
        <w:pStyle w:val="Funote"/>
        <w:rPr/>
      </w:pPr>
      <w:r>
        <w:rPr>
          <w:rStyle w:val="Funotenzeichen"/>
        </w:rPr>
        <w:footnoteRef/>
      </w:r>
      <w:r>
        <w:rPr/>
        <w:tab/>
        <w:t>Einige Handschriften ergänzen: Jesus</w:t>
      </w:r>
    </w:p>
  </w:footnote>
  <w:footnote w:id="104">
    <w:p>
      <w:pPr>
        <w:pStyle w:val="Funote"/>
        <w:rPr/>
      </w:pPr>
      <w:r>
        <w:rPr>
          <w:rStyle w:val="Funotenzeichen"/>
        </w:rPr>
        <w:footnoteRef/>
      </w:r>
      <w:r>
        <w:rPr/>
        <w:tab/>
        <w:t>Wörtlich: Du von schwachem Vertrauen (Kleingläubiger), warum zweifelst Du?</w:t>
      </w:r>
    </w:p>
  </w:footnote>
  <w:footnote w:id="105">
    <w:p>
      <w:pPr>
        <w:pStyle w:val="Funote"/>
        <w:rPr/>
      </w:pPr>
      <w:r>
        <w:rPr>
          <w:rStyle w:val="Funotenzeichen"/>
        </w:rPr>
        <w:footnoteRef/>
      </w:r>
      <w:r>
        <w:rPr/>
        <w:tab/>
        <w:t>[Status: Ungeprüft]</w:t>
      </w:r>
    </w:p>
  </w:footnote>
  <w:footnote w:id="106">
    <w:p>
      <w:pPr>
        <w:pStyle w:val="Funote"/>
        <w:rPr/>
      </w:pPr>
      <w:r>
        <w:rPr>
          <w:rStyle w:val="Funotenzeichen"/>
        </w:rPr>
        <w:footnoteRef/>
      </w:r>
      <w:r>
        <w:rPr/>
        <w:tab/>
        <w:t xml:space="preserve">Die Überlieferung der Alten ist nach Lutz nicht eine allgemeine jüdische Überlieferung oder ein Ritualgesetz, sondern wie Jesus in Vers 3 sagt die Überlieferung der Pharisäer und Schriftgelehrten (Lutz 2013, 420) </w:t>
      </w:r>
    </w:p>
  </w:footnote>
  <w:footnote w:id="107">
    <w:p>
      <w:pPr>
        <w:pStyle w:val="Funote"/>
        <w:rPr/>
      </w:pPr>
      <w:r>
        <w:rPr>
          <w:rStyle w:val="Funotenzeichen"/>
        </w:rPr>
        <w:footnoteRef/>
      </w:r>
      <w:r>
        <w:rPr/>
        <w:tab/>
        <w:t>Kinder mussten wohl ihren Eltern einen bestimmten Nutzen zubilligen, dieser Unterhaltspflicht konnten sie entgehen, wenn sie ihren Besitz per Gelübde dem Tempel weihten(Lutz 2013, 422).</w:t>
      </w:r>
    </w:p>
  </w:footnote>
  <w:footnote w:id="108">
    <w:p>
      <w:pPr>
        <w:pStyle w:val="Funote"/>
        <w:rPr/>
      </w:pPr>
      <w:r>
        <w:rPr>
          <w:rStyle w:val="Funotenzeichen"/>
        </w:rPr>
        <w:footnoteRef/>
      </w:r>
      <w:r>
        <w:rPr/>
        <w:tab/>
        <w:t>Jesaja 29,13</w:t>
      </w:r>
    </w:p>
  </w:footnote>
  <w:footnote w:id="109">
    <w:p>
      <w:pPr>
        <w:pStyle w:val="Funote"/>
        <w:rPr/>
      </w:pPr>
      <w:r>
        <w:rPr>
          <w:rStyle w:val="Funotenzeichen"/>
        </w:rPr>
        <w:footnoteRef/>
      </w:r>
      <w:r>
        <w:rPr/>
        <w:tab/>
        <w:t>[Status: Ungeprüft]</w:t>
      </w:r>
    </w:p>
  </w:footnote>
  <w:footnote w:id="110">
    <w:p>
      <w:pPr>
        <w:pStyle w:val="Funote"/>
        <w:rPr/>
      </w:pPr>
      <w:r>
        <w:rPr>
          <w:rStyle w:val="Funotenzeichen"/>
        </w:rPr>
        <w:footnoteRef/>
      </w:r>
      <w:r>
        <w:rPr/>
        <w:tab/>
        <w:t>[Status: Ungeprüft]</w:t>
      </w:r>
    </w:p>
  </w:footnote>
  <w:footnote w:id="111">
    <w:p>
      <w:pPr>
        <w:pStyle w:val="Funote"/>
        <w:rPr/>
      </w:pPr>
      <w:r>
        <w:rPr>
          <w:rStyle w:val="Funotenzeichen"/>
        </w:rPr>
        <w:footnoteRef/>
      </w:r>
      <w:r>
        <w:rPr/>
        <w:tab/>
        <w:t>[Status: Unbekannt]</w:t>
      </w:r>
    </w:p>
  </w:footnote>
  <w:footnote w:id="112">
    <w:p>
      <w:pPr>
        <w:pStyle w:val="Funote"/>
        <w:rPr/>
      </w:pPr>
      <w:r>
        <w:rPr>
          <w:rStyle w:val="Funotenzeichen"/>
        </w:rPr>
        <w:footnoteRef/>
      </w:r>
      <w:r>
        <w:rPr/>
        <w:tab/>
        <w:t>[Status: Ungeprüft]</w:t>
      </w:r>
    </w:p>
  </w:footnote>
  <w:footnote w:id="113">
    <w:p>
      <w:pPr>
        <w:pStyle w:val="Funote"/>
        <w:rPr/>
      </w:pPr>
      <w:r>
        <w:rPr>
          <w:rStyle w:val="Funotenzeichen"/>
        </w:rPr>
        <w:footnoteRef/>
      </w:r>
      <w:r>
        <w:rPr/>
        <w:tab/>
        <w:t>[Status: Ungeprüft]</w:t>
      </w:r>
    </w:p>
  </w:footnote>
  <w:footnote w:id="114">
    <w:p>
      <w:pPr>
        <w:pStyle w:val="Funote"/>
        <w:rPr/>
      </w:pPr>
      <w:r>
        <w:rPr>
          <w:rStyle w:val="Funotenzeichen"/>
        </w:rPr>
        <w:footnoteRef/>
      </w:r>
      <w:r>
        <w:rPr/>
        <w:tab/>
        <w:t>[Status: Ungeprüft]</w:t>
      </w:r>
    </w:p>
  </w:footnote>
  <w:footnote w:id="115">
    <w:p>
      <w:pPr>
        <w:pStyle w:val="Funote"/>
        <w:rPr/>
      </w:pPr>
      <w:r>
        <w:rPr>
          <w:rStyle w:val="Funotenzeichen"/>
        </w:rPr>
        <w:footnoteRef/>
      </w:r>
      <w:r>
        <w:rPr/>
        <w:tab/>
        <w:t>[Status: Ungeprüft]</w:t>
      </w:r>
    </w:p>
  </w:footnote>
  <w:footnote w:id="116">
    <w:p>
      <w:pPr>
        <w:pStyle w:val="Funote"/>
        <w:rPr/>
      </w:pPr>
      <w:r>
        <w:rPr>
          <w:rStyle w:val="Funotenzeichen"/>
        </w:rPr>
        <w:footnoteRef/>
      </w:r>
      <w:r>
        <w:rPr/>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17">
    <w:p>
      <w:pPr>
        <w:pStyle w:val="Funote"/>
        <w:rPr/>
      </w:pPr>
      <w:r>
        <w:rPr>
          <w:rStyle w:val="Funotenzeichen"/>
        </w:rPr>
        <w:footnoteRef/>
      </w:r>
      <w:r>
        <w:rPr/>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18">
    <w:p>
      <w:pPr>
        <w:pStyle w:val="Funote"/>
        <w:rPr/>
      </w:pPr>
      <w:r>
        <w:rPr>
          <w:rStyle w:val="Funotenzeichen"/>
        </w:rPr>
        <w:footnoteRef/>
      </w:r>
      <w:r>
        <w:rPr/>
        <w:tab/>
        <w:t>[Status: Ungeprüft]</w:t>
      </w:r>
    </w:p>
  </w:footnote>
  <w:footnote w:id="119">
    <w:p>
      <w:pPr>
        <w:pStyle w:val="Funote"/>
        <w:rPr/>
      </w:pPr>
      <w:r>
        <w:rPr>
          <w:rStyle w:val="Funotenzeichen"/>
        </w:rPr>
        <w:footnoteRef/>
      </w:r>
      <w:r>
        <w:rPr/>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0">
    <w:p>
      <w:pPr>
        <w:pStyle w:val="Funote"/>
        <w:rPr/>
      </w:pPr>
      <w:r>
        <w:rPr>
          <w:rStyle w:val="Funotenzeichen"/>
        </w:rPr>
        <w:footnoteRef/>
      </w:r>
      <w:r>
        <w:rPr/>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1">
    <w:p>
      <w:pPr>
        <w:pStyle w:val="Funote"/>
        <w:rPr/>
      </w:pPr>
      <w:r>
        <w:rPr>
          <w:rStyle w:val="Funotenzeichen"/>
        </w:rPr>
        <w:footnoteRef/>
      </w:r>
      <w:r>
        <w:rPr/>
        <w:tab/>
        <w:t>[Status: Ungeprüft]</w:t>
      </w:r>
    </w:p>
  </w:footnote>
  <w:footnote w:id="122">
    <w:p>
      <w:pPr>
        <w:pStyle w:val="Funote"/>
        <w:rPr/>
      </w:pPr>
      <w:r>
        <w:rPr>
          <w:rStyle w:val="Funotenzeichen"/>
        </w:rPr>
        <w:footnoteRef/>
      </w:r>
      <w:r>
        <w:rPr/>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w:t>
        <w:br/>
        <w:t>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w:t>
        <w:br/>
        <w:t xml:space="preserve">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w:t>
      </w:r>
      <w:hyperlink r:id="rId7">
        <w:r>
          <w:rPr>
            <w:rStyle w:val="Internetverknpfung"/>
          </w:rPr>
          <w:t>hier</w:t>
        </w:r>
      </w:hyperlink>
      <w:r>
        <w:rPr/>
        <w:t>). Wie einst Jahwe die ägyptische Armee im Meer versenkt hat (</w:t>
      </w:r>
      <w:r>
        <w:fldChar w:fldCharType="begin"/>
      </w:r>
      <w:r>
        <w:rPr>
          <w:rStyle w:val="Internetverknpfung"/>
        </w:rPr>
        <w:instrText> HYPERLINK "../../../../../../../../../wiki/Exodus_14" \l "l1"</w:instrText>
      </w:r>
      <w:r>
        <w:rPr>
          <w:rStyle w:val="Internetverknpfung"/>
        </w:rPr>
        <w:fldChar w:fldCharType="separate"/>
      </w:r>
      <w:r>
        <w:rPr>
          <w:rStyle w:val="Internetverknpfung"/>
        </w:rPr>
        <w:t>Ex 14</w:t>
      </w:r>
      <w:r>
        <w:rPr>
          <w:rStyle w:val="Internetverknpfung"/>
        </w:rPr>
        <w:fldChar w:fldCharType="end"/>
      </w:r>
      <w:r>
        <w:rPr/>
        <w:t>), versenkt also hier Jesus eine römische Legion - die darüber hinaus noch gleichgesetzt wird mit verrückten Besessenen einerseits und den verpönten Schweinen andererseits - im „Meer“.</w:t>
      </w:r>
    </w:p>
  </w:footnote>
  <w:footnote w:id="123">
    <w:p>
      <w:pPr>
        <w:pStyle w:val="Funote"/>
        <w:rPr/>
      </w:pPr>
      <w:r>
        <w:rPr>
          <w:rStyle w:val="Funotenzeichen"/>
        </w:rPr>
        <w:footnoteRef/>
      </w:r>
      <w:r>
        <w:rPr/>
        <w:tab/>
        <w:t xml:space="preserve">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w:t>
      </w:r>
      <w:r>
        <w:fldChar w:fldCharType="begin"/>
      </w:r>
      <w:r>
        <w:rPr>
          <w:rStyle w:val="Internetverknpfung"/>
        </w:rPr>
        <w:instrText> HYPERLINK "../../../../../../../../../wiki/Levitikus_15" \l "s25"</w:instrText>
      </w:r>
      <w:r>
        <w:rPr>
          <w:rStyle w:val="Internetverknpfung"/>
        </w:rPr>
        <w:fldChar w:fldCharType="separate"/>
      </w:r>
      <w:r>
        <w:rPr>
          <w:rStyle w:val="Internetverknpfung"/>
        </w:rPr>
        <w:t>Lev 15,25-27</w:t>
      </w:r>
      <w:r>
        <w:rPr>
          <w:rStyle w:val="Internetverknpfung"/>
        </w:rPr>
        <w:fldChar w:fldCharType="end"/>
      </w:r>
      <w:r>
        <w:rPr/>
        <w:t>).</w:t>
        <w:br/>
        <w:t>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24">
    <w:p>
      <w:pPr>
        <w:pStyle w:val="Funote"/>
        <w:rPr/>
      </w:pPr>
      <w:r>
        <w:rPr>
          <w:rStyle w:val="Funotenzeichen"/>
        </w:rPr>
        <w:footnoteRef/>
      </w:r>
      <w:r>
        <w:rPr/>
        <w:tab/>
        <w:t xml:space="preserve">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w:t>
      </w:r>
      <w:r>
        <w:rPr>
          <w:i/>
        </w:rPr>
        <w:t>rituelles</w:t>
      </w:r>
      <w:r>
        <w:rPr/>
        <w:t xml:space="preserve"> Heulen und Klagen handelt.</w:t>
      </w:r>
    </w:p>
  </w:footnote>
  <w:footnote w:id="125">
    <w:p>
      <w:pPr>
        <w:pStyle w:val="Funote"/>
        <w:rPr/>
      </w:pPr>
      <w:r>
        <w:rPr>
          <w:rStyle w:val="Funotenzeichen"/>
        </w:rPr>
        <w:footnoteRef/>
      </w:r>
      <w:r>
        <w:rPr/>
        <w:tab/>
        <w:t>[Status: Ungeprüft]</w:t>
      </w:r>
    </w:p>
  </w:footnote>
  <w:footnote w:id="126">
    <w:p>
      <w:pPr>
        <w:pStyle w:val="Funote"/>
        <w:rPr/>
      </w:pPr>
      <w:r>
        <w:rPr>
          <w:rStyle w:val="Funotenzeichen"/>
        </w:rPr>
        <w:footnoteRef/>
      </w:r>
      <w:r>
        <w:rPr/>
        <w:tab/>
        <w:t>[Status: Ungeprüft]</w:t>
      </w:r>
    </w:p>
  </w:footnote>
  <w:footnote w:id="127">
    <w:p>
      <w:pPr>
        <w:pStyle w:val="Funote"/>
        <w:rPr/>
      </w:pPr>
      <w:r>
        <w:rPr>
          <w:rStyle w:val="Funotenzeichen"/>
        </w:rPr>
        <w:footnoteRef/>
      </w:r>
      <w:r>
        <w:rPr/>
        <w:tab/>
        <w:t>[Status: Ungeprüft]</w:t>
      </w:r>
    </w:p>
  </w:footnote>
  <w:footnote w:id="128">
    <w:p>
      <w:pPr>
        <w:pStyle w:val="Funote"/>
        <w:rPr/>
      </w:pPr>
      <w:r>
        <w:rPr>
          <w:rStyle w:val="Funotenzeichen"/>
        </w:rPr>
        <w:footnoteRef/>
      </w:r>
      <w:r>
        <w:rPr/>
        <w:tab/>
        <w:t>Markus verwendet dieses „Tradition der Alten“ hier vermutlich sarkastisch: Die entsprechende Tradition ist das erste Mal etwa 100 n. Chr. schriftlich erwähnt und es ist umstritten, ob sie überhaupt schon zur Zeit Jesu existierte.</w:t>
      </w:r>
    </w:p>
  </w:footnote>
  <w:footnote w:id="129">
    <w:p>
      <w:pPr>
        <w:pStyle w:val="Funote"/>
        <w:rPr/>
      </w:pPr>
      <w:r>
        <w:rPr>
          <w:rStyle w:val="Funotenzeichen"/>
        </w:rPr>
        <w:footnoteRef/>
      </w:r>
      <w:r>
        <w:rPr/>
        <w:tab/>
        <w:t>wo man sich leicht kultisch verunreinigen kann</w:t>
      </w:r>
    </w:p>
  </w:footnote>
  <w:footnote w:id="130">
    <w:p>
      <w:pPr>
        <w:pStyle w:val="Funote"/>
        <w:rPr/>
      </w:pPr>
      <w:r>
        <w:rPr>
          <w:rStyle w:val="Funotenzeichen"/>
        </w:rPr>
        <w:footnoteRef/>
      </w:r>
      <w:r>
        <w:rPr/>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1">
    <w:p>
      <w:pPr>
        <w:pStyle w:val="Funote"/>
        <w:rPr/>
      </w:pPr>
      <w:r>
        <w:rPr>
          <w:rStyle w:val="Funotenzeichen"/>
        </w:rPr>
        <w:footnoteRef/>
      </w:r>
      <w:r>
        <w:rPr/>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w:t>
        <w:br/>
        <w:t>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2">
    <w:p>
      <w:pPr>
        <w:pStyle w:val="Funote"/>
        <w:rPr/>
      </w:pPr>
      <w:r>
        <w:rPr>
          <w:rStyle w:val="Funotenzeichen"/>
        </w:rPr>
        <w:footnoteRef/>
      </w:r>
      <w:r>
        <w:rPr/>
        <w:tab/>
        <w:t>[Status: Ungeprüft]</w:t>
      </w:r>
    </w:p>
  </w:footnote>
  <w:footnote w:id="133">
    <w:p>
      <w:pPr>
        <w:pStyle w:val="Funote"/>
        <w:rPr/>
      </w:pPr>
      <w:r>
        <w:rPr>
          <w:rStyle w:val="Funotenzeichen"/>
        </w:rPr>
        <w:footnoteRef/>
      </w:r>
      <w:r>
        <w:rPr/>
        <w:tab/>
        <w:t>[Status: Ungeprüft]</w:t>
      </w:r>
    </w:p>
  </w:footnote>
  <w:footnote w:id="134">
    <w:p>
      <w:pPr>
        <w:pStyle w:val="Funote"/>
        <w:rPr/>
      </w:pPr>
      <w:r>
        <w:rPr>
          <w:rStyle w:val="Funotenzeichen"/>
        </w:rPr>
        <w:footnoteRef/>
      </w:r>
      <w:r>
        <w:rPr/>
        <w:tab/>
        <w:t>[Status: Ungeprüft]</w:t>
      </w:r>
    </w:p>
  </w:footnote>
  <w:footnote w:id="135">
    <w:p>
      <w:pPr>
        <w:pStyle w:val="Funote"/>
        <w:rPr/>
      </w:pPr>
      <w:r>
        <w:rPr>
          <w:rStyle w:val="Funotenzeichen"/>
        </w:rPr>
        <w:footnoteRef/>
      </w:r>
      <w:r>
        <w:rPr/>
        <w:tab/>
        <w:t>[Status: Ungeprüft]</w:t>
      </w:r>
    </w:p>
  </w:footnote>
  <w:footnote w:id="136">
    <w:p>
      <w:pPr>
        <w:pStyle w:val="Funote"/>
        <w:rPr/>
      </w:pPr>
      <w:r>
        <w:rPr>
          <w:rStyle w:val="Funotenzeichen"/>
        </w:rPr>
        <w:footnoteRef/>
      </w:r>
      <w:r>
        <w:rPr/>
        <w:tab/>
        <w:t>[Status: Ungeprüft]</w:t>
      </w:r>
    </w:p>
  </w:footnote>
  <w:footnote w:id="137">
    <w:p>
      <w:pPr>
        <w:pStyle w:val="Funote"/>
        <w:rPr/>
      </w:pPr>
      <w:r>
        <w:rPr>
          <w:rStyle w:val="Funotenzeichen"/>
        </w:rPr>
        <w:footnoteRef/>
      </w:r>
      <w:r>
        <w:rPr/>
        <w:tab/>
        <w:t>[Status: Ungeprüft]</w:t>
      </w:r>
    </w:p>
  </w:footnote>
  <w:footnote w:id="138">
    <w:p>
      <w:pPr>
        <w:pStyle w:val="Funote"/>
        <w:rPr/>
      </w:pPr>
      <w:r>
        <w:rPr>
          <w:rStyle w:val="Funotenzeichen"/>
        </w:rPr>
        <w:footnoteRef/>
      </w:r>
      <w:r>
        <w:rPr>
          <w:i/>
        </w:rPr>
        <w:tab/>
        <w:t>Bundesblut</w:t>
      </w:r>
      <w:r>
        <w:rPr/>
        <w:t xml:space="preserve"> - Ein Begriff aus dem jüdischen Kultwesen (s. </w:t>
      </w:r>
      <w:hyperlink r:id="rId8">
        <w:r>
          <w:rPr>
            <w:rStyle w:val="Internetverknpfung"/>
          </w:rPr>
          <w:t>Ex 24,8</w:t>
        </w:r>
      </w:hyperlink>
      <w:r>
        <w:rPr/>
        <w:t xml:space="preserve">; </w:t>
      </w:r>
      <w:hyperlink r:id="rId9">
        <w:r>
          <w:rPr>
            <w:rStyle w:val="Internetverknpfung"/>
          </w:rPr>
          <w:t>Sach 9,11</w:t>
        </w:r>
      </w:hyperlink>
      <w:r>
        <w:rPr/>
        <w:t xml:space="preserve">). Das Blut eines Lammes diente im Tempelkult dazu, einen „Bund“ zwischen Gott und Menschen zu besiegeln und die Menschen mit Gott zu versöhnen. Diese Funktion spricht Jesus hier seinem Tod zu. S. ähnlich auch </w:t>
      </w:r>
      <w:r>
        <w:fldChar w:fldCharType="begin"/>
      </w:r>
      <w:r>
        <w:rPr>
          <w:rStyle w:val="Internetverknpfung"/>
        </w:rPr>
        <w:instrText> HYPERLINK "../../../../../../../../../wiki/Johannes_1" \l "l29"</w:instrText>
      </w:r>
      <w:r>
        <w:rPr>
          <w:rStyle w:val="Internetverknpfung"/>
        </w:rPr>
        <w:fldChar w:fldCharType="separate"/>
      </w:r>
      <w:r>
        <w:rPr>
          <w:rStyle w:val="Internetverknpfung"/>
        </w:rPr>
        <w:t>Joh 1,29</w:t>
      </w:r>
      <w:r>
        <w:rPr>
          <w:rStyle w:val="Internetverknpfung"/>
        </w:rPr>
        <w:fldChar w:fldCharType="end"/>
      </w:r>
      <w:r>
        <w:rPr/>
        <w:t xml:space="preserve">; </w:t>
      </w:r>
      <w:r>
        <w:fldChar w:fldCharType="begin"/>
      </w:r>
      <w:r>
        <w:rPr>
          <w:rStyle w:val="Internetverknpfung"/>
        </w:rPr>
        <w:instrText> HYPERLINK "../../../../../../../../../wiki/R%C3%B6mer_3" \l "l25"</w:instrText>
      </w:r>
      <w:r>
        <w:rPr>
          <w:rStyle w:val="Internetverknpfung"/>
        </w:rPr>
        <w:fldChar w:fldCharType="separate"/>
      </w:r>
      <w:r>
        <w:rPr>
          <w:rStyle w:val="Internetverknpfung"/>
        </w:rPr>
        <w:t>Röm 3,25f</w:t>
      </w:r>
      <w:r>
        <w:rPr>
          <w:rStyle w:val="Internetverknpfung"/>
        </w:rPr>
        <w:fldChar w:fldCharType="end"/>
      </w:r>
      <w:r>
        <w:rPr/>
        <w:t xml:space="preserve">; </w:t>
      </w:r>
      <w:r>
        <w:fldChar w:fldCharType="begin"/>
      </w:r>
      <w:r>
        <w:rPr>
          <w:rStyle w:val="Internetverknpfung"/>
        </w:rPr>
        <w:instrText> HYPERLINK "../../../../../../../../../wiki/Hebr%C3%A4er_9" \l "l13"</w:instrText>
      </w:r>
      <w:r>
        <w:rPr>
          <w:rStyle w:val="Internetverknpfung"/>
        </w:rPr>
        <w:fldChar w:fldCharType="separate"/>
      </w:r>
      <w:r>
        <w:rPr>
          <w:rStyle w:val="Internetverknpfung"/>
        </w:rPr>
        <w:t>Heb 9,13-15</w:t>
      </w:r>
      <w:r>
        <w:rPr>
          <w:rStyle w:val="Internetverknpfung"/>
        </w:rPr>
        <w:fldChar w:fldCharType="end"/>
      </w:r>
      <w:r>
        <w:rPr/>
        <w:t>.</w:t>
      </w:r>
    </w:p>
  </w:footnote>
  <w:footnote w:id="139">
    <w:p>
      <w:pPr>
        <w:pStyle w:val="Funote"/>
        <w:rPr/>
      </w:pPr>
      <w:r>
        <w:rPr>
          <w:rStyle w:val="Funotenzeichen"/>
        </w:rPr>
        <w:footnoteRef/>
      </w:r>
      <w:r>
        <w:rPr/>
        <w:tab/>
        <w:t>Alternative Lesart: Was nun tue ich mit dem König der Juden?</w:t>
      </w:r>
    </w:p>
  </w:footnote>
  <w:footnote w:id="140">
    <w:p>
      <w:pPr>
        <w:pStyle w:val="Funote"/>
        <w:rPr/>
      </w:pPr>
      <w:r>
        <w:rPr>
          <w:rStyle w:val="Funotenzeichen"/>
        </w:rPr>
        <w:footnoteRef/>
      </w:r>
      <w:r>
        <w:rPr/>
        <w:tab/>
        <w:t xml:space="preserve">Das griechische Wort </w:t>
      </w:r>
      <w:r>
        <w:rPr>
          <w:lang w:val="el-GR"/>
        </w:rPr>
        <w:t>προσκυνεω</w:t>
      </w:r>
      <w:r>
        <w:rPr/>
        <w:t xml:space="preserve"> wird im Kontext des NT immer nur in Hinblick auf die Verehrung eines Gottes verwendet.</w:t>
      </w:r>
    </w:p>
  </w:footnote>
  <w:footnote w:id="141">
    <w:p>
      <w:pPr>
        <w:pStyle w:val="Funote"/>
        <w:rPr/>
      </w:pPr>
      <w:r>
        <w:rPr>
          <w:rStyle w:val="Funotenzeichen"/>
        </w:rPr>
        <w:footnoteRef/>
      </w:r>
      <w:r>
        <w:rPr/>
        <w:tab/>
        <w:t>(Ps 22,19)</w:t>
      </w:r>
    </w:p>
  </w:footnote>
  <w:footnote w:id="142">
    <w:p>
      <w:pPr>
        <w:pStyle w:val="Funote"/>
        <w:rPr/>
      </w:pPr>
      <w:r>
        <w:rPr>
          <w:rStyle w:val="Funotenzeichen"/>
        </w:rPr>
        <w:footnoteRef/>
      </w:r>
      <w:r>
        <w:rPr/>
        <w:tab/>
        <w:t>Eine alternative Lesart ergänzt Vers 28: Und erfüllt wurde die Schrift, die sagt: Mit den Ungerechten wurde er zusammengetan.</w:t>
      </w:r>
    </w:p>
  </w:footnote>
  <w:footnote w:id="143">
    <w:p>
      <w:pPr>
        <w:pStyle w:val="Funote"/>
        <w:rPr/>
      </w:pPr>
      <w:r>
        <w:rPr>
          <w:rStyle w:val="Funotenzeichen"/>
        </w:rPr>
        <w:footnoteRef/>
      </w:r>
      <w:r>
        <w:rPr/>
        <w:tab/>
        <w:t>[Status: Ungeprüft]</w:t>
      </w:r>
    </w:p>
  </w:footnote>
  <w:footnote w:id="144">
    <w:p>
      <w:pPr>
        <w:pStyle w:val="Funote"/>
        <w:rPr/>
      </w:pPr>
      <w:r>
        <w:rPr>
          <w:rStyle w:val="Funotenzeichen"/>
        </w:rPr>
        <w:footnoteRef/>
      </w:r>
      <w:r>
        <w:rPr/>
        <w:tab/>
        <w:t>[Status: Ungeprüft]</w:t>
      </w:r>
    </w:p>
  </w:footnote>
  <w:footnote w:id="145">
    <w:p>
      <w:pPr>
        <w:pStyle w:val="Funote"/>
        <w:rPr/>
      </w:pPr>
      <w:r>
        <w:rPr>
          <w:rStyle w:val="Funotenzeichen"/>
        </w:rPr>
        <w:footnoteRef/>
      </w:r>
      <w:r>
        <w:rPr/>
        <w:tab/>
        <w:t>[Status: Ungeprüft]</w:t>
      </w:r>
    </w:p>
  </w:footnote>
  <w:footnote w:id="146">
    <w:p>
      <w:pPr>
        <w:pStyle w:val="Funote"/>
        <w:rPr/>
      </w:pPr>
      <w:r>
        <w:rPr>
          <w:rStyle w:val="Funotenzeichen"/>
        </w:rPr>
        <w:footnoteRef/>
      </w:r>
      <w:r>
        <w:rPr/>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47">
    <w:p>
      <w:pPr>
        <w:pStyle w:val="Funote"/>
        <w:rPr/>
      </w:pPr>
      <w:r>
        <w:rPr>
          <w:rStyle w:val="Funotenzeichen"/>
        </w:rPr>
        <w:footnoteRef/>
      </w:r>
      <w:r>
        <w:rPr/>
        <w:tab/>
        <w:t>Das hier mit „Wohlwollen“ übersetzte Wort kann im griechischen Text auch anders bezogen werden. Dann ergibt sich die Bedeutung: „bei den wohlwollenden Menschen“.</w:t>
      </w:r>
    </w:p>
  </w:footnote>
  <w:footnote w:id="148">
    <w:p>
      <w:pPr>
        <w:pStyle w:val="Funote"/>
        <w:rPr/>
      </w:pPr>
      <w:r>
        <w:rPr>
          <w:rStyle w:val="Funotenzeichen"/>
        </w:rPr>
        <w:footnoteRef/>
      </w:r>
      <w:r>
        <w:rPr/>
        <w:tab/>
        <w:t>[Status: Ungeprüft]</w:t>
      </w:r>
    </w:p>
  </w:footnote>
  <w:footnote w:id="149">
    <w:p>
      <w:pPr>
        <w:pStyle w:val="Funote"/>
        <w:rPr/>
      </w:pPr>
      <w:r>
        <w:rPr>
          <w:rStyle w:val="Funotenzeichen"/>
        </w:rPr>
        <w:footnoteRef/>
      </w:r>
      <w:r>
        <w:rPr/>
        <w:tab/>
        <w:t xml:space="preserve">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w:t>
      </w:r>
      <w:hyperlink r:id="rId10">
        <w:r>
          <w:rPr>
            <w:rStyle w:val="Internetverknpfung"/>
          </w:rPr>
          <w:t>Apg 15</w:t>
        </w:r>
      </w:hyperlink>
      <w:r>
        <w:rPr/>
        <w:t xml:space="preserve">)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w:t>
      </w:r>
      <w:hyperlink r:id="rId11">
        <w:r>
          <w:rPr>
            <w:rStyle w:val="Internetverknpfung"/>
          </w:rPr>
          <w:t>Apg 11,26</w:t>
        </w:r>
      </w:hyperlink>
      <w:r>
        <w:rPr/>
        <w:t>).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0">
    <w:p>
      <w:pPr>
        <w:pStyle w:val="Funote"/>
        <w:rPr/>
      </w:pPr>
      <w:r>
        <w:rPr>
          <w:rStyle w:val="Funotenzeichen"/>
        </w:rPr>
        <w:footnoteRef/>
      </w:r>
      <w:r>
        <w:rPr/>
        <w:tab/>
        <w:t>[Status: Ungeprüft]</w:t>
      </w:r>
    </w:p>
  </w:footnote>
  <w:footnote w:id="151">
    <w:p>
      <w:pPr>
        <w:pStyle w:val="Funote"/>
        <w:rPr/>
      </w:pPr>
      <w:r>
        <w:rPr>
          <w:rStyle w:val="Funotenzeichen"/>
        </w:rPr>
        <w:footnoteRef/>
      </w:r>
      <w:r>
        <w:rPr/>
        <w:tab/>
        <w:t>[Status: Ungeprüft]</w:t>
      </w:r>
    </w:p>
  </w:footnote>
  <w:footnote w:id="152">
    <w:p>
      <w:pPr>
        <w:pStyle w:val="Funote"/>
        <w:rPr/>
      </w:pPr>
      <w:r>
        <w:rPr>
          <w:rStyle w:val="Funotenzeichen"/>
        </w:rPr>
        <w:footnoteRef/>
      </w:r>
      <w:r>
        <w:rPr/>
        <w:tab/>
        <w:t>[Status: Ungeprüft]</w:t>
      </w:r>
    </w:p>
  </w:footnote>
  <w:footnote w:id="153">
    <w:p>
      <w:pPr>
        <w:pStyle w:val="Funote"/>
        <w:rPr/>
      </w:pPr>
      <w:r>
        <w:rPr>
          <w:rStyle w:val="Funotenzeichen"/>
        </w:rPr>
        <w:footnoteRef/>
      </w:r>
      <w:r>
        <w:rPr/>
        <w:tab/>
        <w:t>[Status: Ungeprüft]</w:t>
      </w:r>
    </w:p>
  </w:footnote>
  <w:footnote w:id="154">
    <w:p>
      <w:pPr>
        <w:pStyle w:val="Funote"/>
        <w:rPr/>
      </w:pPr>
      <w:r>
        <w:rPr>
          <w:rStyle w:val="Funotenzeichen"/>
        </w:rPr>
        <w:footnoteRef/>
      </w:r>
      <w:r>
        <w:rPr/>
        <w:tab/>
        <w:t>[Status: Ungeprüft]</w:t>
      </w:r>
    </w:p>
  </w:footnote>
  <w:footnote w:id="155">
    <w:p>
      <w:pPr>
        <w:pStyle w:val="Funote"/>
        <w:rPr/>
      </w:pPr>
      <w:r>
        <w:rPr>
          <w:rStyle w:val="Funotenzeichen"/>
        </w:rPr>
        <w:footnoteRef/>
      </w:r>
      <w:r>
        <w:rPr/>
        <w:tab/>
        <w:t>[Status: Ungeprüft]</w:t>
      </w:r>
    </w:p>
  </w:footnote>
  <w:footnote w:id="156">
    <w:p>
      <w:pPr>
        <w:pStyle w:val="Funote"/>
        <w:rPr/>
      </w:pPr>
      <w:r>
        <w:rPr>
          <w:rStyle w:val="Funotenzeichen"/>
        </w:rPr>
        <w:footnoteRef/>
      </w:r>
      <w:r>
        <w:rPr/>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57">
    <w:p>
      <w:pPr>
        <w:pStyle w:val="Funote"/>
        <w:rPr/>
      </w:pPr>
      <w:r>
        <w:rPr>
          <w:rStyle w:val="Funotenzeichen"/>
        </w:rPr>
        <w:footnoteRef/>
      </w:r>
      <w:r>
        <w:rPr/>
        <w:tab/>
        <w:t>[Status: Ungeprüft]</w:t>
      </w:r>
    </w:p>
  </w:footnote>
  <w:footnote w:id="158">
    <w:p>
      <w:pPr>
        <w:pStyle w:val="Funote"/>
        <w:rPr/>
      </w:pPr>
      <w:r>
        <w:rPr>
          <w:rStyle w:val="Funotenzeichen"/>
        </w:rPr>
        <w:footnoteRef/>
      </w:r>
      <w:r>
        <w:rPr/>
        <w:tab/>
        <w:t>[Status: Ungeprüft]</w:t>
      </w:r>
    </w:p>
  </w:footnote>
  <w:footnote w:id="159">
    <w:p>
      <w:pPr>
        <w:pStyle w:val="Funote"/>
        <w:rPr/>
      </w:pPr>
      <w:r>
        <w:rPr>
          <w:rStyle w:val="Funotenzeichen"/>
        </w:rPr>
        <w:footnoteRef/>
      </w:r>
      <w:r>
        <w:rPr/>
        <w:tab/>
        <w:t>[Status: Ungeprüft]</w:t>
      </w:r>
    </w:p>
  </w:footnote>
  <w:footnote w:id="160">
    <w:p>
      <w:pPr>
        <w:pStyle w:val="Funote"/>
        <w:rPr/>
      </w:pPr>
      <w:r>
        <w:rPr>
          <w:rStyle w:val="Funotenzeichen"/>
        </w:rPr>
        <w:footnoteRef/>
      </w:r>
      <w:r>
        <w:rPr/>
        <w:tab/>
        <w:t>[Status: Ungeprüft]</w:t>
      </w:r>
    </w:p>
  </w:footnote>
</w:footnotes>
</file>

<file path=word/settings.xml><?xml version="1.0" encoding="utf-8"?>
<w:settings xmlns:w="http://schemas.openxmlformats.org/wordprocessingml/2006/main">
  <w:zoom w:percent="100"/>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unifr.ch/bkv/kapitel2616-6.htm" TargetMode="External"/><Relationship Id="rId2" Type="http://schemas.openxmlformats.org/officeDocument/2006/relationships/hyperlink" Target="../../../../../../../../../mediawiki/index.php%3Ftitle=1_K%C3%B6nige_6&amp;action=edit&amp;redlink=1" TargetMode="External"/><Relationship Id="rId3" Type="http://schemas.openxmlformats.org/officeDocument/2006/relationships/hyperlink" Target="../../../../../../../../../mediawiki/index.php%3Ftitle=Esra_1&amp;action=edit&amp;redlink=1" TargetMode="External"/><Relationship Id="rId4" Type="http://schemas.openxmlformats.org/officeDocument/2006/relationships/hyperlink" Target="../../../../../../../../../mediawiki/index.php%3Ftitle=Daniel_7&amp;action=edit&amp;redlink=1" TargetMode="External"/><Relationship Id="rId5" Type="http://schemas.openxmlformats.org/officeDocument/2006/relationships/hyperlink" Target="../../../../../../../../../mediawiki/index.php%3Ftitle=Genesis_31&amp;action=edit&amp;redlink=1" TargetMode="External"/><Relationship Id="rId6" Type="http://schemas.openxmlformats.org/officeDocument/2006/relationships/hyperlink" Target="../../../../../../../../../mediawiki/index.php%3Ftitle=Jeremia_31&amp;action=edit&amp;redlink=1" TargetMode="External"/><Relationship Id="rId7" Type="http://schemas.openxmlformats.org/officeDocument/2006/relationships/hyperlink" Target="http://www.legionten.org/Studies/LXFstudies/images/10.jpg" TargetMode="External"/><Relationship Id="rId8" Type="http://schemas.openxmlformats.org/officeDocument/2006/relationships/hyperlink" Target="../../../../../../../../../mediawiki/index.php%3Ftitle=Exodus_24&amp;action=edit&amp;redlink=1" TargetMode="External"/><Relationship Id="rId9" Type="http://schemas.openxmlformats.org/officeDocument/2006/relationships/hyperlink" Target="../../../../../../../../../mediawiki/index.php%3Ftitle=Sacharja_9&amp;action=edit&amp;redlink=1" TargetMode="External"/><Relationship Id="rId10" Type="http://schemas.openxmlformats.org/officeDocument/2006/relationships/hyperlink" Target="../../../../../../../../../mediawiki/index.php%3Ftitle=Apostelgeschichte_15&amp;action=edit&amp;redlink=1" TargetMode="External"/><Relationship Id="rId11" Type="http://schemas.openxmlformats.org/officeDocument/2006/relationships/hyperlink" Target="../../../../../../../../../mediawiki/index.php%3Ftitle=Apostelgeschichte_11&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LibreOffice/6.0.7.3$Windows_X86_64 LibreOffice_project/dc89aa7a9eabfd848af146d5086077aeed2ae4a5</Application>
  <Pages>17</Pages>
  <Words>43350</Words>
  <Characters>307411</Characters>
  <CharactersWithSpaces>352393</CharactersWithSpaces>
  <Paragraphs>515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